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documenttasks/documenttasks1.xml" ContentType="application/vnd.ms-office.documenttasks+xml"/>
  <Override PartName="/word/intelligence2.xml" ContentType="application/vnd.ms-office.intelligence2+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A322BA" w:rsidR="00592A3D" w:rsidP="00A322BA" w:rsidRDefault="00923DDB" w14:paraId="76E7439F" w14:textId="01C48574">
      <w:pPr>
        <w:tabs>
          <w:tab w:val="center" w:pos="4230"/>
          <w:tab w:val="right" w:pos="9360"/>
        </w:tabs>
        <w:spacing w:line="240" w:lineRule="auto"/>
        <w:ind w:firstLine="0"/>
        <w:rPr>
          <w:b/>
          <w:szCs w:val="26"/>
        </w:rPr>
      </w:pPr>
      <w:r>
        <w:t>COM/DH7/cg7</w:t>
      </w:r>
      <w:r w:rsidR="007E0FEE">
        <w:tab/>
      </w:r>
      <w:r w:rsidR="00A322BA">
        <w:tab/>
      </w:r>
      <w:r w:rsidRPr="00A322BA" w:rsidR="00A322BA">
        <w:rPr>
          <w:rFonts w:cs="Arial"/>
          <w:b/>
          <w:szCs w:val="26"/>
        </w:rPr>
        <w:t>Date of Issuance 11/0</w:t>
      </w:r>
      <w:r w:rsidR="009F3F15">
        <w:rPr>
          <w:rFonts w:cs="Arial"/>
          <w:b/>
          <w:szCs w:val="26"/>
        </w:rPr>
        <w:t>5</w:t>
      </w:r>
      <w:r w:rsidRPr="00A322BA" w:rsidR="00A322BA">
        <w:rPr>
          <w:rFonts w:cs="Arial"/>
          <w:b/>
          <w:szCs w:val="26"/>
        </w:rPr>
        <w:t>/2026</w:t>
      </w:r>
    </w:p>
    <w:p w:rsidR="00DA7B5D" w:rsidP="00E16754" w:rsidRDefault="00DA7B5D" w14:paraId="0358752F" w14:textId="77777777">
      <w:pPr>
        <w:spacing w:line="240" w:lineRule="auto"/>
        <w:ind w:firstLine="0"/>
      </w:pPr>
    </w:p>
    <w:p w:rsidR="00E16754" w:rsidP="00E16754" w:rsidRDefault="00E16754" w14:paraId="00607FA4" w14:textId="77777777">
      <w:pPr>
        <w:spacing w:line="240" w:lineRule="auto"/>
        <w:ind w:firstLine="0"/>
      </w:pPr>
    </w:p>
    <w:p w:rsidRPr="00113F0B" w:rsidR="00940486" w:rsidP="00940486" w:rsidRDefault="00DA7B5D" w14:paraId="18F6801E" w14:textId="3FF7C301">
      <w:pPr>
        <w:spacing w:line="240" w:lineRule="auto"/>
        <w:ind w:left="1080" w:hanging="1080"/>
        <w:rPr>
          <w:szCs w:val="26"/>
        </w:rPr>
      </w:pPr>
      <w:r>
        <w:t xml:space="preserve">Decision </w:t>
      </w:r>
      <w:r w:rsidR="00A322BA">
        <w:t>26-10-054  Octob</w:t>
      </w:r>
      <w:r w:rsidRPr="009230D7" w:rsidR="00A322BA">
        <w:t>er 29, 2026</w:t>
      </w:r>
      <w:r w:rsidR="00E16754">
        <w:t xml:space="preserve"> </w:t>
      </w:r>
    </w:p>
    <w:p w:rsidR="00DA7B5D" w:rsidP="00E16754" w:rsidRDefault="00DA7B5D" w14:paraId="1923183A" w14:textId="77777777">
      <w:pPr>
        <w:spacing w:line="240" w:lineRule="auto"/>
        <w:ind w:firstLine="0"/>
        <w:rPr>
          <w:u w:val="single"/>
        </w:rPr>
      </w:pPr>
    </w:p>
    <w:p w:rsidR="00DA7B5D" w:rsidP="00BB0243" w:rsidRDefault="00DA7B5D" w14:paraId="7265198C" w14:textId="77777777">
      <w:pPr>
        <w:spacing w:line="240" w:lineRule="auto"/>
        <w:ind w:firstLine="0"/>
        <w:jc w:val="center"/>
        <w:rPr>
          <w:rFonts w:ascii="Arial" w:hAnsi="Arial" w:cs="Arial"/>
          <w:sz w:val="24"/>
          <w:szCs w:val="24"/>
        </w:rPr>
      </w:pPr>
      <w:r w:rsidRPr="00DA7B5D">
        <w:rPr>
          <w:rFonts w:ascii="Arial" w:hAnsi="Arial" w:cs="Arial"/>
          <w:b/>
          <w:sz w:val="24"/>
          <w:szCs w:val="24"/>
        </w:rPr>
        <w:t>BEFORE THE PUBLIC UTILITIES COMMISSION OF THE STATE OF CALIFORNIA</w:t>
      </w:r>
    </w:p>
    <w:p w:rsidR="00DA7B5D" w:rsidP="008F0116" w:rsidRDefault="00DA7B5D" w14:paraId="2B91FDB5" w14:textId="77777777">
      <w:pPr>
        <w:spacing w:line="240" w:lineRule="auto"/>
        <w:ind w:firstLine="0"/>
        <w:rPr>
          <w:rFonts w:ascii="Arial" w:hAnsi="Arial" w:cs="Arial"/>
          <w:sz w:val="24"/>
          <w:szCs w:val="24"/>
        </w:rPr>
      </w:pPr>
    </w:p>
    <w:tbl>
      <w:tblPr>
        <w:tblStyle w:val="TableGrid"/>
        <w:tblW w:w="9360" w:type="dxa"/>
        <w:jc w:val="center"/>
        <w:tblLayout w:type="fixed"/>
        <w:tblLook w:val="04A0" w:firstRow="1" w:lastRow="0" w:firstColumn="1" w:lastColumn="0" w:noHBand="0" w:noVBand="1"/>
      </w:tblPr>
      <w:tblGrid>
        <w:gridCol w:w="4680"/>
        <w:gridCol w:w="4680"/>
      </w:tblGrid>
      <w:tr w:rsidR="00DA7B5D" w:rsidTr="00E725FC" w14:paraId="7E481E03" w14:textId="77777777">
        <w:trPr>
          <w:jc w:val="center"/>
        </w:trPr>
        <w:tc>
          <w:tcPr>
            <w:tcW w:w="5040" w:type="dxa"/>
            <w:tcBorders>
              <w:top w:val="nil"/>
              <w:left w:val="nil"/>
              <w:bottom w:val="single" w:color="auto" w:sz="4" w:space="0"/>
              <w:right w:val="single" w:color="auto" w:sz="4" w:space="0"/>
            </w:tcBorders>
          </w:tcPr>
          <w:p w:rsidRPr="00DA7B5D" w:rsidR="00DA7B5D" w:rsidP="00C10B5F" w:rsidRDefault="00923DDB" w14:paraId="1ABEC752" w14:textId="42CC1463">
            <w:pPr>
              <w:spacing w:line="240" w:lineRule="auto"/>
              <w:ind w:firstLine="0"/>
              <w:rPr>
                <w:rFonts w:cs="Arial"/>
                <w:szCs w:val="26"/>
              </w:rPr>
            </w:pPr>
            <w:r w:rsidRPr="00923DDB">
              <w:rPr>
                <w:rFonts w:cs="Arial"/>
                <w:szCs w:val="26"/>
              </w:rPr>
              <w:t>Order Instituting Rulemaking to Modernize the Electric Grid for a High Distributed Energy Resources Future.</w:t>
            </w:r>
            <w:r w:rsidRPr="00DA7B5D" w:rsidR="00DA7B5D">
              <w:rPr>
                <w:rFonts w:cs="Arial"/>
                <w:szCs w:val="26"/>
              </w:rPr>
              <w:br/>
            </w:r>
          </w:p>
        </w:tc>
        <w:tc>
          <w:tcPr>
            <w:tcW w:w="5040" w:type="dxa"/>
            <w:tcBorders>
              <w:top w:val="nil"/>
              <w:left w:val="single" w:color="auto" w:sz="4" w:space="0"/>
              <w:bottom w:val="nil"/>
              <w:right w:val="nil"/>
            </w:tcBorders>
            <w:vAlign w:val="center"/>
          </w:tcPr>
          <w:p w:rsidRPr="00DA7B5D" w:rsidR="00DA7B5D" w:rsidP="00412C83" w:rsidRDefault="0050058B" w14:paraId="23F161F8" w14:textId="42237FB2">
            <w:pPr>
              <w:spacing w:line="240" w:lineRule="auto"/>
              <w:ind w:firstLine="0"/>
              <w:jc w:val="center"/>
              <w:rPr>
                <w:rFonts w:cs="Arial"/>
                <w:szCs w:val="26"/>
              </w:rPr>
            </w:pPr>
            <w:r>
              <w:rPr>
                <w:rFonts w:cs="Arial"/>
                <w:szCs w:val="26"/>
              </w:rPr>
              <w:t>Rulemaking 21-06-017</w:t>
            </w:r>
          </w:p>
        </w:tc>
      </w:tr>
    </w:tbl>
    <w:p w:rsidR="00DA7B5D" w:rsidP="008F0116" w:rsidRDefault="00DA7B5D" w14:paraId="2FB45EC3" w14:textId="77777777">
      <w:pPr>
        <w:spacing w:line="240" w:lineRule="auto"/>
        <w:ind w:firstLine="0"/>
        <w:rPr>
          <w:rFonts w:ascii="Arial" w:hAnsi="Arial" w:cs="Arial"/>
          <w:sz w:val="24"/>
          <w:szCs w:val="24"/>
        </w:rPr>
      </w:pPr>
    </w:p>
    <w:p w:rsidR="00DA7B5D" w:rsidP="008F0116" w:rsidRDefault="00DA7B5D" w14:paraId="35A43A7A" w14:textId="77777777">
      <w:pPr>
        <w:spacing w:line="240" w:lineRule="auto"/>
        <w:ind w:firstLine="0"/>
        <w:rPr>
          <w:rFonts w:ascii="Arial" w:hAnsi="Arial" w:cs="Arial"/>
          <w:sz w:val="24"/>
          <w:szCs w:val="24"/>
        </w:rPr>
      </w:pPr>
    </w:p>
    <w:p w:rsidRPr="00F92385" w:rsidR="00F92385" w:rsidP="00B3087D" w:rsidRDefault="0050058B" w14:paraId="786439C7" w14:textId="2AF7FAEE">
      <w:pPr>
        <w:pStyle w:val="Dummy"/>
        <w:jc w:val="center"/>
        <w:sectPr w:rsidRPr="00F92385" w:rsidR="00F92385" w:rsidSect="00841BEE">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pgNumType w:start="1"/>
          <w:cols w:space="720"/>
          <w:titlePg/>
          <w:docGrid w:linePitch="360"/>
        </w:sectPr>
      </w:pPr>
      <w:bookmarkStart w:name="_Toc559705188" w:id="0"/>
      <w:bookmarkStart w:name="_Toc243991427" w:id="1"/>
      <w:r>
        <w:t xml:space="preserve">DECISION </w:t>
      </w:r>
      <w:r w:rsidR="00D74293">
        <w:t>ADOPTING</w:t>
      </w:r>
      <w:r w:rsidR="00361510">
        <w:t xml:space="preserve"> A</w:t>
      </w:r>
      <w:r w:rsidR="00E65EBB">
        <w:t>N</w:t>
      </w:r>
      <w:r w:rsidR="00361510">
        <w:t xml:space="preserve"> APPLICATION PROCESS FOR UTILITY </w:t>
      </w:r>
      <w:r w:rsidR="006C2FD3">
        <w:t>D</w:t>
      </w:r>
      <w:r w:rsidR="00E65EBB">
        <w:t xml:space="preserve">ISTRIBUTED </w:t>
      </w:r>
      <w:r w:rsidR="006C2FD3">
        <w:t>E</w:t>
      </w:r>
      <w:r w:rsidR="00E65EBB">
        <w:t xml:space="preserve">NERGY </w:t>
      </w:r>
      <w:r w:rsidR="006C2FD3">
        <w:t>R</w:t>
      </w:r>
      <w:r w:rsidR="00E65EBB">
        <w:t>ESOURCES</w:t>
      </w:r>
      <w:r w:rsidR="006C2FD3">
        <w:t xml:space="preserve"> ORCHESTRATION</w:t>
      </w:r>
      <w:r w:rsidR="00CE5E96">
        <w:t xml:space="preserve"> AND ORDERING UTILITIES TO INCORPORATE LOAD FLEXIBILITY SCENARIOS INTO THEIR DISTRIBUTION PLANNING AND EXECUTION PROCESSES</w:t>
      </w:r>
      <w:bookmarkEnd w:id="0"/>
      <w:bookmarkEnd w:id="1"/>
    </w:p>
    <w:p w:rsidRPr="001E2A62" w:rsidR="00D50119" w:rsidP="00F76650" w:rsidRDefault="00D50119" w14:paraId="380970DE" w14:textId="77777777">
      <w:pPr>
        <w:pStyle w:val="Main"/>
        <w:rPr>
          <w:rFonts w:ascii="Book Antiqua" w:hAnsi="Book Antiqua"/>
        </w:rPr>
      </w:pPr>
      <w:r w:rsidRPr="001E2A62">
        <w:rPr>
          <w:rFonts w:ascii="Book Antiqua" w:hAnsi="Book Antiqua"/>
        </w:rPr>
        <w:lastRenderedPageBreak/>
        <w:t>TABLE OF CONTENTS</w:t>
      </w:r>
    </w:p>
    <w:p w:rsidRPr="00D50119" w:rsidR="00D50119" w:rsidP="007E0FEE" w:rsidRDefault="00D50119" w14:paraId="5D3BCBF0" w14:textId="77777777">
      <w:pPr>
        <w:tabs>
          <w:tab w:val="right" w:pos="9360"/>
        </w:tabs>
        <w:ind w:firstLine="0"/>
      </w:pPr>
      <w:r w:rsidRPr="00D50119">
        <w:rPr>
          <w:b/>
        </w:rPr>
        <w:t>Title</w:t>
      </w:r>
      <w:r>
        <w:tab/>
      </w:r>
      <w:r w:rsidRPr="00D50119">
        <w:rPr>
          <w:b/>
        </w:rPr>
        <w:t>Page</w:t>
      </w:r>
    </w:p>
    <w:sdt>
      <w:sdtPr>
        <w:id w:val="1160796963"/>
        <w:docPartObj>
          <w:docPartGallery w:val="Table of Contents"/>
          <w:docPartUnique/>
        </w:docPartObj>
      </w:sdtPr>
      <w:sdtEndPr/>
      <w:sdtContent>
        <w:p w:rsidR="00D7107F" w:rsidRDefault="1C7B65D8" w14:paraId="7B1E50AE" w14:textId="2D7731D9">
          <w:pPr>
            <w:pStyle w:val="TOC1"/>
            <w:tabs>
              <w:tab w:val="right" w:leader="dot" w:pos="9350"/>
            </w:tabs>
            <w:rPr>
              <w:rFonts w:asciiTheme="minorHAnsi" w:hAnsiTheme="minorHAnsi" w:cstheme="minorBidi"/>
              <w:noProof/>
              <w:kern w:val="2"/>
              <w:sz w:val="24"/>
              <w:szCs w:val="24"/>
              <w14:ligatures w14:val="standardContextual"/>
            </w:rPr>
          </w:pPr>
          <w:r>
            <w:fldChar w:fldCharType="begin"/>
          </w:r>
          <w:r>
            <w:instrText>TOC \o "1-6" \z \u \h</w:instrText>
          </w:r>
          <w:r>
            <w:fldChar w:fldCharType="separate"/>
          </w:r>
          <w:hyperlink w:history="1" w:anchor="_Toc243991427">
            <w:r w:rsidRPr="00965922" w:rsidR="00D7107F">
              <w:rPr>
                <w:rStyle w:val="Hyperlink"/>
                <w:noProof/>
              </w:rPr>
              <w:t>DECISION ADOPTING AN APPLICATION PROCESS FOR UTILITY DISTRIBUTED ENERGY RESOURCES ORCHESTRATION AND ORDERING UTILITIES TO INCORPORATE LOAD FLEXIBILITY SCENARIOS INTO THEIR DISTRIBUTION PLANNING AND EXECUTION PROCESSES</w:t>
            </w:r>
            <w:r w:rsidR="00D7107F">
              <w:rPr>
                <w:noProof/>
                <w:webHidden/>
              </w:rPr>
              <w:tab/>
            </w:r>
            <w:r w:rsidR="00D7107F">
              <w:rPr>
                <w:noProof/>
                <w:webHidden/>
              </w:rPr>
              <w:fldChar w:fldCharType="begin"/>
            </w:r>
            <w:r w:rsidR="00D7107F">
              <w:rPr>
                <w:noProof/>
                <w:webHidden/>
              </w:rPr>
              <w:instrText xml:space="preserve"> PAGEREF _Toc243991427 \h </w:instrText>
            </w:r>
            <w:r w:rsidR="00D7107F">
              <w:rPr>
                <w:noProof/>
                <w:webHidden/>
              </w:rPr>
            </w:r>
            <w:r w:rsidR="00D7107F">
              <w:rPr>
                <w:noProof/>
                <w:webHidden/>
              </w:rPr>
              <w:fldChar w:fldCharType="separate"/>
            </w:r>
            <w:r w:rsidR="00E16754">
              <w:rPr>
                <w:noProof/>
                <w:webHidden/>
              </w:rPr>
              <w:t>1</w:t>
            </w:r>
            <w:r w:rsidR="00D7107F">
              <w:rPr>
                <w:noProof/>
                <w:webHidden/>
              </w:rPr>
              <w:fldChar w:fldCharType="end"/>
            </w:r>
          </w:hyperlink>
        </w:p>
        <w:p w:rsidR="00D7107F" w:rsidRDefault="00D7107F" w14:paraId="550A0BE3" w14:textId="10010D04">
          <w:pPr>
            <w:pStyle w:val="TOC1"/>
            <w:tabs>
              <w:tab w:val="right" w:leader="dot" w:pos="9350"/>
            </w:tabs>
            <w:rPr>
              <w:rFonts w:asciiTheme="minorHAnsi" w:hAnsiTheme="minorHAnsi" w:cstheme="minorBidi"/>
              <w:noProof/>
              <w:kern w:val="2"/>
              <w:sz w:val="24"/>
              <w:szCs w:val="24"/>
              <w14:ligatures w14:val="standardContextual"/>
            </w:rPr>
          </w:pPr>
          <w:hyperlink w:history="1" w:anchor="_Toc243991428">
            <w:r w:rsidRPr="00965922">
              <w:rPr>
                <w:rStyle w:val="Hyperlink"/>
                <w:noProof/>
              </w:rPr>
              <w:t>Summary</w:t>
            </w:r>
            <w:r>
              <w:rPr>
                <w:noProof/>
                <w:webHidden/>
              </w:rPr>
              <w:tab/>
            </w:r>
            <w:r>
              <w:rPr>
                <w:noProof/>
                <w:webHidden/>
              </w:rPr>
              <w:fldChar w:fldCharType="begin"/>
            </w:r>
            <w:r>
              <w:rPr>
                <w:noProof/>
                <w:webHidden/>
              </w:rPr>
              <w:instrText xml:space="preserve"> PAGEREF _Toc243991428 \h </w:instrText>
            </w:r>
            <w:r>
              <w:rPr>
                <w:noProof/>
                <w:webHidden/>
              </w:rPr>
            </w:r>
            <w:r>
              <w:rPr>
                <w:noProof/>
                <w:webHidden/>
              </w:rPr>
              <w:fldChar w:fldCharType="separate"/>
            </w:r>
            <w:r w:rsidR="00E16754">
              <w:rPr>
                <w:noProof/>
                <w:webHidden/>
              </w:rPr>
              <w:t>2</w:t>
            </w:r>
            <w:r>
              <w:rPr>
                <w:noProof/>
                <w:webHidden/>
              </w:rPr>
              <w:fldChar w:fldCharType="end"/>
            </w:r>
          </w:hyperlink>
        </w:p>
        <w:p w:rsidR="00D7107F" w:rsidRDefault="00D7107F" w14:paraId="7D76D3DC" w14:textId="72631103">
          <w:pPr>
            <w:pStyle w:val="TOC1"/>
            <w:tabs>
              <w:tab w:val="right" w:leader="dot" w:pos="9350"/>
            </w:tabs>
            <w:rPr>
              <w:rFonts w:asciiTheme="minorHAnsi" w:hAnsiTheme="minorHAnsi" w:cstheme="minorBidi"/>
              <w:noProof/>
              <w:kern w:val="2"/>
              <w:sz w:val="24"/>
              <w:szCs w:val="24"/>
              <w14:ligatures w14:val="standardContextual"/>
            </w:rPr>
          </w:pPr>
          <w:hyperlink w:history="1" w:anchor="_Toc243991429">
            <w:r w:rsidRPr="00965922">
              <w:rPr>
                <w:rStyle w:val="Hyperlink"/>
                <w:noProof/>
              </w:rPr>
              <w:t>1.</w:t>
            </w:r>
            <w:r>
              <w:rPr>
                <w:rFonts w:asciiTheme="minorHAnsi" w:hAnsiTheme="minorHAnsi" w:cstheme="minorBidi"/>
                <w:noProof/>
                <w:kern w:val="2"/>
                <w:sz w:val="24"/>
                <w:szCs w:val="24"/>
                <w14:ligatures w14:val="standardContextual"/>
              </w:rPr>
              <w:tab/>
            </w:r>
            <w:r w:rsidRPr="00965922">
              <w:rPr>
                <w:rStyle w:val="Hyperlink"/>
                <w:noProof/>
              </w:rPr>
              <w:t>Background</w:t>
            </w:r>
            <w:r>
              <w:rPr>
                <w:noProof/>
                <w:webHidden/>
              </w:rPr>
              <w:tab/>
            </w:r>
            <w:r>
              <w:rPr>
                <w:noProof/>
                <w:webHidden/>
              </w:rPr>
              <w:fldChar w:fldCharType="begin"/>
            </w:r>
            <w:r>
              <w:rPr>
                <w:noProof/>
                <w:webHidden/>
              </w:rPr>
              <w:instrText xml:space="preserve"> PAGEREF _Toc243991429 \h </w:instrText>
            </w:r>
            <w:r>
              <w:rPr>
                <w:noProof/>
                <w:webHidden/>
              </w:rPr>
            </w:r>
            <w:r>
              <w:rPr>
                <w:noProof/>
                <w:webHidden/>
              </w:rPr>
              <w:fldChar w:fldCharType="separate"/>
            </w:r>
            <w:r w:rsidR="00E16754">
              <w:rPr>
                <w:noProof/>
                <w:webHidden/>
              </w:rPr>
              <w:t>3</w:t>
            </w:r>
            <w:r>
              <w:rPr>
                <w:noProof/>
                <w:webHidden/>
              </w:rPr>
              <w:fldChar w:fldCharType="end"/>
            </w:r>
          </w:hyperlink>
        </w:p>
        <w:p w:rsidR="00D7107F" w:rsidRDefault="00D7107F" w14:paraId="52AA9B4D" w14:textId="0BD8E33E">
          <w:pPr>
            <w:pStyle w:val="TOC2"/>
            <w:tabs>
              <w:tab w:val="right" w:leader="dot" w:pos="9350"/>
            </w:tabs>
            <w:rPr>
              <w:rFonts w:asciiTheme="minorHAnsi" w:hAnsiTheme="minorHAnsi" w:cstheme="minorBidi"/>
              <w:noProof/>
              <w:kern w:val="2"/>
              <w:sz w:val="24"/>
              <w:szCs w:val="24"/>
              <w14:ligatures w14:val="standardContextual"/>
            </w:rPr>
          </w:pPr>
          <w:hyperlink w:history="1" w:anchor="_Toc243991430">
            <w:r w:rsidRPr="00965922">
              <w:rPr>
                <w:rStyle w:val="Hyperlink"/>
                <w:noProof/>
              </w:rPr>
              <w:t>1.1.</w:t>
            </w:r>
            <w:r>
              <w:rPr>
                <w:rFonts w:asciiTheme="minorHAnsi" w:hAnsiTheme="minorHAnsi" w:cstheme="minorBidi"/>
                <w:noProof/>
                <w:kern w:val="2"/>
                <w:sz w:val="24"/>
                <w:szCs w:val="24"/>
                <w14:ligatures w14:val="standardContextual"/>
              </w:rPr>
              <w:tab/>
            </w:r>
            <w:r w:rsidRPr="00965922">
              <w:rPr>
                <w:rStyle w:val="Hyperlink"/>
                <w:noProof/>
              </w:rPr>
              <w:t>Factual Background</w:t>
            </w:r>
            <w:r>
              <w:rPr>
                <w:noProof/>
                <w:webHidden/>
              </w:rPr>
              <w:tab/>
            </w:r>
            <w:r>
              <w:rPr>
                <w:noProof/>
                <w:webHidden/>
              </w:rPr>
              <w:fldChar w:fldCharType="begin"/>
            </w:r>
            <w:r>
              <w:rPr>
                <w:noProof/>
                <w:webHidden/>
              </w:rPr>
              <w:instrText xml:space="preserve"> PAGEREF _Toc243991430 \h </w:instrText>
            </w:r>
            <w:r>
              <w:rPr>
                <w:noProof/>
                <w:webHidden/>
              </w:rPr>
            </w:r>
            <w:r>
              <w:rPr>
                <w:noProof/>
                <w:webHidden/>
              </w:rPr>
              <w:fldChar w:fldCharType="separate"/>
            </w:r>
            <w:r w:rsidR="00E16754">
              <w:rPr>
                <w:noProof/>
                <w:webHidden/>
              </w:rPr>
              <w:t>3</w:t>
            </w:r>
            <w:r>
              <w:rPr>
                <w:noProof/>
                <w:webHidden/>
              </w:rPr>
              <w:fldChar w:fldCharType="end"/>
            </w:r>
          </w:hyperlink>
        </w:p>
        <w:p w:rsidR="00D7107F" w:rsidRDefault="00D7107F" w14:paraId="7614C6E4" w14:textId="02E3CD0B">
          <w:pPr>
            <w:pStyle w:val="TOC3"/>
            <w:tabs>
              <w:tab w:val="left" w:pos="1296"/>
              <w:tab w:val="right" w:leader="dot" w:pos="9350"/>
            </w:tabs>
            <w:rPr>
              <w:rFonts w:asciiTheme="minorHAnsi" w:hAnsiTheme="minorHAnsi" w:cstheme="minorBidi"/>
              <w:noProof/>
              <w:kern w:val="2"/>
              <w:sz w:val="24"/>
              <w:szCs w:val="24"/>
              <w14:ligatures w14:val="standardContextual"/>
            </w:rPr>
          </w:pPr>
          <w:hyperlink w:history="1" w:anchor="_Toc243991431">
            <w:r w:rsidRPr="00965922">
              <w:rPr>
                <w:rStyle w:val="Hyperlink"/>
                <w:noProof/>
              </w:rPr>
              <w:t>1.1.1.</w:t>
            </w:r>
            <w:r>
              <w:rPr>
                <w:rFonts w:asciiTheme="minorHAnsi" w:hAnsiTheme="minorHAnsi" w:cstheme="minorBidi"/>
                <w:noProof/>
                <w:kern w:val="2"/>
                <w:sz w:val="24"/>
                <w:szCs w:val="24"/>
                <w14:ligatures w14:val="standardContextual"/>
              </w:rPr>
              <w:tab/>
            </w:r>
            <w:r w:rsidRPr="00965922">
              <w:rPr>
                <w:rStyle w:val="Hyperlink"/>
                <w:noProof/>
              </w:rPr>
              <w:t>Track 2</w:t>
            </w:r>
            <w:r>
              <w:rPr>
                <w:noProof/>
                <w:webHidden/>
              </w:rPr>
              <w:tab/>
            </w:r>
            <w:r>
              <w:rPr>
                <w:noProof/>
                <w:webHidden/>
              </w:rPr>
              <w:fldChar w:fldCharType="begin"/>
            </w:r>
            <w:r>
              <w:rPr>
                <w:noProof/>
                <w:webHidden/>
              </w:rPr>
              <w:instrText xml:space="preserve"> PAGEREF _Toc243991431 \h </w:instrText>
            </w:r>
            <w:r>
              <w:rPr>
                <w:noProof/>
                <w:webHidden/>
              </w:rPr>
            </w:r>
            <w:r>
              <w:rPr>
                <w:noProof/>
                <w:webHidden/>
              </w:rPr>
              <w:fldChar w:fldCharType="separate"/>
            </w:r>
            <w:r w:rsidR="00E16754">
              <w:rPr>
                <w:noProof/>
                <w:webHidden/>
              </w:rPr>
              <w:t>3</w:t>
            </w:r>
            <w:r>
              <w:rPr>
                <w:noProof/>
                <w:webHidden/>
              </w:rPr>
              <w:fldChar w:fldCharType="end"/>
            </w:r>
          </w:hyperlink>
        </w:p>
        <w:p w:rsidR="00D7107F" w:rsidRDefault="00D7107F" w14:paraId="161F0494" w14:textId="7530AF9B">
          <w:pPr>
            <w:pStyle w:val="TOC2"/>
            <w:tabs>
              <w:tab w:val="right" w:leader="dot" w:pos="9350"/>
            </w:tabs>
            <w:rPr>
              <w:rFonts w:asciiTheme="minorHAnsi" w:hAnsiTheme="minorHAnsi" w:cstheme="minorBidi"/>
              <w:noProof/>
              <w:kern w:val="2"/>
              <w:sz w:val="24"/>
              <w:szCs w:val="24"/>
              <w14:ligatures w14:val="standardContextual"/>
            </w:rPr>
          </w:pPr>
          <w:hyperlink w:history="1" w:anchor="_Toc243991432">
            <w:r w:rsidRPr="00965922">
              <w:rPr>
                <w:rStyle w:val="Hyperlink"/>
                <w:noProof/>
              </w:rPr>
              <w:t>1.2.</w:t>
            </w:r>
            <w:r>
              <w:rPr>
                <w:rFonts w:asciiTheme="minorHAnsi" w:hAnsiTheme="minorHAnsi" w:cstheme="minorBidi"/>
                <w:noProof/>
                <w:kern w:val="2"/>
                <w:sz w:val="24"/>
                <w:szCs w:val="24"/>
                <w14:ligatures w14:val="standardContextual"/>
              </w:rPr>
              <w:tab/>
            </w:r>
            <w:r w:rsidRPr="00965922">
              <w:rPr>
                <w:rStyle w:val="Hyperlink"/>
                <w:noProof/>
              </w:rPr>
              <w:t>Legislative Background</w:t>
            </w:r>
            <w:r>
              <w:rPr>
                <w:noProof/>
                <w:webHidden/>
              </w:rPr>
              <w:tab/>
            </w:r>
            <w:r>
              <w:rPr>
                <w:noProof/>
                <w:webHidden/>
              </w:rPr>
              <w:fldChar w:fldCharType="begin"/>
            </w:r>
            <w:r>
              <w:rPr>
                <w:noProof/>
                <w:webHidden/>
              </w:rPr>
              <w:instrText xml:space="preserve"> PAGEREF _Toc243991432 \h </w:instrText>
            </w:r>
            <w:r>
              <w:rPr>
                <w:noProof/>
                <w:webHidden/>
              </w:rPr>
            </w:r>
            <w:r>
              <w:rPr>
                <w:noProof/>
                <w:webHidden/>
              </w:rPr>
              <w:fldChar w:fldCharType="separate"/>
            </w:r>
            <w:r w:rsidR="00E16754">
              <w:rPr>
                <w:noProof/>
                <w:webHidden/>
              </w:rPr>
              <w:t>5</w:t>
            </w:r>
            <w:r>
              <w:rPr>
                <w:noProof/>
                <w:webHidden/>
              </w:rPr>
              <w:fldChar w:fldCharType="end"/>
            </w:r>
          </w:hyperlink>
        </w:p>
        <w:p w:rsidR="00D7107F" w:rsidRDefault="00D7107F" w14:paraId="3EFF5D09" w14:textId="5A8ECC26">
          <w:pPr>
            <w:pStyle w:val="TOC2"/>
            <w:tabs>
              <w:tab w:val="right" w:leader="dot" w:pos="9350"/>
            </w:tabs>
            <w:rPr>
              <w:rFonts w:asciiTheme="minorHAnsi" w:hAnsiTheme="minorHAnsi" w:cstheme="minorBidi"/>
              <w:noProof/>
              <w:kern w:val="2"/>
              <w:sz w:val="24"/>
              <w:szCs w:val="24"/>
              <w14:ligatures w14:val="standardContextual"/>
            </w:rPr>
          </w:pPr>
          <w:hyperlink w:history="1" w:anchor="_Toc243991433">
            <w:r w:rsidRPr="00965922">
              <w:rPr>
                <w:rStyle w:val="Hyperlink"/>
                <w:noProof/>
              </w:rPr>
              <w:t>1.3.</w:t>
            </w:r>
            <w:r>
              <w:rPr>
                <w:rFonts w:asciiTheme="minorHAnsi" w:hAnsiTheme="minorHAnsi" w:cstheme="minorBidi"/>
                <w:noProof/>
                <w:kern w:val="2"/>
                <w:sz w:val="24"/>
                <w:szCs w:val="24"/>
                <w14:ligatures w14:val="standardContextual"/>
              </w:rPr>
              <w:tab/>
            </w:r>
            <w:r w:rsidRPr="00965922">
              <w:rPr>
                <w:rStyle w:val="Hyperlink"/>
                <w:noProof/>
              </w:rPr>
              <w:t>Procedural Background</w:t>
            </w:r>
            <w:r>
              <w:rPr>
                <w:noProof/>
                <w:webHidden/>
              </w:rPr>
              <w:tab/>
            </w:r>
            <w:r>
              <w:rPr>
                <w:noProof/>
                <w:webHidden/>
              </w:rPr>
              <w:fldChar w:fldCharType="begin"/>
            </w:r>
            <w:r>
              <w:rPr>
                <w:noProof/>
                <w:webHidden/>
              </w:rPr>
              <w:instrText xml:space="preserve"> PAGEREF _Toc243991433 \h </w:instrText>
            </w:r>
            <w:r>
              <w:rPr>
                <w:noProof/>
                <w:webHidden/>
              </w:rPr>
            </w:r>
            <w:r>
              <w:rPr>
                <w:noProof/>
                <w:webHidden/>
              </w:rPr>
              <w:fldChar w:fldCharType="separate"/>
            </w:r>
            <w:r w:rsidR="00E16754">
              <w:rPr>
                <w:noProof/>
                <w:webHidden/>
              </w:rPr>
              <w:t>6</w:t>
            </w:r>
            <w:r>
              <w:rPr>
                <w:noProof/>
                <w:webHidden/>
              </w:rPr>
              <w:fldChar w:fldCharType="end"/>
            </w:r>
          </w:hyperlink>
        </w:p>
        <w:p w:rsidR="00D7107F" w:rsidRDefault="00D7107F" w14:paraId="65A0EFBE" w14:textId="6FAAEF2B">
          <w:pPr>
            <w:pStyle w:val="TOC2"/>
            <w:tabs>
              <w:tab w:val="right" w:leader="dot" w:pos="9350"/>
            </w:tabs>
            <w:rPr>
              <w:rFonts w:asciiTheme="minorHAnsi" w:hAnsiTheme="minorHAnsi" w:cstheme="minorBidi"/>
              <w:noProof/>
              <w:kern w:val="2"/>
              <w:sz w:val="24"/>
              <w:szCs w:val="24"/>
              <w14:ligatures w14:val="standardContextual"/>
            </w:rPr>
          </w:pPr>
          <w:hyperlink w:history="1" w:anchor="_Toc243991434">
            <w:r w:rsidRPr="00965922">
              <w:rPr>
                <w:rStyle w:val="Hyperlink"/>
                <w:noProof/>
              </w:rPr>
              <w:t>1.4.</w:t>
            </w:r>
            <w:r>
              <w:rPr>
                <w:rFonts w:asciiTheme="minorHAnsi" w:hAnsiTheme="minorHAnsi" w:cstheme="minorBidi"/>
                <w:noProof/>
                <w:kern w:val="2"/>
                <w:sz w:val="24"/>
                <w:szCs w:val="24"/>
                <w14:ligatures w14:val="standardContextual"/>
              </w:rPr>
              <w:tab/>
            </w:r>
            <w:r w:rsidRPr="00965922">
              <w:rPr>
                <w:rStyle w:val="Hyperlink"/>
                <w:noProof/>
              </w:rPr>
              <w:t>Submission Date</w:t>
            </w:r>
            <w:r>
              <w:rPr>
                <w:noProof/>
                <w:webHidden/>
              </w:rPr>
              <w:tab/>
            </w:r>
            <w:r>
              <w:rPr>
                <w:noProof/>
                <w:webHidden/>
              </w:rPr>
              <w:fldChar w:fldCharType="begin"/>
            </w:r>
            <w:r>
              <w:rPr>
                <w:noProof/>
                <w:webHidden/>
              </w:rPr>
              <w:instrText xml:space="preserve"> PAGEREF _Toc243991434 \h </w:instrText>
            </w:r>
            <w:r>
              <w:rPr>
                <w:noProof/>
                <w:webHidden/>
              </w:rPr>
            </w:r>
            <w:r>
              <w:rPr>
                <w:noProof/>
                <w:webHidden/>
              </w:rPr>
              <w:fldChar w:fldCharType="separate"/>
            </w:r>
            <w:r w:rsidR="00E16754">
              <w:rPr>
                <w:noProof/>
                <w:webHidden/>
              </w:rPr>
              <w:t>12</w:t>
            </w:r>
            <w:r>
              <w:rPr>
                <w:noProof/>
                <w:webHidden/>
              </w:rPr>
              <w:fldChar w:fldCharType="end"/>
            </w:r>
          </w:hyperlink>
        </w:p>
        <w:p w:rsidR="00D7107F" w:rsidRDefault="00D7107F" w14:paraId="6A1A452E" w14:textId="0035F7D2">
          <w:pPr>
            <w:pStyle w:val="TOC1"/>
            <w:tabs>
              <w:tab w:val="right" w:leader="dot" w:pos="9350"/>
            </w:tabs>
            <w:rPr>
              <w:rFonts w:asciiTheme="minorHAnsi" w:hAnsiTheme="minorHAnsi" w:cstheme="minorBidi"/>
              <w:noProof/>
              <w:kern w:val="2"/>
              <w:sz w:val="24"/>
              <w:szCs w:val="24"/>
              <w14:ligatures w14:val="standardContextual"/>
            </w:rPr>
          </w:pPr>
          <w:hyperlink w:history="1" w:anchor="_Toc243991435">
            <w:r w:rsidRPr="00965922">
              <w:rPr>
                <w:rStyle w:val="Hyperlink"/>
                <w:noProof/>
              </w:rPr>
              <w:t>2.</w:t>
            </w:r>
            <w:r>
              <w:rPr>
                <w:rFonts w:asciiTheme="minorHAnsi" w:hAnsiTheme="minorHAnsi" w:cstheme="minorBidi"/>
                <w:noProof/>
                <w:kern w:val="2"/>
                <w:sz w:val="24"/>
                <w:szCs w:val="24"/>
                <w14:ligatures w14:val="standardContextual"/>
              </w:rPr>
              <w:tab/>
            </w:r>
            <w:r w:rsidRPr="00965922">
              <w:rPr>
                <w:rStyle w:val="Hyperlink"/>
                <w:noProof/>
              </w:rPr>
              <w:t>Issues Before the Commission</w:t>
            </w:r>
            <w:r>
              <w:rPr>
                <w:noProof/>
                <w:webHidden/>
              </w:rPr>
              <w:tab/>
            </w:r>
            <w:r>
              <w:rPr>
                <w:noProof/>
                <w:webHidden/>
              </w:rPr>
              <w:fldChar w:fldCharType="begin"/>
            </w:r>
            <w:r>
              <w:rPr>
                <w:noProof/>
                <w:webHidden/>
              </w:rPr>
              <w:instrText xml:space="preserve"> PAGEREF _Toc243991435 \h </w:instrText>
            </w:r>
            <w:r>
              <w:rPr>
                <w:noProof/>
                <w:webHidden/>
              </w:rPr>
            </w:r>
            <w:r>
              <w:rPr>
                <w:noProof/>
                <w:webHidden/>
              </w:rPr>
              <w:fldChar w:fldCharType="separate"/>
            </w:r>
            <w:r w:rsidR="00E16754">
              <w:rPr>
                <w:noProof/>
                <w:webHidden/>
              </w:rPr>
              <w:t>12</w:t>
            </w:r>
            <w:r>
              <w:rPr>
                <w:noProof/>
                <w:webHidden/>
              </w:rPr>
              <w:fldChar w:fldCharType="end"/>
            </w:r>
          </w:hyperlink>
        </w:p>
        <w:p w:rsidR="00D7107F" w:rsidRDefault="00D7107F" w14:paraId="0CDCEAE7" w14:textId="534EDF01">
          <w:pPr>
            <w:pStyle w:val="TOC1"/>
            <w:tabs>
              <w:tab w:val="right" w:leader="dot" w:pos="9350"/>
            </w:tabs>
            <w:rPr>
              <w:rFonts w:asciiTheme="minorHAnsi" w:hAnsiTheme="minorHAnsi" w:cstheme="minorBidi"/>
              <w:noProof/>
              <w:kern w:val="2"/>
              <w:sz w:val="24"/>
              <w:szCs w:val="24"/>
              <w14:ligatures w14:val="standardContextual"/>
            </w:rPr>
          </w:pPr>
          <w:hyperlink w:history="1" w:anchor="_Toc243991436">
            <w:r w:rsidRPr="00965922">
              <w:rPr>
                <w:rStyle w:val="Hyperlink"/>
                <w:noProof/>
              </w:rPr>
              <w:t>3.</w:t>
            </w:r>
            <w:r>
              <w:rPr>
                <w:rFonts w:asciiTheme="minorHAnsi" w:hAnsiTheme="minorHAnsi" w:cstheme="minorBidi"/>
                <w:noProof/>
                <w:kern w:val="2"/>
                <w:sz w:val="24"/>
                <w:szCs w:val="24"/>
                <w14:ligatures w14:val="standardContextual"/>
              </w:rPr>
              <w:tab/>
            </w:r>
            <w:r w:rsidRPr="00965922">
              <w:rPr>
                <w:rStyle w:val="Hyperlink"/>
                <w:noProof/>
              </w:rPr>
              <w:t>Primary Grid Constraints and Objectives of DER Orchestration</w:t>
            </w:r>
            <w:r>
              <w:rPr>
                <w:noProof/>
                <w:webHidden/>
              </w:rPr>
              <w:tab/>
            </w:r>
            <w:r>
              <w:rPr>
                <w:noProof/>
                <w:webHidden/>
              </w:rPr>
              <w:fldChar w:fldCharType="begin"/>
            </w:r>
            <w:r>
              <w:rPr>
                <w:noProof/>
                <w:webHidden/>
              </w:rPr>
              <w:instrText xml:space="preserve"> PAGEREF _Toc243991436 \h </w:instrText>
            </w:r>
            <w:r>
              <w:rPr>
                <w:noProof/>
                <w:webHidden/>
              </w:rPr>
            </w:r>
            <w:r>
              <w:rPr>
                <w:noProof/>
                <w:webHidden/>
              </w:rPr>
              <w:fldChar w:fldCharType="separate"/>
            </w:r>
            <w:r w:rsidR="00E16754">
              <w:rPr>
                <w:noProof/>
                <w:webHidden/>
              </w:rPr>
              <w:t>12</w:t>
            </w:r>
            <w:r>
              <w:rPr>
                <w:noProof/>
                <w:webHidden/>
              </w:rPr>
              <w:fldChar w:fldCharType="end"/>
            </w:r>
          </w:hyperlink>
        </w:p>
        <w:p w:rsidR="00D7107F" w:rsidRDefault="00D7107F" w14:paraId="122C56B2" w14:textId="64127465">
          <w:pPr>
            <w:pStyle w:val="TOC2"/>
            <w:tabs>
              <w:tab w:val="right" w:leader="dot" w:pos="9350"/>
            </w:tabs>
            <w:rPr>
              <w:rFonts w:asciiTheme="minorHAnsi" w:hAnsiTheme="minorHAnsi" w:cstheme="minorBidi"/>
              <w:noProof/>
              <w:kern w:val="2"/>
              <w:sz w:val="24"/>
              <w:szCs w:val="24"/>
              <w14:ligatures w14:val="standardContextual"/>
            </w:rPr>
          </w:pPr>
          <w:hyperlink w:history="1" w:anchor="_Toc243991437">
            <w:r w:rsidRPr="00965922">
              <w:rPr>
                <w:rStyle w:val="Hyperlink"/>
                <w:noProof/>
              </w:rPr>
              <w:t>3.1.</w:t>
            </w:r>
            <w:r>
              <w:rPr>
                <w:rFonts w:asciiTheme="minorHAnsi" w:hAnsiTheme="minorHAnsi" w:cstheme="minorBidi"/>
                <w:noProof/>
                <w:kern w:val="2"/>
                <w:sz w:val="24"/>
                <w:szCs w:val="24"/>
                <w14:ligatures w14:val="standardContextual"/>
              </w:rPr>
              <w:tab/>
            </w:r>
            <w:r w:rsidRPr="00965922">
              <w:rPr>
                <w:rStyle w:val="Hyperlink"/>
                <w:noProof/>
              </w:rPr>
              <w:t>Primary Objectives</w:t>
            </w:r>
            <w:r>
              <w:rPr>
                <w:noProof/>
                <w:webHidden/>
              </w:rPr>
              <w:tab/>
            </w:r>
            <w:r>
              <w:rPr>
                <w:noProof/>
                <w:webHidden/>
              </w:rPr>
              <w:fldChar w:fldCharType="begin"/>
            </w:r>
            <w:r>
              <w:rPr>
                <w:noProof/>
                <w:webHidden/>
              </w:rPr>
              <w:instrText xml:space="preserve"> PAGEREF _Toc243991437 \h </w:instrText>
            </w:r>
            <w:r>
              <w:rPr>
                <w:noProof/>
                <w:webHidden/>
              </w:rPr>
            </w:r>
            <w:r>
              <w:rPr>
                <w:noProof/>
                <w:webHidden/>
              </w:rPr>
              <w:fldChar w:fldCharType="separate"/>
            </w:r>
            <w:r w:rsidR="00E16754">
              <w:rPr>
                <w:noProof/>
                <w:webHidden/>
              </w:rPr>
              <w:t>13</w:t>
            </w:r>
            <w:r>
              <w:rPr>
                <w:noProof/>
                <w:webHidden/>
              </w:rPr>
              <w:fldChar w:fldCharType="end"/>
            </w:r>
          </w:hyperlink>
        </w:p>
        <w:p w:rsidR="00D7107F" w:rsidRDefault="00D7107F" w14:paraId="4A0695AC" w14:textId="5A676C7B">
          <w:pPr>
            <w:pStyle w:val="TOC2"/>
            <w:tabs>
              <w:tab w:val="right" w:leader="dot" w:pos="9350"/>
            </w:tabs>
            <w:rPr>
              <w:rFonts w:asciiTheme="minorHAnsi" w:hAnsiTheme="minorHAnsi" w:cstheme="minorBidi"/>
              <w:noProof/>
              <w:kern w:val="2"/>
              <w:sz w:val="24"/>
              <w:szCs w:val="24"/>
              <w14:ligatures w14:val="standardContextual"/>
            </w:rPr>
          </w:pPr>
          <w:hyperlink w:history="1" w:anchor="_Toc243991438">
            <w:r w:rsidRPr="00965922">
              <w:rPr>
                <w:rStyle w:val="Hyperlink"/>
                <w:noProof/>
              </w:rPr>
              <w:t>3.2.</w:t>
            </w:r>
            <w:r>
              <w:rPr>
                <w:rFonts w:asciiTheme="minorHAnsi" w:hAnsiTheme="minorHAnsi" w:cstheme="minorBidi"/>
                <w:noProof/>
                <w:kern w:val="2"/>
                <w:sz w:val="24"/>
                <w:szCs w:val="24"/>
                <w14:ligatures w14:val="standardContextual"/>
              </w:rPr>
              <w:tab/>
            </w:r>
            <w:r w:rsidRPr="00965922">
              <w:rPr>
                <w:rStyle w:val="Hyperlink"/>
                <w:noProof/>
              </w:rPr>
              <w:t>Primary Grid Constraints and Operational Improvements</w:t>
            </w:r>
            <w:r>
              <w:rPr>
                <w:noProof/>
                <w:webHidden/>
              </w:rPr>
              <w:tab/>
            </w:r>
            <w:r>
              <w:rPr>
                <w:noProof/>
                <w:webHidden/>
              </w:rPr>
              <w:fldChar w:fldCharType="begin"/>
            </w:r>
            <w:r>
              <w:rPr>
                <w:noProof/>
                <w:webHidden/>
              </w:rPr>
              <w:instrText xml:space="preserve"> PAGEREF _Toc243991438 \h </w:instrText>
            </w:r>
            <w:r>
              <w:rPr>
                <w:noProof/>
                <w:webHidden/>
              </w:rPr>
            </w:r>
            <w:r>
              <w:rPr>
                <w:noProof/>
                <w:webHidden/>
              </w:rPr>
              <w:fldChar w:fldCharType="separate"/>
            </w:r>
            <w:r w:rsidR="00E16754">
              <w:rPr>
                <w:noProof/>
                <w:webHidden/>
              </w:rPr>
              <w:t>16</w:t>
            </w:r>
            <w:r>
              <w:rPr>
                <w:noProof/>
                <w:webHidden/>
              </w:rPr>
              <w:fldChar w:fldCharType="end"/>
            </w:r>
          </w:hyperlink>
        </w:p>
        <w:p w:rsidR="00D7107F" w:rsidRDefault="00D7107F" w14:paraId="79A8CB5C" w14:textId="070C189A">
          <w:pPr>
            <w:pStyle w:val="TOC1"/>
            <w:tabs>
              <w:tab w:val="right" w:leader="dot" w:pos="9350"/>
            </w:tabs>
            <w:rPr>
              <w:rFonts w:asciiTheme="minorHAnsi" w:hAnsiTheme="minorHAnsi" w:cstheme="minorBidi"/>
              <w:noProof/>
              <w:kern w:val="2"/>
              <w:sz w:val="24"/>
              <w:szCs w:val="24"/>
              <w14:ligatures w14:val="standardContextual"/>
            </w:rPr>
          </w:pPr>
          <w:hyperlink w:history="1" w:anchor="_Toc243991439">
            <w:r w:rsidRPr="00965922">
              <w:rPr>
                <w:rStyle w:val="Hyperlink"/>
                <w:noProof/>
              </w:rPr>
              <w:t>4.</w:t>
            </w:r>
            <w:r>
              <w:rPr>
                <w:rFonts w:asciiTheme="minorHAnsi" w:hAnsiTheme="minorHAnsi" w:cstheme="minorBidi"/>
                <w:noProof/>
                <w:kern w:val="2"/>
                <w:sz w:val="24"/>
                <w:szCs w:val="24"/>
                <w14:ligatures w14:val="standardContextual"/>
              </w:rPr>
              <w:tab/>
            </w:r>
            <w:r w:rsidRPr="00965922">
              <w:rPr>
                <w:rStyle w:val="Hyperlink"/>
                <w:noProof/>
              </w:rPr>
              <w:t>DER Orchestration Application Framework</w:t>
            </w:r>
            <w:r>
              <w:rPr>
                <w:noProof/>
                <w:webHidden/>
              </w:rPr>
              <w:tab/>
            </w:r>
            <w:r>
              <w:rPr>
                <w:noProof/>
                <w:webHidden/>
              </w:rPr>
              <w:fldChar w:fldCharType="begin"/>
            </w:r>
            <w:r>
              <w:rPr>
                <w:noProof/>
                <w:webHidden/>
              </w:rPr>
              <w:instrText xml:space="preserve"> PAGEREF _Toc243991439 \h </w:instrText>
            </w:r>
            <w:r>
              <w:rPr>
                <w:noProof/>
                <w:webHidden/>
              </w:rPr>
            </w:r>
            <w:r>
              <w:rPr>
                <w:noProof/>
                <w:webHidden/>
              </w:rPr>
              <w:fldChar w:fldCharType="separate"/>
            </w:r>
            <w:r w:rsidR="00E16754">
              <w:rPr>
                <w:noProof/>
                <w:webHidden/>
              </w:rPr>
              <w:t>18</w:t>
            </w:r>
            <w:r>
              <w:rPr>
                <w:noProof/>
                <w:webHidden/>
              </w:rPr>
              <w:fldChar w:fldCharType="end"/>
            </w:r>
          </w:hyperlink>
        </w:p>
        <w:p w:rsidR="00D7107F" w:rsidRDefault="00D7107F" w14:paraId="5B8E8D7E" w14:textId="24954724">
          <w:pPr>
            <w:pStyle w:val="TOC2"/>
            <w:tabs>
              <w:tab w:val="right" w:leader="dot" w:pos="9350"/>
            </w:tabs>
            <w:rPr>
              <w:rFonts w:asciiTheme="minorHAnsi" w:hAnsiTheme="minorHAnsi" w:cstheme="minorBidi"/>
              <w:noProof/>
              <w:kern w:val="2"/>
              <w:sz w:val="24"/>
              <w:szCs w:val="24"/>
              <w14:ligatures w14:val="standardContextual"/>
            </w:rPr>
          </w:pPr>
          <w:hyperlink w:history="1" w:anchor="_Toc243991440">
            <w:r w:rsidRPr="00965922">
              <w:rPr>
                <w:rStyle w:val="Hyperlink"/>
                <w:noProof/>
              </w:rPr>
              <w:t>4.1.</w:t>
            </w:r>
            <w:r>
              <w:rPr>
                <w:rFonts w:asciiTheme="minorHAnsi" w:hAnsiTheme="minorHAnsi" w:cstheme="minorBidi"/>
                <w:noProof/>
                <w:kern w:val="2"/>
                <w:sz w:val="24"/>
                <w:szCs w:val="24"/>
                <w14:ligatures w14:val="standardContextual"/>
              </w:rPr>
              <w:tab/>
            </w:r>
            <w:r w:rsidRPr="00965922">
              <w:rPr>
                <w:rStyle w:val="Hyperlink"/>
                <w:noProof/>
              </w:rPr>
              <w:t>Framework Guiding Principles</w:t>
            </w:r>
            <w:r>
              <w:rPr>
                <w:noProof/>
                <w:webHidden/>
              </w:rPr>
              <w:tab/>
            </w:r>
            <w:r>
              <w:rPr>
                <w:noProof/>
                <w:webHidden/>
              </w:rPr>
              <w:fldChar w:fldCharType="begin"/>
            </w:r>
            <w:r>
              <w:rPr>
                <w:noProof/>
                <w:webHidden/>
              </w:rPr>
              <w:instrText xml:space="preserve"> PAGEREF _Toc243991440 \h </w:instrText>
            </w:r>
            <w:r>
              <w:rPr>
                <w:noProof/>
                <w:webHidden/>
              </w:rPr>
            </w:r>
            <w:r>
              <w:rPr>
                <w:noProof/>
                <w:webHidden/>
              </w:rPr>
              <w:fldChar w:fldCharType="separate"/>
            </w:r>
            <w:r w:rsidR="00E16754">
              <w:rPr>
                <w:noProof/>
                <w:webHidden/>
              </w:rPr>
              <w:t>18</w:t>
            </w:r>
            <w:r>
              <w:rPr>
                <w:noProof/>
                <w:webHidden/>
              </w:rPr>
              <w:fldChar w:fldCharType="end"/>
            </w:r>
          </w:hyperlink>
        </w:p>
        <w:p w:rsidR="00D7107F" w:rsidRDefault="00D7107F" w14:paraId="06D70B65" w14:textId="0BC72384">
          <w:pPr>
            <w:pStyle w:val="TOC2"/>
            <w:tabs>
              <w:tab w:val="right" w:leader="dot" w:pos="9350"/>
            </w:tabs>
            <w:rPr>
              <w:rFonts w:asciiTheme="minorHAnsi" w:hAnsiTheme="minorHAnsi" w:cstheme="minorBidi"/>
              <w:noProof/>
              <w:kern w:val="2"/>
              <w:sz w:val="24"/>
              <w:szCs w:val="24"/>
              <w14:ligatures w14:val="standardContextual"/>
            </w:rPr>
          </w:pPr>
          <w:hyperlink w:history="1" w:anchor="_Toc243991441">
            <w:r w:rsidRPr="00965922">
              <w:rPr>
                <w:rStyle w:val="Hyperlink"/>
                <w:noProof/>
              </w:rPr>
              <w:t>4.2.</w:t>
            </w:r>
            <w:r>
              <w:rPr>
                <w:rFonts w:asciiTheme="minorHAnsi" w:hAnsiTheme="minorHAnsi" w:cstheme="minorBidi"/>
                <w:noProof/>
                <w:kern w:val="2"/>
                <w:sz w:val="24"/>
                <w:szCs w:val="24"/>
                <w14:ligatures w14:val="standardContextual"/>
              </w:rPr>
              <w:tab/>
            </w:r>
            <w:r w:rsidRPr="00965922">
              <w:rPr>
                <w:rStyle w:val="Hyperlink"/>
                <w:noProof/>
              </w:rPr>
              <w:t>Pre-Application Stakeholder Engagement</w:t>
            </w:r>
            <w:r>
              <w:rPr>
                <w:noProof/>
                <w:webHidden/>
              </w:rPr>
              <w:tab/>
            </w:r>
            <w:r>
              <w:rPr>
                <w:noProof/>
                <w:webHidden/>
              </w:rPr>
              <w:fldChar w:fldCharType="begin"/>
            </w:r>
            <w:r>
              <w:rPr>
                <w:noProof/>
                <w:webHidden/>
              </w:rPr>
              <w:instrText xml:space="preserve"> PAGEREF _Toc243991441 \h </w:instrText>
            </w:r>
            <w:r>
              <w:rPr>
                <w:noProof/>
                <w:webHidden/>
              </w:rPr>
            </w:r>
            <w:r>
              <w:rPr>
                <w:noProof/>
                <w:webHidden/>
              </w:rPr>
              <w:fldChar w:fldCharType="separate"/>
            </w:r>
            <w:r w:rsidR="00E16754">
              <w:rPr>
                <w:noProof/>
                <w:webHidden/>
              </w:rPr>
              <w:t>22</w:t>
            </w:r>
            <w:r>
              <w:rPr>
                <w:noProof/>
                <w:webHidden/>
              </w:rPr>
              <w:fldChar w:fldCharType="end"/>
            </w:r>
          </w:hyperlink>
        </w:p>
        <w:p w:rsidR="00D7107F" w:rsidRDefault="00D7107F" w14:paraId="02DCD565" w14:textId="28550388">
          <w:pPr>
            <w:pStyle w:val="TOC3"/>
            <w:tabs>
              <w:tab w:val="left" w:pos="1296"/>
              <w:tab w:val="right" w:leader="dot" w:pos="9350"/>
            </w:tabs>
            <w:rPr>
              <w:rFonts w:asciiTheme="minorHAnsi" w:hAnsiTheme="minorHAnsi" w:cstheme="minorBidi"/>
              <w:noProof/>
              <w:kern w:val="2"/>
              <w:sz w:val="24"/>
              <w:szCs w:val="24"/>
              <w14:ligatures w14:val="standardContextual"/>
            </w:rPr>
          </w:pPr>
          <w:hyperlink w:history="1" w:anchor="_Toc243991442">
            <w:r w:rsidRPr="00965922">
              <w:rPr>
                <w:rStyle w:val="Hyperlink"/>
                <w:noProof/>
              </w:rPr>
              <w:t>4.2.1.</w:t>
            </w:r>
            <w:r>
              <w:rPr>
                <w:rFonts w:asciiTheme="minorHAnsi" w:hAnsiTheme="minorHAnsi" w:cstheme="minorBidi"/>
                <w:noProof/>
                <w:kern w:val="2"/>
                <w:sz w:val="24"/>
                <w:szCs w:val="24"/>
                <w14:ligatures w14:val="standardContextual"/>
              </w:rPr>
              <w:tab/>
            </w:r>
            <w:r w:rsidRPr="00965922">
              <w:rPr>
                <w:rStyle w:val="Hyperlink"/>
                <w:noProof/>
              </w:rPr>
              <w:t>Working Group Meeting Series</w:t>
            </w:r>
            <w:r>
              <w:rPr>
                <w:noProof/>
                <w:webHidden/>
              </w:rPr>
              <w:tab/>
            </w:r>
            <w:r>
              <w:rPr>
                <w:noProof/>
                <w:webHidden/>
              </w:rPr>
              <w:fldChar w:fldCharType="begin"/>
            </w:r>
            <w:r>
              <w:rPr>
                <w:noProof/>
                <w:webHidden/>
              </w:rPr>
              <w:instrText xml:space="preserve"> PAGEREF _Toc243991442 \h </w:instrText>
            </w:r>
            <w:r>
              <w:rPr>
                <w:noProof/>
                <w:webHidden/>
              </w:rPr>
            </w:r>
            <w:r>
              <w:rPr>
                <w:noProof/>
                <w:webHidden/>
              </w:rPr>
              <w:fldChar w:fldCharType="separate"/>
            </w:r>
            <w:r w:rsidR="00E16754">
              <w:rPr>
                <w:noProof/>
                <w:webHidden/>
              </w:rPr>
              <w:t>23</w:t>
            </w:r>
            <w:r>
              <w:rPr>
                <w:noProof/>
                <w:webHidden/>
              </w:rPr>
              <w:fldChar w:fldCharType="end"/>
            </w:r>
          </w:hyperlink>
        </w:p>
        <w:p w:rsidR="00D7107F" w:rsidRDefault="00D7107F" w14:paraId="6CF343E7" w14:textId="0F2914D7">
          <w:pPr>
            <w:pStyle w:val="TOC1"/>
            <w:tabs>
              <w:tab w:val="right" w:leader="dot" w:pos="9350"/>
            </w:tabs>
            <w:rPr>
              <w:rFonts w:asciiTheme="minorHAnsi" w:hAnsiTheme="minorHAnsi" w:cstheme="minorBidi"/>
              <w:noProof/>
              <w:kern w:val="2"/>
              <w:sz w:val="24"/>
              <w:szCs w:val="24"/>
              <w14:ligatures w14:val="standardContextual"/>
            </w:rPr>
          </w:pPr>
          <w:hyperlink w:history="1" w:anchor="_Toc243991443">
            <w:r w:rsidRPr="00965922">
              <w:rPr>
                <w:rStyle w:val="Hyperlink"/>
                <w:noProof/>
              </w:rPr>
              <w:t>5.</w:t>
            </w:r>
            <w:r>
              <w:rPr>
                <w:rFonts w:asciiTheme="minorHAnsi" w:hAnsiTheme="minorHAnsi" w:cstheme="minorBidi"/>
                <w:noProof/>
                <w:kern w:val="2"/>
                <w:sz w:val="24"/>
                <w:szCs w:val="24"/>
                <w14:ligatures w14:val="standardContextual"/>
              </w:rPr>
              <w:tab/>
            </w:r>
            <w:r w:rsidRPr="00965922">
              <w:rPr>
                <w:rStyle w:val="Hyperlink"/>
                <w:noProof/>
              </w:rPr>
              <w:t>Valuation Frameworks</w:t>
            </w:r>
            <w:r>
              <w:rPr>
                <w:noProof/>
                <w:webHidden/>
              </w:rPr>
              <w:tab/>
            </w:r>
            <w:r>
              <w:rPr>
                <w:noProof/>
                <w:webHidden/>
              </w:rPr>
              <w:fldChar w:fldCharType="begin"/>
            </w:r>
            <w:r>
              <w:rPr>
                <w:noProof/>
                <w:webHidden/>
              </w:rPr>
              <w:instrText xml:space="preserve"> PAGEREF _Toc243991443 \h </w:instrText>
            </w:r>
            <w:r>
              <w:rPr>
                <w:noProof/>
                <w:webHidden/>
              </w:rPr>
            </w:r>
            <w:r>
              <w:rPr>
                <w:noProof/>
                <w:webHidden/>
              </w:rPr>
              <w:fldChar w:fldCharType="separate"/>
            </w:r>
            <w:r w:rsidR="00E16754">
              <w:rPr>
                <w:noProof/>
                <w:webHidden/>
              </w:rPr>
              <w:t>27</w:t>
            </w:r>
            <w:r>
              <w:rPr>
                <w:noProof/>
                <w:webHidden/>
              </w:rPr>
              <w:fldChar w:fldCharType="end"/>
            </w:r>
          </w:hyperlink>
        </w:p>
        <w:p w:rsidR="00D7107F" w:rsidRDefault="00D7107F" w14:paraId="4B80E84F" w14:textId="4B9201DA">
          <w:pPr>
            <w:pStyle w:val="TOC2"/>
            <w:tabs>
              <w:tab w:val="right" w:leader="dot" w:pos="9350"/>
            </w:tabs>
            <w:rPr>
              <w:rFonts w:asciiTheme="minorHAnsi" w:hAnsiTheme="minorHAnsi" w:cstheme="minorBidi"/>
              <w:noProof/>
              <w:kern w:val="2"/>
              <w:sz w:val="24"/>
              <w:szCs w:val="24"/>
              <w14:ligatures w14:val="standardContextual"/>
            </w:rPr>
          </w:pPr>
          <w:hyperlink w:history="1" w:anchor="_Toc243991444">
            <w:r w:rsidRPr="00965922">
              <w:rPr>
                <w:rStyle w:val="Hyperlink"/>
                <w:noProof/>
              </w:rPr>
              <w:t>5.1.</w:t>
            </w:r>
            <w:r>
              <w:rPr>
                <w:rFonts w:asciiTheme="minorHAnsi" w:hAnsiTheme="minorHAnsi" w:cstheme="minorBidi"/>
                <w:noProof/>
                <w:kern w:val="2"/>
                <w:sz w:val="24"/>
                <w:szCs w:val="24"/>
                <w14:ligatures w14:val="standardContextual"/>
              </w:rPr>
              <w:tab/>
            </w:r>
            <w:r w:rsidRPr="00965922">
              <w:rPr>
                <w:rStyle w:val="Hyperlink"/>
                <w:noProof/>
              </w:rPr>
              <w:t>Cost-Effectiveness and Benefit-Cost Methodologies</w:t>
            </w:r>
            <w:r>
              <w:rPr>
                <w:noProof/>
                <w:webHidden/>
              </w:rPr>
              <w:tab/>
            </w:r>
            <w:r>
              <w:rPr>
                <w:noProof/>
                <w:webHidden/>
              </w:rPr>
              <w:fldChar w:fldCharType="begin"/>
            </w:r>
            <w:r>
              <w:rPr>
                <w:noProof/>
                <w:webHidden/>
              </w:rPr>
              <w:instrText xml:space="preserve"> PAGEREF _Toc243991444 \h </w:instrText>
            </w:r>
            <w:r>
              <w:rPr>
                <w:noProof/>
                <w:webHidden/>
              </w:rPr>
            </w:r>
            <w:r>
              <w:rPr>
                <w:noProof/>
                <w:webHidden/>
              </w:rPr>
              <w:fldChar w:fldCharType="separate"/>
            </w:r>
            <w:r w:rsidR="00E16754">
              <w:rPr>
                <w:noProof/>
                <w:webHidden/>
              </w:rPr>
              <w:t>30</w:t>
            </w:r>
            <w:r>
              <w:rPr>
                <w:noProof/>
                <w:webHidden/>
              </w:rPr>
              <w:fldChar w:fldCharType="end"/>
            </w:r>
          </w:hyperlink>
        </w:p>
        <w:p w:rsidR="00D7107F" w:rsidRDefault="00D7107F" w14:paraId="2B5D0521" w14:textId="1EA0A352">
          <w:pPr>
            <w:pStyle w:val="TOC3"/>
            <w:tabs>
              <w:tab w:val="left" w:pos="1296"/>
              <w:tab w:val="right" w:leader="dot" w:pos="9350"/>
            </w:tabs>
            <w:rPr>
              <w:rFonts w:asciiTheme="minorHAnsi" w:hAnsiTheme="minorHAnsi" w:cstheme="minorBidi"/>
              <w:noProof/>
              <w:kern w:val="2"/>
              <w:sz w:val="24"/>
              <w:szCs w:val="24"/>
              <w14:ligatures w14:val="standardContextual"/>
            </w:rPr>
          </w:pPr>
          <w:hyperlink w:history="1" w:anchor="_Toc243991445">
            <w:r w:rsidRPr="00965922">
              <w:rPr>
                <w:rStyle w:val="Hyperlink"/>
                <w:noProof/>
              </w:rPr>
              <w:t>5.1.1.</w:t>
            </w:r>
            <w:r>
              <w:rPr>
                <w:rFonts w:asciiTheme="minorHAnsi" w:hAnsiTheme="minorHAnsi" w:cstheme="minorBidi"/>
                <w:noProof/>
                <w:kern w:val="2"/>
                <w:sz w:val="24"/>
                <w:szCs w:val="24"/>
                <w14:ligatures w14:val="standardContextual"/>
              </w:rPr>
              <w:tab/>
            </w:r>
            <w:r w:rsidRPr="00965922">
              <w:rPr>
                <w:rStyle w:val="Hyperlink"/>
                <w:noProof/>
              </w:rPr>
              <w:t>Use-Case Specific Approach to Cost-Effectiveness</w:t>
            </w:r>
            <w:r>
              <w:rPr>
                <w:noProof/>
                <w:webHidden/>
              </w:rPr>
              <w:tab/>
            </w:r>
            <w:r>
              <w:rPr>
                <w:noProof/>
                <w:webHidden/>
              </w:rPr>
              <w:fldChar w:fldCharType="begin"/>
            </w:r>
            <w:r>
              <w:rPr>
                <w:noProof/>
                <w:webHidden/>
              </w:rPr>
              <w:instrText xml:space="preserve"> PAGEREF _Toc243991445 \h </w:instrText>
            </w:r>
            <w:r>
              <w:rPr>
                <w:noProof/>
                <w:webHidden/>
              </w:rPr>
            </w:r>
            <w:r>
              <w:rPr>
                <w:noProof/>
                <w:webHidden/>
              </w:rPr>
              <w:fldChar w:fldCharType="separate"/>
            </w:r>
            <w:r w:rsidR="00E16754">
              <w:rPr>
                <w:noProof/>
                <w:webHidden/>
              </w:rPr>
              <w:t>31</w:t>
            </w:r>
            <w:r>
              <w:rPr>
                <w:noProof/>
                <w:webHidden/>
              </w:rPr>
              <w:fldChar w:fldCharType="end"/>
            </w:r>
          </w:hyperlink>
        </w:p>
        <w:p w:rsidR="00D7107F" w:rsidRDefault="00D7107F" w14:paraId="2A9A8214" w14:textId="6A86227E">
          <w:pPr>
            <w:pStyle w:val="TOC3"/>
            <w:tabs>
              <w:tab w:val="left" w:pos="1296"/>
              <w:tab w:val="right" w:leader="dot" w:pos="9350"/>
            </w:tabs>
            <w:rPr>
              <w:rFonts w:asciiTheme="minorHAnsi" w:hAnsiTheme="minorHAnsi" w:cstheme="minorBidi"/>
              <w:noProof/>
              <w:kern w:val="2"/>
              <w:sz w:val="24"/>
              <w:szCs w:val="24"/>
              <w14:ligatures w14:val="standardContextual"/>
            </w:rPr>
          </w:pPr>
          <w:hyperlink w:history="1" w:anchor="_Toc243991446">
            <w:r w:rsidRPr="00965922">
              <w:rPr>
                <w:rStyle w:val="Hyperlink"/>
                <w:noProof/>
              </w:rPr>
              <w:t>5.1.2.</w:t>
            </w:r>
            <w:r>
              <w:rPr>
                <w:rFonts w:asciiTheme="minorHAnsi" w:hAnsiTheme="minorHAnsi" w:cstheme="minorBidi"/>
                <w:noProof/>
                <w:kern w:val="2"/>
                <w:sz w:val="24"/>
                <w:szCs w:val="24"/>
                <w14:ligatures w14:val="standardContextual"/>
              </w:rPr>
              <w:tab/>
            </w:r>
            <w:r w:rsidRPr="00965922">
              <w:rPr>
                <w:rStyle w:val="Hyperlink"/>
                <w:noProof/>
              </w:rPr>
              <w:t>Measures for Demonstrating Cost-Effectiveness</w:t>
            </w:r>
            <w:r>
              <w:rPr>
                <w:noProof/>
                <w:webHidden/>
              </w:rPr>
              <w:tab/>
            </w:r>
            <w:r>
              <w:rPr>
                <w:noProof/>
                <w:webHidden/>
              </w:rPr>
              <w:fldChar w:fldCharType="begin"/>
            </w:r>
            <w:r>
              <w:rPr>
                <w:noProof/>
                <w:webHidden/>
              </w:rPr>
              <w:instrText xml:space="preserve"> PAGEREF _Toc243991446 \h </w:instrText>
            </w:r>
            <w:r>
              <w:rPr>
                <w:noProof/>
                <w:webHidden/>
              </w:rPr>
            </w:r>
            <w:r>
              <w:rPr>
                <w:noProof/>
                <w:webHidden/>
              </w:rPr>
              <w:fldChar w:fldCharType="separate"/>
            </w:r>
            <w:r w:rsidR="00E16754">
              <w:rPr>
                <w:noProof/>
                <w:webHidden/>
              </w:rPr>
              <w:t>31</w:t>
            </w:r>
            <w:r>
              <w:rPr>
                <w:noProof/>
                <w:webHidden/>
              </w:rPr>
              <w:fldChar w:fldCharType="end"/>
            </w:r>
          </w:hyperlink>
        </w:p>
        <w:p w:rsidR="00D7107F" w:rsidRDefault="00D7107F" w14:paraId="047D10DC" w14:textId="383EC703">
          <w:pPr>
            <w:pStyle w:val="TOC1"/>
            <w:tabs>
              <w:tab w:val="right" w:leader="dot" w:pos="9350"/>
            </w:tabs>
            <w:rPr>
              <w:rFonts w:asciiTheme="minorHAnsi" w:hAnsiTheme="minorHAnsi" w:cstheme="minorBidi"/>
              <w:noProof/>
              <w:kern w:val="2"/>
              <w:sz w:val="24"/>
              <w:szCs w:val="24"/>
              <w14:ligatures w14:val="standardContextual"/>
            </w:rPr>
          </w:pPr>
          <w:hyperlink w:history="1" w:anchor="_Toc243991447">
            <w:r w:rsidRPr="00965922">
              <w:rPr>
                <w:rStyle w:val="Hyperlink"/>
                <w:noProof/>
              </w:rPr>
              <w:t>6.</w:t>
            </w:r>
            <w:r>
              <w:rPr>
                <w:rFonts w:asciiTheme="minorHAnsi" w:hAnsiTheme="minorHAnsi" w:cstheme="minorBidi"/>
                <w:noProof/>
                <w:kern w:val="2"/>
                <w:sz w:val="24"/>
                <w:szCs w:val="24"/>
                <w14:ligatures w14:val="standardContextual"/>
              </w:rPr>
              <w:tab/>
            </w:r>
            <w:r w:rsidRPr="00965922">
              <w:rPr>
                <w:rStyle w:val="Hyperlink"/>
                <w:noProof/>
              </w:rPr>
              <w:t>Interoperability, DSO Visibility, Dispatch and Control</w:t>
            </w:r>
            <w:r>
              <w:rPr>
                <w:noProof/>
                <w:webHidden/>
              </w:rPr>
              <w:tab/>
            </w:r>
            <w:r>
              <w:rPr>
                <w:noProof/>
                <w:webHidden/>
              </w:rPr>
              <w:fldChar w:fldCharType="begin"/>
            </w:r>
            <w:r>
              <w:rPr>
                <w:noProof/>
                <w:webHidden/>
              </w:rPr>
              <w:instrText xml:space="preserve"> PAGEREF _Toc243991447 \h </w:instrText>
            </w:r>
            <w:r>
              <w:rPr>
                <w:noProof/>
                <w:webHidden/>
              </w:rPr>
            </w:r>
            <w:r>
              <w:rPr>
                <w:noProof/>
                <w:webHidden/>
              </w:rPr>
              <w:fldChar w:fldCharType="separate"/>
            </w:r>
            <w:r w:rsidR="00E16754">
              <w:rPr>
                <w:noProof/>
                <w:webHidden/>
              </w:rPr>
              <w:t>34</w:t>
            </w:r>
            <w:r>
              <w:rPr>
                <w:noProof/>
                <w:webHidden/>
              </w:rPr>
              <w:fldChar w:fldCharType="end"/>
            </w:r>
          </w:hyperlink>
        </w:p>
        <w:p w:rsidR="00D7107F" w:rsidRDefault="00D7107F" w14:paraId="4CFC885C" w14:textId="62D01F26">
          <w:pPr>
            <w:pStyle w:val="TOC2"/>
            <w:tabs>
              <w:tab w:val="right" w:leader="dot" w:pos="9350"/>
            </w:tabs>
            <w:rPr>
              <w:rFonts w:asciiTheme="minorHAnsi" w:hAnsiTheme="minorHAnsi" w:cstheme="minorBidi"/>
              <w:noProof/>
              <w:kern w:val="2"/>
              <w:sz w:val="24"/>
              <w:szCs w:val="24"/>
              <w14:ligatures w14:val="standardContextual"/>
            </w:rPr>
          </w:pPr>
          <w:hyperlink w:history="1" w:anchor="_Toc243991448">
            <w:r w:rsidRPr="00965922">
              <w:rPr>
                <w:rStyle w:val="Hyperlink"/>
                <w:noProof/>
              </w:rPr>
              <w:t>6.1.</w:t>
            </w:r>
            <w:r>
              <w:rPr>
                <w:rFonts w:asciiTheme="minorHAnsi" w:hAnsiTheme="minorHAnsi" w:cstheme="minorBidi"/>
                <w:noProof/>
                <w:kern w:val="2"/>
                <w:sz w:val="24"/>
                <w:szCs w:val="24"/>
                <w14:ligatures w14:val="standardContextual"/>
              </w:rPr>
              <w:tab/>
            </w:r>
            <w:r w:rsidRPr="00965922">
              <w:rPr>
                <w:rStyle w:val="Hyperlink"/>
                <w:noProof/>
              </w:rPr>
              <w:t>IOU Presentations on Proposed Strategies for Interoperability</w:t>
            </w:r>
            <w:r>
              <w:rPr>
                <w:noProof/>
                <w:webHidden/>
              </w:rPr>
              <w:tab/>
            </w:r>
            <w:r>
              <w:rPr>
                <w:noProof/>
                <w:webHidden/>
              </w:rPr>
              <w:fldChar w:fldCharType="begin"/>
            </w:r>
            <w:r>
              <w:rPr>
                <w:noProof/>
                <w:webHidden/>
              </w:rPr>
              <w:instrText xml:space="preserve"> PAGEREF _Toc243991448 \h </w:instrText>
            </w:r>
            <w:r>
              <w:rPr>
                <w:noProof/>
                <w:webHidden/>
              </w:rPr>
            </w:r>
            <w:r>
              <w:rPr>
                <w:noProof/>
                <w:webHidden/>
              </w:rPr>
              <w:fldChar w:fldCharType="separate"/>
            </w:r>
            <w:r w:rsidR="00E16754">
              <w:rPr>
                <w:noProof/>
                <w:webHidden/>
              </w:rPr>
              <w:t>34</w:t>
            </w:r>
            <w:r>
              <w:rPr>
                <w:noProof/>
                <w:webHidden/>
              </w:rPr>
              <w:fldChar w:fldCharType="end"/>
            </w:r>
          </w:hyperlink>
        </w:p>
        <w:p w:rsidR="00D7107F" w:rsidRDefault="00D7107F" w14:paraId="0F08135B" w14:textId="1289B6AE">
          <w:pPr>
            <w:pStyle w:val="TOC2"/>
            <w:tabs>
              <w:tab w:val="right" w:leader="dot" w:pos="9350"/>
            </w:tabs>
            <w:rPr>
              <w:rFonts w:asciiTheme="minorHAnsi" w:hAnsiTheme="minorHAnsi" w:cstheme="minorBidi"/>
              <w:noProof/>
              <w:kern w:val="2"/>
              <w:sz w:val="24"/>
              <w:szCs w:val="24"/>
              <w14:ligatures w14:val="standardContextual"/>
            </w:rPr>
          </w:pPr>
          <w:hyperlink w:history="1" w:anchor="_Toc243991449">
            <w:r w:rsidRPr="00965922">
              <w:rPr>
                <w:rStyle w:val="Hyperlink"/>
                <w:noProof/>
              </w:rPr>
              <w:t>6.2.</w:t>
            </w:r>
            <w:r>
              <w:rPr>
                <w:rFonts w:asciiTheme="minorHAnsi" w:hAnsiTheme="minorHAnsi" w:cstheme="minorBidi"/>
                <w:noProof/>
                <w:kern w:val="2"/>
                <w:sz w:val="24"/>
                <w:szCs w:val="24"/>
                <w14:ligatures w14:val="standardContextual"/>
              </w:rPr>
              <w:tab/>
            </w:r>
            <w:r w:rsidRPr="00965922">
              <w:rPr>
                <w:rStyle w:val="Hyperlink"/>
                <w:noProof/>
              </w:rPr>
              <w:t>Role of DER Aggregators Within a Proposed Framework</w:t>
            </w:r>
            <w:r>
              <w:rPr>
                <w:noProof/>
                <w:webHidden/>
              </w:rPr>
              <w:tab/>
            </w:r>
            <w:r>
              <w:rPr>
                <w:noProof/>
                <w:webHidden/>
              </w:rPr>
              <w:fldChar w:fldCharType="begin"/>
            </w:r>
            <w:r>
              <w:rPr>
                <w:noProof/>
                <w:webHidden/>
              </w:rPr>
              <w:instrText xml:space="preserve"> PAGEREF _Toc243991449 \h </w:instrText>
            </w:r>
            <w:r>
              <w:rPr>
                <w:noProof/>
                <w:webHidden/>
              </w:rPr>
            </w:r>
            <w:r>
              <w:rPr>
                <w:noProof/>
                <w:webHidden/>
              </w:rPr>
              <w:fldChar w:fldCharType="separate"/>
            </w:r>
            <w:r w:rsidR="00E16754">
              <w:rPr>
                <w:noProof/>
                <w:webHidden/>
              </w:rPr>
              <w:t>38</w:t>
            </w:r>
            <w:r>
              <w:rPr>
                <w:noProof/>
                <w:webHidden/>
              </w:rPr>
              <w:fldChar w:fldCharType="end"/>
            </w:r>
          </w:hyperlink>
        </w:p>
        <w:p w:rsidR="00D7107F" w:rsidRDefault="00D7107F" w14:paraId="43DB4D0B" w14:textId="3EFC3024">
          <w:pPr>
            <w:pStyle w:val="TOC2"/>
            <w:tabs>
              <w:tab w:val="right" w:leader="dot" w:pos="9350"/>
            </w:tabs>
            <w:rPr>
              <w:rFonts w:asciiTheme="minorHAnsi" w:hAnsiTheme="minorHAnsi" w:cstheme="minorBidi"/>
              <w:noProof/>
              <w:kern w:val="2"/>
              <w:sz w:val="24"/>
              <w:szCs w:val="24"/>
              <w14:ligatures w14:val="standardContextual"/>
            </w:rPr>
          </w:pPr>
          <w:hyperlink w:history="1" w:anchor="_Toc243991450">
            <w:r w:rsidRPr="00965922">
              <w:rPr>
                <w:rStyle w:val="Hyperlink"/>
                <w:noProof/>
              </w:rPr>
              <w:t>6.3.</w:t>
            </w:r>
            <w:r>
              <w:rPr>
                <w:rFonts w:asciiTheme="minorHAnsi" w:hAnsiTheme="minorHAnsi" w:cstheme="minorBidi"/>
                <w:noProof/>
                <w:kern w:val="2"/>
                <w:sz w:val="24"/>
                <w:szCs w:val="24"/>
                <w14:ligatures w14:val="standardContextual"/>
              </w:rPr>
              <w:tab/>
            </w:r>
            <w:r w:rsidRPr="00965922">
              <w:rPr>
                <w:rStyle w:val="Hyperlink"/>
                <w:noProof/>
              </w:rPr>
              <w:t>Flexible Dispatching Mechanisms</w:t>
            </w:r>
            <w:r>
              <w:rPr>
                <w:noProof/>
                <w:webHidden/>
              </w:rPr>
              <w:tab/>
            </w:r>
            <w:r>
              <w:rPr>
                <w:noProof/>
                <w:webHidden/>
              </w:rPr>
              <w:fldChar w:fldCharType="begin"/>
            </w:r>
            <w:r>
              <w:rPr>
                <w:noProof/>
                <w:webHidden/>
              </w:rPr>
              <w:instrText xml:space="preserve"> PAGEREF _Toc243991450 \h </w:instrText>
            </w:r>
            <w:r>
              <w:rPr>
                <w:noProof/>
                <w:webHidden/>
              </w:rPr>
            </w:r>
            <w:r>
              <w:rPr>
                <w:noProof/>
                <w:webHidden/>
              </w:rPr>
              <w:fldChar w:fldCharType="separate"/>
            </w:r>
            <w:r w:rsidR="00E16754">
              <w:rPr>
                <w:noProof/>
                <w:webHidden/>
              </w:rPr>
              <w:t>41</w:t>
            </w:r>
            <w:r>
              <w:rPr>
                <w:noProof/>
                <w:webHidden/>
              </w:rPr>
              <w:fldChar w:fldCharType="end"/>
            </w:r>
          </w:hyperlink>
        </w:p>
        <w:p w:rsidR="00D7107F" w:rsidRDefault="00D7107F" w14:paraId="4F2787AC" w14:textId="1A5C34B3">
          <w:pPr>
            <w:pStyle w:val="TOC1"/>
            <w:tabs>
              <w:tab w:val="right" w:leader="dot" w:pos="9350"/>
            </w:tabs>
            <w:rPr>
              <w:rFonts w:asciiTheme="minorHAnsi" w:hAnsiTheme="minorHAnsi" w:cstheme="minorBidi"/>
              <w:noProof/>
              <w:kern w:val="2"/>
              <w:sz w:val="24"/>
              <w:szCs w:val="24"/>
              <w14:ligatures w14:val="standardContextual"/>
            </w:rPr>
          </w:pPr>
          <w:hyperlink w:history="1" w:anchor="_Toc243991451">
            <w:r w:rsidRPr="00965922">
              <w:rPr>
                <w:rStyle w:val="Hyperlink"/>
                <w:noProof/>
              </w:rPr>
              <w:t>7.</w:t>
            </w:r>
            <w:r>
              <w:rPr>
                <w:rFonts w:asciiTheme="minorHAnsi" w:hAnsiTheme="minorHAnsi" w:cstheme="minorBidi"/>
                <w:noProof/>
                <w:kern w:val="2"/>
                <w:sz w:val="24"/>
                <w:szCs w:val="24"/>
                <w14:ligatures w14:val="standardContextual"/>
              </w:rPr>
              <w:tab/>
            </w:r>
            <w:r w:rsidRPr="00965922">
              <w:rPr>
                <w:rStyle w:val="Hyperlink"/>
                <w:noProof/>
              </w:rPr>
              <w:t>DER Orchestration Implementation</w:t>
            </w:r>
            <w:r>
              <w:rPr>
                <w:noProof/>
                <w:webHidden/>
              </w:rPr>
              <w:tab/>
            </w:r>
            <w:r>
              <w:rPr>
                <w:noProof/>
                <w:webHidden/>
              </w:rPr>
              <w:fldChar w:fldCharType="begin"/>
            </w:r>
            <w:r>
              <w:rPr>
                <w:noProof/>
                <w:webHidden/>
              </w:rPr>
              <w:instrText xml:space="preserve"> PAGEREF _Toc243991451 \h </w:instrText>
            </w:r>
            <w:r>
              <w:rPr>
                <w:noProof/>
                <w:webHidden/>
              </w:rPr>
            </w:r>
            <w:r>
              <w:rPr>
                <w:noProof/>
                <w:webHidden/>
              </w:rPr>
              <w:fldChar w:fldCharType="separate"/>
            </w:r>
            <w:r w:rsidR="00E16754">
              <w:rPr>
                <w:noProof/>
                <w:webHidden/>
              </w:rPr>
              <w:t>44</w:t>
            </w:r>
            <w:r>
              <w:rPr>
                <w:noProof/>
                <w:webHidden/>
              </w:rPr>
              <w:fldChar w:fldCharType="end"/>
            </w:r>
          </w:hyperlink>
        </w:p>
        <w:p w:rsidR="00D7107F" w:rsidRDefault="00D7107F" w14:paraId="3A8CA1CF" w14:textId="69730E27">
          <w:pPr>
            <w:pStyle w:val="TOC2"/>
            <w:tabs>
              <w:tab w:val="right" w:leader="dot" w:pos="9350"/>
            </w:tabs>
            <w:rPr>
              <w:rFonts w:asciiTheme="minorHAnsi" w:hAnsiTheme="minorHAnsi" w:cstheme="minorBidi"/>
              <w:noProof/>
              <w:kern w:val="2"/>
              <w:sz w:val="24"/>
              <w:szCs w:val="24"/>
              <w14:ligatures w14:val="standardContextual"/>
            </w:rPr>
          </w:pPr>
          <w:hyperlink w:history="1" w:anchor="_Toc243991452">
            <w:r w:rsidRPr="00965922">
              <w:rPr>
                <w:rStyle w:val="Hyperlink"/>
                <w:noProof/>
              </w:rPr>
              <w:t>7.1.</w:t>
            </w:r>
            <w:r>
              <w:rPr>
                <w:rFonts w:asciiTheme="minorHAnsi" w:hAnsiTheme="minorHAnsi" w:cstheme="minorBidi"/>
                <w:noProof/>
                <w:kern w:val="2"/>
                <w:sz w:val="24"/>
                <w:szCs w:val="24"/>
                <w14:ligatures w14:val="standardContextual"/>
              </w:rPr>
              <w:tab/>
            </w:r>
            <w:r w:rsidRPr="00965922">
              <w:rPr>
                <w:rStyle w:val="Hyperlink"/>
                <w:noProof/>
              </w:rPr>
              <w:t>IOU Readiness</w:t>
            </w:r>
            <w:r>
              <w:rPr>
                <w:noProof/>
                <w:webHidden/>
              </w:rPr>
              <w:tab/>
            </w:r>
            <w:r>
              <w:rPr>
                <w:noProof/>
                <w:webHidden/>
              </w:rPr>
              <w:fldChar w:fldCharType="begin"/>
            </w:r>
            <w:r>
              <w:rPr>
                <w:noProof/>
                <w:webHidden/>
              </w:rPr>
              <w:instrText xml:space="preserve"> PAGEREF _Toc243991452 \h </w:instrText>
            </w:r>
            <w:r>
              <w:rPr>
                <w:noProof/>
                <w:webHidden/>
              </w:rPr>
            </w:r>
            <w:r>
              <w:rPr>
                <w:noProof/>
                <w:webHidden/>
              </w:rPr>
              <w:fldChar w:fldCharType="separate"/>
            </w:r>
            <w:r w:rsidR="00E16754">
              <w:rPr>
                <w:noProof/>
                <w:webHidden/>
              </w:rPr>
              <w:t>44</w:t>
            </w:r>
            <w:r>
              <w:rPr>
                <w:noProof/>
                <w:webHidden/>
              </w:rPr>
              <w:fldChar w:fldCharType="end"/>
            </w:r>
          </w:hyperlink>
        </w:p>
        <w:p w:rsidR="00D7107F" w:rsidRDefault="00D7107F" w14:paraId="40285140" w14:textId="665D017B">
          <w:pPr>
            <w:pStyle w:val="TOC3"/>
            <w:tabs>
              <w:tab w:val="left" w:pos="1296"/>
              <w:tab w:val="right" w:leader="dot" w:pos="9350"/>
            </w:tabs>
            <w:rPr>
              <w:rFonts w:asciiTheme="minorHAnsi" w:hAnsiTheme="minorHAnsi" w:cstheme="minorBidi"/>
              <w:noProof/>
              <w:kern w:val="2"/>
              <w:sz w:val="24"/>
              <w:szCs w:val="24"/>
              <w14:ligatures w14:val="standardContextual"/>
            </w:rPr>
          </w:pPr>
          <w:hyperlink w:history="1" w:anchor="_Toc243991453">
            <w:r w:rsidRPr="00965922">
              <w:rPr>
                <w:rStyle w:val="Hyperlink"/>
                <w:noProof/>
              </w:rPr>
              <w:t>7.1.1.</w:t>
            </w:r>
            <w:r>
              <w:rPr>
                <w:rFonts w:asciiTheme="minorHAnsi" w:hAnsiTheme="minorHAnsi" w:cstheme="minorBidi"/>
                <w:noProof/>
                <w:kern w:val="2"/>
                <w:sz w:val="24"/>
                <w:szCs w:val="24"/>
                <w14:ligatures w14:val="standardContextual"/>
              </w:rPr>
              <w:tab/>
            </w:r>
            <w:r w:rsidRPr="00965922">
              <w:rPr>
                <w:rStyle w:val="Hyperlink"/>
                <w:noProof/>
              </w:rPr>
              <w:t>Current DER Orchestration Offerings</w:t>
            </w:r>
            <w:r>
              <w:rPr>
                <w:noProof/>
                <w:webHidden/>
              </w:rPr>
              <w:tab/>
            </w:r>
            <w:r>
              <w:rPr>
                <w:noProof/>
                <w:webHidden/>
              </w:rPr>
              <w:fldChar w:fldCharType="begin"/>
            </w:r>
            <w:r>
              <w:rPr>
                <w:noProof/>
                <w:webHidden/>
              </w:rPr>
              <w:instrText xml:space="preserve"> PAGEREF _Toc243991453 \h </w:instrText>
            </w:r>
            <w:r>
              <w:rPr>
                <w:noProof/>
                <w:webHidden/>
              </w:rPr>
            </w:r>
            <w:r>
              <w:rPr>
                <w:noProof/>
                <w:webHidden/>
              </w:rPr>
              <w:fldChar w:fldCharType="separate"/>
            </w:r>
            <w:r w:rsidR="00E16754">
              <w:rPr>
                <w:noProof/>
                <w:webHidden/>
              </w:rPr>
              <w:t>44</w:t>
            </w:r>
            <w:r>
              <w:rPr>
                <w:noProof/>
                <w:webHidden/>
              </w:rPr>
              <w:fldChar w:fldCharType="end"/>
            </w:r>
          </w:hyperlink>
        </w:p>
        <w:p w:rsidR="00D7107F" w:rsidRDefault="00D7107F" w14:paraId="65C1CFED" w14:textId="67269B58">
          <w:pPr>
            <w:pStyle w:val="TOC3"/>
            <w:tabs>
              <w:tab w:val="left" w:pos="1296"/>
              <w:tab w:val="right" w:leader="dot" w:pos="9350"/>
            </w:tabs>
            <w:rPr>
              <w:rFonts w:asciiTheme="minorHAnsi" w:hAnsiTheme="minorHAnsi" w:cstheme="minorBidi"/>
              <w:noProof/>
              <w:kern w:val="2"/>
              <w:sz w:val="24"/>
              <w:szCs w:val="24"/>
              <w14:ligatures w14:val="standardContextual"/>
            </w:rPr>
          </w:pPr>
          <w:hyperlink w:history="1" w:anchor="_Toc243991454">
            <w:r w:rsidRPr="00965922">
              <w:rPr>
                <w:rStyle w:val="Hyperlink"/>
                <w:noProof/>
              </w:rPr>
              <w:t>7.1.2.</w:t>
            </w:r>
            <w:r>
              <w:rPr>
                <w:rFonts w:asciiTheme="minorHAnsi" w:hAnsiTheme="minorHAnsi" w:cstheme="minorBidi"/>
                <w:noProof/>
                <w:kern w:val="2"/>
                <w:sz w:val="24"/>
                <w:szCs w:val="24"/>
                <w14:ligatures w14:val="standardContextual"/>
              </w:rPr>
              <w:tab/>
            </w:r>
            <w:r w:rsidRPr="00965922">
              <w:rPr>
                <w:rStyle w:val="Hyperlink"/>
                <w:noProof/>
              </w:rPr>
              <w:t>Demonstrating IOU Readiness</w:t>
            </w:r>
            <w:r>
              <w:rPr>
                <w:noProof/>
                <w:webHidden/>
              </w:rPr>
              <w:tab/>
            </w:r>
            <w:r>
              <w:rPr>
                <w:noProof/>
                <w:webHidden/>
              </w:rPr>
              <w:fldChar w:fldCharType="begin"/>
            </w:r>
            <w:r>
              <w:rPr>
                <w:noProof/>
                <w:webHidden/>
              </w:rPr>
              <w:instrText xml:space="preserve"> PAGEREF _Toc243991454 \h </w:instrText>
            </w:r>
            <w:r>
              <w:rPr>
                <w:noProof/>
                <w:webHidden/>
              </w:rPr>
            </w:r>
            <w:r>
              <w:rPr>
                <w:noProof/>
                <w:webHidden/>
              </w:rPr>
              <w:fldChar w:fldCharType="separate"/>
            </w:r>
            <w:r w:rsidR="00E16754">
              <w:rPr>
                <w:noProof/>
                <w:webHidden/>
              </w:rPr>
              <w:t>45</w:t>
            </w:r>
            <w:r>
              <w:rPr>
                <w:noProof/>
                <w:webHidden/>
              </w:rPr>
              <w:fldChar w:fldCharType="end"/>
            </w:r>
          </w:hyperlink>
        </w:p>
        <w:p w:rsidR="00D7107F" w:rsidRDefault="00D7107F" w14:paraId="5752A278" w14:textId="748A854C">
          <w:pPr>
            <w:pStyle w:val="TOC3"/>
            <w:tabs>
              <w:tab w:val="left" w:pos="1296"/>
              <w:tab w:val="right" w:leader="dot" w:pos="9350"/>
            </w:tabs>
            <w:rPr>
              <w:rFonts w:asciiTheme="minorHAnsi" w:hAnsiTheme="minorHAnsi" w:cstheme="minorBidi"/>
              <w:noProof/>
              <w:kern w:val="2"/>
              <w:sz w:val="24"/>
              <w:szCs w:val="24"/>
              <w14:ligatures w14:val="standardContextual"/>
            </w:rPr>
          </w:pPr>
          <w:hyperlink w:history="1" w:anchor="_Toc243991455">
            <w:r w:rsidRPr="00965922">
              <w:rPr>
                <w:rStyle w:val="Hyperlink"/>
                <w:noProof/>
              </w:rPr>
              <w:t>7.1.3.</w:t>
            </w:r>
            <w:r>
              <w:rPr>
                <w:rFonts w:asciiTheme="minorHAnsi" w:hAnsiTheme="minorHAnsi" w:cstheme="minorBidi"/>
                <w:noProof/>
                <w:kern w:val="2"/>
                <w:sz w:val="24"/>
                <w:szCs w:val="24"/>
                <w14:ligatures w14:val="standardContextual"/>
              </w:rPr>
              <w:tab/>
            </w:r>
            <w:r w:rsidRPr="00965922">
              <w:rPr>
                <w:rStyle w:val="Hyperlink"/>
                <w:noProof/>
              </w:rPr>
              <w:t>Investments Required to Support DER Orchestration Implementation</w:t>
            </w:r>
            <w:r>
              <w:rPr>
                <w:noProof/>
                <w:webHidden/>
              </w:rPr>
              <w:tab/>
            </w:r>
            <w:r>
              <w:rPr>
                <w:noProof/>
                <w:webHidden/>
              </w:rPr>
              <w:fldChar w:fldCharType="begin"/>
            </w:r>
            <w:r>
              <w:rPr>
                <w:noProof/>
                <w:webHidden/>
              </w:rPr>
              <w:instrText xml:space="preserve"> PAGEREF _Toc243991455 \h </w:instrText>
            </w:r>
            <w:r>
              <w:rPr>
                <w:noProof/>
                <w:webHidden/>
              </w:rPr>
            </w:r>
            <w:r>
              <w:rPr>
                <w:noProof/>
                <w:webHidden/>
              </w:rPr>
              <w:fldChar w:fldCharType="separate"/>
            </w:r>
            <w:r w:rsidR="00E16754">
              <w:rPr>
                <w:noProof/>
                <w:webHidden/>
              </w:rPr>
              <w:t>48</w:t>
            </w:r>
            <w:r>
              <w:rPr>
                <w:noProof/>
                <w:webHidden/>
              </w:rPr>
              <w:fldChar w:fldCharType="end"/>
            </w:r>
          </w:hyperlink>
        </w:p>
        <w:p w:rsidR="00D7107F" w:rsidRDefault="00D7107F" w14:paraId="182FBA9A" w14:textId="11E6DEBA">
          <w:pPr>
            <w:pStyle w:val="TOC3"/>
            <w:tabs>
              <w:tab w:val="left" w:pos="1296"/>
              <w:tab w:val="right" w:leader="dot" w:pos="9350"/>
            </w:tabs>
            <w:rPr>
              <w:rFonts w:asciiTheme="minorHAnsi" w:hAnsiTheme="minorHAnsi" w:cstheme="minorBidi"/>
              <w:noProof/>
              <w:kern w:val="2"/>
              <w:sz w:val="24"/>
              <w:szCs w:val="24"/>
              <w14:ligatures w14:val="standardContextual"/>
            </w:rPr>
          </w:pPr>
          <w:hyperlink w:history="1" w:anchor="_Toc243991456">
            <w:r w:rsidRPr="00965922">
              <w:rPr>
                <w:rStyle w:val="Hyperlink"/>
                <w:noProof/>
              </w:rPr>
              <w:t>7.1.4.</w:t>
            </w:r>
            <w:r>
              <w:rPr>
                <w:rFonts w:asciiTheme="minorHAnsi" w:hAnsiTheme="minorHAnsi" w:cstheme="minorBidi"/>
                <w:noProof/>
                <w:kern w:val="2"/>
                <w:sz w:val="24"/>
                <w:szCs w:val="24"/>
                <w14:ligatures w14:val="standardContextual"/>
              </w:rPr>
              <w:tab/>
            </w:r>
            <w:r w:rsidRPr="00965922">
              <w:rPr>
                <w:rStyle w:val="Hyperlink"/>
                <w:noProof/>
              </w:rPr>
              <w:t>Predefining Ownership of Technology</w:t>
            </w:r>
            <w:r>
              <w:rPr>
                <w:noProof/>
                <w:webHidden/>
              </w:rPr>
              <w:tab/>
            </w:r>
            <w:r>
              <w:rPr>
                <w:noProof/>
                <w:webHidden/>
              </w:rPr>
              <w:fldChar w:fldCharType="begin"/>
            </w:r>
            <w:r>
              <w:rPr>
                <w:noProof/>
                <w:webHidden/>
              </w:rPr>
              <w:instrText xml:space="preserve"> PAGEREF _Toc243991456 \h </w:instrText>
            </w:r>
            <w:r>
              <w:rPr>
                <w:noProof/>
                <w:webHidden/>
              </w:rPr>
            </w:r>
            <w:r>
              <w:rPr>
                <w:noProof/>
                <w:webHidden/>
              </w:rPr>
              <w:fldChar w:fldCharType="separate"/>
            </w:r>
            <w:r w:rsidR="00E16754">
              <w:rPr>
                <w:noProof/>
                <w:webHidden/>
              </w:rPr>
              <w:t>51</w:t>
            </w:r>
            <w:r>
              <w:rPr>
                <w:noProof/>
                <w:webHidden/>
              </w:rPr>
              <w:fldChar w:fldCharType="end"/>
            </w:r>
          </w:hyperlink>
        </w:p>
        <w:p w:rsidR="00D7107F" w:rsidRDefault="00D7107F" w14:paraId="7A1653B9" w14:textId="20E7FD1D">
          <w:pPr>
            <w:pStyle w:val="TOC2"/>
            <w:tabs>
              <w:tab w:val="right" w:leader="dot" w:pos="9350"/>
            </w:tabs>
            <w:rPr>
              <w:rFonts w:asciiTheme="minorHAnsi" w:hAnsiTheme="minorHAnsi" w:cstheme="minorBidi"/>
              <w:noProof/>
              <w:kern w:val="2"/>
              <w:sz w:val="24"/>
              <w:szCs w:val="24"/>
              <w14:ligatures w14:val="standardContextual"/>
            </w:rPr>
          </w:pPr>
          <w:hyperlink w:history="1" w:anchor="_Toc243991457">
            <w:r w:rsidRPr="00965922">
              <w:rPr>
                <w:rStyle w:val="Hyperlink"/>
                <w:noProof/>
              </w:rPr>
              <w:t>7.2.</w:t>
            </w:r>
            <w:r>
              <w:rPr>
                <w:rFonts w:asciiTheme="minorHAnsi" w:hAnsiTheme="minorHAnsi" w:cstheme="minorBidi"/>
                <w:noProof/>
                <w:kern w:val="2"/>
                <w:sz w:val="24"/>
                <w:szCs w:val="24"/>
                <w14:ligatures w14:val="standardContextual"/>
              </w:rPr>
              <w:tab/>
            </w:r>
            <w:r w:rsidRPr="00965922">
              <w:rPr>
                <w:rStyle w:val="Hyperlink"/>
                <w:noProof/>
              </w:rPr>
              <w:t>Phased Implementation and Deployment</w:t>
            </w:r>
            <w:r>
              <w:rPr>
                <w:noProof/>
                <w:webHidden/>
              </w:rPr>
              <w:tab/>
            </w:r>
            <w:r>
              <w:rPr>
                <w:noProof/>
                <w:webHidden/>
              </w:rPr>
              <w:fldChar w:fldCharType="begin"/>
            </w:r>
            <w:r>
              <w:rPr>
                <w:noProof/>
                <w:webHidden/>
              </w:rPr>
              <w:instrText xml:space="preserve"> PAGEREF _Toc243991457 \h </w:instrText>
            </w:r>
            <w:r>
              <w:rPr>
                <w:noProof/>
                <w:webHidden/>
              </w:rPr>
            </w:r>
            <w:r>
              <w:rPr>
                <w:noProof/>
                <w:webHidden/>
              </w:rPr>
              <w:fldChar w:fldCharType="separate"/>
            </w:r>
            <w:r w:rsidR="00E16754">
              <w:rPr>
                <w:noProof/>
                <w:webHidden/>
              </w:rPr>
              <w:t>52</w:t>
            </w:r>
            <w:r>
              <w:rPr>
                <w:noProof/>
                <w:webHidden/>
              </w:rPr>
              <w:fldChar w:fldCharType="end"/>
            </w:r>
          </w:hyperlink>
        </w:p>
        <w:p w:rsidR="00D7107F" w:rsidRDefault="00D7107F" w14:paraId="4596DFBC" w14:textId="580C1937">
          <w:pPr>
            <w:pStyle w:val="TOC2"/>
            <w:tabs>
              <w:tab w:val="right" w:leader="dot" w:pos="9350"/>
            </w:tabs>
            <w:rPr>
              <w:rFonts w:asciiTheme="minorHAnsi" w:hAnsiTheme="minorHAnsi" w:cstheme="minorBidi"/>
              <w:noProof/>
              <w:kern w:val="2"/>
              <w:sz w:val="24"/>
              <w:szCs w:val="24"/>
              <w14:ligatures w14:val="standardContextual"/>
            </w:rPr>
          </w:pPr>
          <w:hyperlink w:history="1" w:anchor="_Toc243991458">
            <w:r w:rsidRPr="00965922">
              <w:rPr>
                <w:rStyle w:val="Hyperlink"/>
                <w:noProof/>
              </w:rPr>
              <w:t>7.3.</w:t>
            </w:r>
            <w:r>
              <w:rPr>
                <w:rFonts w:asciiTheme="minorHAnsi" w:hAnsiTheme="minorHAnsi" w:cstheme="minorBidi"/>
                <w:noProof/>
                <w:kern w:val="2"/>
                <w:sz w:val="24"/>
                <w:szCs w:val="24"/>
                <w14:ligatures w14:val="standardContextual"/>
              </w:rPr>
              <w:tab/>
            </w:r>
            <w:r w:rsidRPr="00965922">
              <w:rPr>
                <w:rStyle w:val="Hyperlink"/>
                <w:noProof/>
              </w:rPr>
              <w:t>Compatibility of DER Orchestration with Potential Rollout of Real-Time Pricing</w:t>
            </w:r>
            <w:r>
              <w:rPr>
                <w:noProof/>
                <w:webHidden/>
              </w:rPr>
              <w:tab/>
            </w:r>
            <w:r>
              <w:rPr>
                <w:noProof/>
                <w:webHidden/>
              </w:rPr>
              <w:fldChar w:fldCharType="begin"/>
            </w:r>
            <w:r>
              <w:rPr>
                <w:noProof/>
                <w:webHidden/>
              </w:rPr>
              <w:instrText xml:space="preserve"> PAGEREF _Toc243991458 \h </w:instrText>
            </w:r>
            <w:r>
              <w:rPr>
                <w:noProof/>
                <w:webHidden/>
              </w:rPr>
            </w:r>
            <w:r>
              <w:rPr>
                <w:noProof/>
                <w:webHidden/>
              </w:rPr>
              <w:fldChar w:fldCharType="separate"/>
            </w:r>
            <w:r w:rsidR="00E16754">
              <w:rPr>
                <w:noProof/>
                <w:webHidden/>
              </w:rPr>
              <w:t>55</w:t>
            </w:r>
            <w:r>
              <w:rPr>
                <w:noProof/>
                <w:webHidden/>
              </w:rPr>
              <w:fldChar w:fldCharType="end"/>
            </w:r>
          </w:hyperlink>
        </w:p>
        <w:p w:rsidR="00D7107F" w:rsidRDefault="00D7107F" w14:paraId="48120F21" w14:textId="4D7BA032">
          <w:pPr>
            <w:pStyle w:val="TOC1"/>
            <w:tabs>
              <w:tab w:val="right" w:leader="dot" w:pos="9350"/>
            </w:tabs>
            <w:rPr>
              <w:rFonts w:asciiTheme="minorHAnsi" w:hAnsiTheme="minorHAnsi" w:cstheme="minorBidi"/>
              <w:noProof/>
              <w:kern w:val="2"/>
              <w:sz w:val="24"/>
              <w:szCs w:val="24"/>
              <w14:ligatures w14:val="standardContextual"/>
            </w:rPr>
          </w:pPr>
          <w:hyperlink w:history="1" w:anchor="_Toc243991459">
            <w:r w:rsidRPr="00965922">
              <w:rPr>
                <w:rStyle w:val="Hyperlink"/>
                <w:noProof/>
              </w:rPr>
              <w:t>8.</w:t>
            </w:r>
            <w:r>
              <w:rPr>
                <w:rFonts w:asciiTheme="minorHAnsi" w:hAnsiTheme="minorHAnsi" w:cstheme="minorBidi"/>
                <w:noProof/>
                <w:kern w:val="2"/>
                <w:sz w:val="24"/>
                <w:szCs w:val="24"/>
                <w14:ligatures w14:val="standardContextual"/>
              </w:rPr>
              <w:tab/>
            </w:r>
            <w:r w:rsidRPr="00965922">
              <w:rPr>
                <w:rStyle w:val="Hyperlink"/>
                <w:noProof/>
              </w:rPr>
              <w:t>Track 1 DPEP Issues</w:t>
            </w:r>
            <w:r>
              <w:rPr>
                <w:noProof/>
                <w:webHidden/>
              </w:rPr>
              <w:tab/>
            </w:r>
            <w:r>
              <w:rPr>
                <w:noProof/>
                <w:webHidden/>
              </w:rPr>
              <w:fldChar w:fldCharType="begin"/>
            </w:r>
            <w:r>
              <w:rPr>
                <w:noProof/>
                <w:webHidden/>
              </w:rPr>
              <w:instrText xml:space="preserve"> PAGEREF _Toc243991459 \h </w:instrText>
            </w:r>
            <w:r>
              <w:rPr>
                <w:noProof/>
                <w:webHidden/>
              </w:rPr>
            </w:r>
            <w:r>
              <w:rPr>
                <w:noProof/>
                <w:webHidden/>
              </w:rPr>
              <w:fldChar w:fldCharType="separate"/>
            </w:r>
            <w:r w:rsidR="00E16754">
              <w:rPr>
                <w:noProof/>
                <w:webHidden/>
              </w:rPr>
              <w:t>57</w:t>
            </w:r>
            <w:r>
              <w:rPr>
                <w:noProof/>
                <w:webHidden/>
              </w:rPr>
              <w:fldChar w:fldCharType="end"/>
            </w:r>
          </w:hyperlink>
        </w:p>
        <w:p w:rsidR="00D7107F" w:rsidRDefault="00D7107F" w14:paraId="77DB4B0A" w14:textId="7543A6E8">
          <w:pPr>
            <w:pStyle w:val="TOC2"/>
            <w:tabs>
              <w:tab w:val="right" w:leader="dot" w:pos="9350"/>
            </w:tabs>
            <w:rPr>
              <w:rFonts w:asciiTheme="minorHAnsi" w:hAnsiTheme="minorHAnsi" w:cstheme="minorBidi"/>
              <w:noProof/>
              <w:kern w:val="2"/>
              <w:sz w:val="24"/>
              <w:szCs w:val="24"/>
              <w14:ligatures w14:val="standardContextual"/>
            </w:rPr>
          </w:pPr>
          <w:hyperlink w:history="1" w:anchor="_Toc243991460">
            <w:r w:rsidRPr="00965922">
              <w:rPr>
                <w:rStyle w:val="Hyperlink"/>
                <w:noProof/>
              </w:rPr>
              <w:t>8.1.</w:t>
            </w:r>
            <w:r>
              <w:rPr>
                <w:rFonts w:asciiTheme="minorHAnsi" w:hAnsiTheme="minorHAnsi" w:cstheme="minorBidi"/>
                <w:noProof/>
                <w:kern w:val="2"/>
                <w:sz w:val="24"/>
                <w:szCs w:val="24"/>
                <w14:ligatures w14:val="standardContextual"/>
              </w:rPr>
              <w:tab/>
            </w:r>
            <w:r w:rsidRPr="00965922">
              <w:rPr>
                <w:rStyle w:val="Hyperlink"/>
                <w:noProof/>
              </w:rPr>
              <w:t>Background</w:t>
            </w:r>
            <w:r>
              <w:rPr>
                <w:noProof/>
                <w:webHidden/>
              </w:rPr>
              <w:tab/>
            </w:r>
            <w:r>
              <w:rPr>
                <w:noProof/>
                <w:webHidden/>
              </w:rPr>
              <w:fldChar w:fldCharType="begin"/>
            </w:r>
            <w:r>
              <w:rPr>
                <w:noProof/>
                <w:webHidden/>
              </w:rPr>
              <w:instrText xml:space="preserve"> PAGEREF _Toc243991460 \h </w:instrText>
            </w:r>
            <w:r>
              <w:rPr>
                <w:noProof/>
                <w:webHidden/>
              </w:rPr>
            </w:r>
            <w:r>
              <w:rPr>
                <w:noProof/>
                <w:webHidden/>
              </w:rPr>
              <w:fldChar w:fldCharType="separate"/>
            </w:r>
            <w:r w:rsidR="00E16754">
              <w:rPr>
                <w:noProof/>
                <w:webHidden/>
              </w:rPr>
              <w:t>57</w:t>
            </w:r>
            <w:r>
              <w:rPr>
                <w:noProof/>
                <w:webHidden/>
              </w:rPr>
              <w:fldChar w:fldCharType="end"/>
            </w:r>
          </w:hyperlink>
        </w:p>
        <w:p w:rsidR="00D7107F" w:rsidRDefault="00D7107F" w14:paraId="32DAA79C" w14:textId="6F3FFC2C">
          <w:pPr>
            <w:pStyle w:val="TOC3"/>
            <w:tabs>
              <w:tab w:val="left" w:pos="1296"/>
              <w:tab w:val="right" w:leader="dot" w:pos="9350"/>
            </w:tabs>
            <w:rPr>
              <w:rFonts w:asciiTheme="minorHAnsi" w:hAnsiTheme="minorHAnsi" w:cstheme="minorBidi"/>
              <w:noProof/>
              <w:kern w:val="2"/>
              <w:sz w:val="24"/>
              <w:szCs w:val="24"/>
              <w14:ligatures w14:val="standardContextual"/>
            </w:rPr>
          </w:pPr>
          <w:hyperlink w:history="1" w:anchor="_Toc243991461">
            <w:r w:rsidRPr="00965922">
              <w:rPr>
                <w:rStyle w:val="Hyperlink"/>
                <w:noProof/>
              </w:rPr>
              <w:t>8.1.1.</w:t>
            </w:r>
            <w:r>
              <w:rPr>
                <w:rFonts w:asciiTheme="minorHAnsi" w:hAnsiTheme="minorHAnsi" w:cstheme="minorBidi"/>
                <w:noProof/>
                <w:kern w:val="2"/>
                <w:sz w:val="24"/>
                <w:szCs w:val="24"/>
                <w14:ligatures w14:val="standardContextual"/>
              </w:rPr>
              <w:tab/>
            </w:r>
            <w:r w:rsidRPr="00965922">
              <w:rPr>
                <w:rStyle w:val="Hyperlink"/>
                <w:noProof/>
              </w:rPr>
              <w:t>Electrification Impact Study Part 2 (EIS Part 2)</w:t>
            </w:r>
            <w:r>
              <w:rPr>
                <w:noProof/>
                <w:webHidden/>
              </w:rPr>
              <w:tab/>
            </w:r>
            <w:r>
              <w:rPr>
                <w:noProof/>
                <w:webHidden/>
              </w:rPr>
              <w:fldChar w:fldCharType="begin"/>
            </w:r>
            <w:r>
              <w:rPr>
                <w:noProof/>
                <w:webHidden/>
              </w:rPr>
              <w:instrText xml:space="preserve"> PAGEREF _Toc243991461 \h </w:instrText>
            </w:r>
            <w:r>
              <w:rPr>
                <w:noProof/>
                <w:webHidden/>
              </w:rPr>
            </w:r>
            <w:r>
              <w:rPr>
                <w:noProof/>
                <w:webHidden/>
              </w:rPr>
              <w:fldChar w:fldCharType="separate"/>
            </w:r>
            <w:r w:rsidR="00E16754">
              <w:rPr>
                <w:noProof/>
                <w:webHidden/>
              </w:rPr>
              <w:t>57</w:t>
            </w:r>
            <w:r>
              <w:rPr>
                <w:noProof/>
                <w:webHidden/>
              </w:rPr>
              <w:fldChar w:fldCharType="end"/>
            </w:r>
          </w:hyperlink>
        </w:p>
        <w:p w:rsidR="00D7107F" w:rsidRDefault="00D7107F" w14:paraId="095CD195" w14:textId="71E05037">
          <w:pPr>
            <w:pStyle w:val="TOC3"/>
            <w:tabs>
              <w:tab w:val="left" w:pos="1296"/>
              <w:tab w:val="right" w:leader="dot" w:pos="9350"/>
            </w:tabs>
            <w:rPr>
              <w:rFonts w:asciiTheme="minorHAnsi" w:hAnsiTheme="minorHAnsi" w:cstheme="minorBidi"/>
              <w:noProof/>
              <w:kern w:val="2"/>
              <w:sz w:val="24"/>
              <w:szCs w:val="24"/>
              <w14:ligatures w14:val="standardContextual"/>
            </w:rPr>
          </w:pPr>
          <w:hyperlink w:history="1" w:anchor="_Toc243991462">
            <w:r w:rsidRPr="00965922">
              <w:rPr>
                <w:rStyle w:val="Hyperlink"/>
                <w:noProof/>
              </w:rPr>
              <w:t>8.1.2.</w:t>
            </w:r>
            <w:r>
              <w:rPr>
                <w:rFonts w:asciiTheme="minorHAnsi" w:hAnsiTheme="minorHAnsi" w:cstheme="minorBidi"/>
                <w:noProof/>
                <w:kern w:val="2"/>
                <w:sz w:val="24"/>
                <w:szCs w:val="24"/>
                <w14:ligatures w14:val="standardContextual"/>
              </w:rPr>
              <w:tab/>
            </w:r>
            <w:r w:rsidRPr="00965922">
              <w:rPr>
                <w:rStyle w:val="Hyperlink"/>
                <w:noProof/>
              </w:rPr>
              <w:t>Additional Procedural Background</w:t>
            </w:r>
            <w:r>
              <w:rPr>
                <w:noProof/>
                <w:webHidden/>
              </w:rPr>
              <w:tab/>
            </w:r>
            <w:r>
              <w:rPr>
                <w:noProof/>
                <w:webHidden/>
              </w:rPr>
              <w:fldChar w:fldCharType="begin"/>
            </w:r>
            <w:r>
              <w:rPr>
                <w:noProof/>
                <w:webHidden/>
              </w:rPr>
              <w:instrText xml:space="preserve"> PAGEREF _Toc243991462 \h </w:instrText>
            </w:r>
            <w:r>
              <w:rPr>
                <w:noProof/>
                <w:webHidden/>
              </w:rPr>
            </w:r>
            <w:r>
              <w:rPr>
                <w:noProof/>
                <w:webHidden/>
              </w:rPr>
              <w:fldChar w:fldCharType="separate"/>
            </w:r>
            <w:r w:rsidR="00E16754">
              <w:rPr>
                <w:noProof/>
                <w:webHidden/>
              </w:rPr>
              <w:t>59</w:t>
            </w:r>
            <w:r>
              <w:rPr>
                <w:noProof/>
                <w:webHidden/>
              </w:rPr>
              <w:fldChar w:fldCharType="end"/>
            </w:r>
          </w:hyperlink>
        </w:p>
        <w:p w:rsidR="00D7107F" w:rsidRDefault="00D7107F" w14:paraId="48E106AA" w14:textId="4DA9CD56">
          <w:pPr>
            <w:pStyle w:val="TOC2"/>
            <w:tabs>
              <w:tab w:val="right" w:leader="dot" w:pos="9350"/>
            </w:tabs>
            <w:rPr>
              <w:rFonts w:asciiTheme="minorHAnsi" w:hAnsiTheme="minorHAnsi" w:cstheme="minorBidi"/>
              <w:noProof/>
              <w:kern w:val="2"/>
              <w:sz w:val="24"/>
              <w:szCs w:val="24"/>
              <w14:ligatures w14:val="standardContextual"/>
            </w:rPr>
          </w:pPr>
          <w:hyperlink w:history="1" w:anchor="_Toc243991463">
            <w:r w:rsidRPr="00965922">
              <w:rPr>
                <w:rStyle w:val="Hyperlink"/>
                <w:noProof/>
              </w:rPr>
              <w:t>8.2.</w:t>
            </w:r>
            <w:r>
              <w:rPr>
                <w:rFonts w:asciiTheme="minorHAnsi" w:hAnsiTheme="minorHAnsi" w:cstheme="minorBidi"/>
                <w:noProof/>
                <w:kern w:val="2"/>
                <w:sz w:val="24"/>
                <w:szCs w:val="24"/>
                <w14:ligatures w14:val="standardContextual"/>
              </w:rPr>
              <w:tab/>
            </w:r>
            <w:r w:rsidRPr="00965922">
              <w:rPr>
                <w:rStyle w:val="Hyperlink"/>
                <w:noProof/>
              </w:rPr>
              <w:t>EIS Part 2 Findings and Learnings</w:t>
            </w:r>
            <w:r>
              <w:rPr>
                <w:noProof/>
                <w:webHidden/>
              </w:rPr>
              <w:tab/>
            </w:r>
            <w:r>
              <w:rPr>
                <w:noProof/>
                <w:webHidden/>
              </w:rPr>
              <w:fldChar w:fldCharType="begin"/>
            </w:r>
            <w:r>
              <w:rPr>
                <w:noProof/>
                <w:webHidden/>
              </w:rPr>
              <w:instrText xml:space="preserve"> PAGEREF _Toc243991463 \h </w:instrText>
            </w:r>
            <w:r>
              <w:rPr>
                <w:noProof/>
                <w:webHidden/>
              </w:rPr>
            </w:r>
            <w:r>
              <w:rPr>
                <w:noProof/>
                <w:webHidden/>
              </w:rPr>
              <w:fldChar w:fldCharType="separate"/>
            </w:r>
            <w:r w:rsidR="00E16754">
              <w:rPr>
                <w:noProof/>
                <w:webHidden/>
              </w:rPr>
              <w:t>60</w:t>
            </w:r>
            <w:r>
              <w:rPr>
                <w:noProof/>
                <w:webHidden/>
              </w:rPr>
              <w:fldChar w:fldCharType="end"/>
            </w:r>
          </w:hyperlink>
        </w:p>
        <w:p w:rsidR="00D7107F" w:rsidRDefault="00D7107F" w14:paraId="7BC970CF" w14:textId="0D98C706">
          <w:pPr>
            <w:pStyle w:val="TOC3"/>
            <w:tabs>
              <w:tab w:val="left" w:pos="1296"/>
              <w:tab w:val="right" w:leader="dot" w:pos="9350"/>
            </w:tabs>
            <w:rPr>
              <w:rFonts w:asciiTheme="minorHAnsi" w:hAnsiTheme="minorHAnsi" w:cstheme="minorBidi"/>
              <w:noProof/>
              <w:kern w:val="2"/>
              <w:sz w:val="24"/>
              <w:szCs w:val="24"/>
              <w14:ligatures w14:val="standardContextual"/>
            </w:rPr>
          </w:pPr>
          <w:hyperlink w:history="1" w:anchor="_Toc243991464">
            <w:r w:rsidRPr="00965922">
              <w:rPr>
                <w:rStyle w:val="Hyperlink"/>
                <w:noProof/>
              </w:rPr>
              <w:t>8.2.1.</w:t>
            </w:r>
            <w:r>
              <w:rPr>
                <w:rFonts w:asciiTheme="minorHAnsi" w:hAnsiTheme="minorHAnsi" w:cstheme="minorBidi"/>
                <w:noProof/>
                <w:kern w:val="2"/>
                <w:sz w:val="24"/>
                <w:szCs w:val="24"/>
                <w14:ligatures w14:val="standardContextual"/>
              </w:rPr>
              <w:tab/>
            </w:r>
            <w:r w:rsidRPr="00965922">
              <w:rPr>
                <w:rStyle w:val="Hyperlink"/>
                <w:noProof/>
              </w:rPr>
              <w:t>EIS Part 2 Findings</w:t>
            </w:r>
            <w:r>
              <w:rPr>
                <w:noProof/>
                <w:webHidden/>
              </w:rPr>
              <w:tab/>
            </w:r>
            <w:r>
              <w:rPr>
                <w:noProof/>
                <w:webHidden/>
              </w:rPr>
              <w:fldChar w:fldCharType="begin"/>
            </w:r>
            <w:r>
              <w:rPr>
                <w:noProof/>
                <w:webHidden/>
              </w:rPr>
              <w:instrText xml:space="preserve"> PAGEREF _Toc243991464 \h </w:instrText>
            </w:r>
            <w:r>
              <w:rPr>
                <w:noProof/>
                <w:webHidden/>
              </w:rPr>
            </w:r>
            <w:r>
              <w:rPr>
                <w:noProof/>
                <w:webHidden/>
              </w:rPr>
              <w:fldChar w:fldCharType="separate"/>
            </w:r>
            <w:r w:rsidR="00E16754">
              <w:rPr>
                <w:noProof/>
                <w:webHidden/>
              </w:rPr>
              <w:t>60</w:t>
            </w:r>
            <w:r>
              <w:rPr>
                <w:noProof/>
                <w:webHidden/>
              </w:rPr>
              <w:fldChar w:fldCharType="end"/>
            </w:r>
          </w:hyperlink>
        </w:p>
        <w:p w:rsidR="00D7107F" w:rsidRDefault="00D7107F" w14:paraId="79F9B938" w14:textId="62F9C63B">
          <w:pPr>
            <w:pStyle w:val="TOC2"/>
            <w:tabs>
              <w:tab w:val="right" w:leader="dot" w:pos="9350"/>
            </w:tabs>
            <w:rPr>
              <w:rFonts w:asciiTheme="minorHAnsi" w:hAnsiTheme="minorHAnsi" w:cstheme="minorBidi"/>
              <w:noProof/>
              <w:kern w:val="2"/>
              <w:sz w:val="24"/>
              <w:szCs w:val="24"/>
              <w14:ligatures w14:val="standardContextual"/>
            </w:rPr>
          </w:pPr>
          <w:hyperlink w:history="1" w:anchor="_Toc243991465">
            <w:r w:rsidRPr="00965922">
              <w:rPr>
                <w:rStyle w:val="Hyperlink"/>
                <w:noProof/>
              </w:rPr>
              <w:t>8.3.</w:t>
            </w:r>
            <w:r>
              <w:rPr>
                <w:rFonts w:asciiTheme="minorHAnsi" w:hAnsiTheme="minorHAnsi" w:cstheme="minorBidi"/>
                <w:noProof/>
                <w:kern w:val="2"/>
                <w:sz w:val="24"/>
                <w:szCs w:val="24"/>
                <w14:ligatures w14:val="standardContextual"/>
              </w:rPr>
              <w:tab/>
            </w:r>
            <w:r w:rsidRPr="00965922">
              <w:rPr>
                <w:rStyle w:val="Hyperlink"/>
                <w:noProof/>
              </w:rPr>
              <w:t>Scenario Specific Findings and Assumptions</w:t>
            </w:r>
            <w:r>
              <w:rPr>
                <w:noProof/>
                <w:webHidden/>
              </w:rPr>
              <w:tab/>
            </w:r>
            <w:r>
              <w:rPr>
                <w:noProof/>
                <w:webHidden/>
              </w:rPr>
              <w:fldChar w:fldCharType="begin"/>
            </w:r>
            <w:r>
              <w:rPr>
                <w:noProof/>
                <w:webHidden/>
              </w:rPr>
              <w:instrText xml:space="preserve"> PAGEREF _Toc243991465 \h </w:instrText>
            </w:r>
            <w:r>
              <w:rPr>
                <w:noProof/>
                <w:webHidden/>
              </w:rPr>
            </w:r>
            <w:r>
              <w:rPr>
                <w:noProof/>
                <w:webHidden/>
              </w:rPr>
              <w:fldChar w:fldCharType="separate"/>
            </w:r>
            <w:r w:rsidR="00E16754">
              <w:rPr>
                <w:noProof/>
                <w:webHidden/>
              </w:rPr>
              <w:t>63</w:t>
            </w:r>
            <w:r>
              <w:rPr>
                <w:noProof/>
                <w:webHidden/>
              </w:rPr>
              <w:fldChar w:fldCharType="end"/>
            </w:r>
          </w:hyperlink>
        </w:p>
        <w:p w:rsidR="00D7107F" w:rsidRDefault="00D7107F" w14:paraId="7C439BA4" w14:textId="02BCA445">
          <w:pPr>
            <w:pStyle w:val="TOC3"/>
            <w:tabs>
              <w:tab w:val="left" w:pos="1296"/>
              <w:tab w:val="right" w:leader="dot" w:pos="9350"/>
            </w:tabs>
            <w:rPr>
              <w:rFonts w:asciiTheme="minorHAnsi" w:hAnsiTheme="minorHAnsi" w:cstheme="minorBidi"/>
              <w:noProof/>
              <w:kern w:val="2"/>
              <w:sz w:val="24"/>
              <w:szCs w:val="24"/>
              <w14:ligatures w14:val="standardContextual"/>
            </w:rPr>
          </w:pPr>
          <w:hyperlink w:history="1" w:anchor="_Toc243991466">
            <w:r w:rsidRPr="00965922">
              <w:rPr>
                <w:rStyle w:val="Hyperlink"/>
                <w:noProof/>
              </w:rPr>
              <w:t>8.3.1.</w:t>
            </w:r>
            <w:r>
              <w:rPr>
                <w:rFonts w:asciiTheme="minorHAnsi" w:hAnsiTheme="minorHAnsi" w:cstheme="minorBidi"/>
                <w:noProof/>
                <w:kern w:val="2"/>
                <w:sz w:val="24"/>
                <w:szCs w:val="24"/>
                <w14:ligatures w14:val="standardContextual"/>
              </w:rPr>
              <w:tab/>
            </w:r>
            <w:r w:rsidRPr="00965922">
              <w:rPr>
                <w:rStyle w:val="Hyperlink"/>
                <w:noProof/>
              </w:rPr>
              <w:t>Equity Scenario Findings</w:t>
            </w:r>
            <w:r>
              <w:rPr>
                <w:noProof/>
                <w:webHidden/>
              </w:rPr>
              <w:tab/>
            </w:r>
            <w:r>
              <w:rPr>
                <w:noProof/>
                <w:webHidden/>
              </w:rPr>
              <w:fldChar w:fldCharType="begin"/>
            </w:r>
            <w:r>
              <w:rPr>
                <w:noProof/>
                <w:webHidden/>
              </w:rPr>
              <w:instrText xml:space="preserve"> PAGEREF _Toc243991466 \h </w:instrText>
            </w:r>
            <w:r>
              <w:rPr>
                <w:noProof/>
                <w:webHidden/>
              </w:rPr>
            </w:r>
            <w:r>
              <w:rPr>
                <w:noProof/>
                <w:webHidden/>
              </w:rPr>
              <w:fldChar w:fldCharType="separate"/>
            </w:r>
            <w:r w:rsidR="00E16754">
              <w:rPr>
                <w:noProof/>
                <w:webHidden/>
              </w:rPr>
              <w:t>63</w:t>
            </w:r>
            <w:r>
              <w:rPr>
                <w:noProof/>
                <w:webHidden/>
              </w:rPr>
              <w:fldChar w:fldCharType="end"/>
            </w:r>
          </w:hyperlink>
        </w:p>
        <w:p w:rsidR="00D7107F" w:rsidRDefault="00D7107F" w14:paraId="48B6DDFC" w14:textId="22448DAB">
          <w:pPr>
            <w:pStyle w:val="TOC3"/>
            <w:tabs>
              <w:tab w:val="left" w:pos="1296"/>
              <w:tab w:val="right" w:leader="dot" w:pos="9350"/>
            </w:tabs>
            <w:rPr>
              <w:rFonts w:asciiTheme="minorHAnsi" w:hAnsiTheme="minorHAnsi" w:cstheme="minorBidi"/>
              <w:noProof/>
              <w:kern w:val="2"/>
              <w:sz w:val="24"/>
              <w:szCs w:val="24"/>
              <w14:ligatures w14:val="standardContextual"/>
            </w:rPr>
          </w:pPr>
          <w:hyperlink w:history="1" w:anchor="_Toc243991467">
            <w:r w:rsidRPr="00965922">
              <w:rPr>
                <w:rStyle w:val="Hyperlink"/>
                <w:noProof/>
              </w:rPr>
              <w:t>8.3.2.</w:t>
            </w:r>
            <w:r>
              <w:rPr>
                <w:rFonts w:asciiTheme="minorHAnsi" w:hAnsiTheme="minorHAnsi" w:cstheme="minorBidi"/>
                <w:noProof/>
                <w:kern w:val="2"/>
                <w:sz w:val="24"/>
                <w:szCs w:val="24"/>
                <w14:ligatures w14:val="standardContextual"/>
              </w:rPr>
              <w:tab/>
            </w:r>
            <w:r w:rsidRPr="00965922">
              <w:rPr>
                <w:rStyle w:val="Hyperlink"/>
                <w:noProof/>
              </w:rPr>
              <w:t>Demand Flexibility Scenario Assumptions</w:t>
            </w:r>
            <w:r>
              <w:rPr>
                <w:noProof/>
                <w:webHidden/>
              </w:rPr>
              <w:tab/>
            </w:r>
            <w:r>
              <w:rPr>
                <w:noProof/>
                <w:webHidden/>
              </w:rPr>
              <w:fldChar w:fldCharType="begin"/>
            </w:r>
            <w:r>
              <w:rPr>
                <w:noProof/>
                <w:webHidden/>
              </w:rPr>
              <w:instrText xml:space="preserve"> PAGEREF _Toc243991467 \h </w:instrText>
            </w:r>
            <w:r>
              <w:rPr>
                <w:noProof/>
                <w:webHidden/>
              </w:rPr>
            </w:r>
            <w:r>
              <w:rPr>
                <w:noProof/>
                <w:webHidden/>
              </w:rPr>
              <w:fldChar w:fldCharType="separate"/>
            </w:r>
            <w:r w:rsidR="00E16754">
              <w:rPr>
                <w:noProof/>
                <w:webHidden/>
              </w:rPr>
              <w:t>66</w:t>
            </w:r>
            <w:r>
              <w:rPr>
                <w:noProof/>
                <w:webHidden/>
              </w:rPr>
              <w:fldChar w:fldCharType="end"/>
            </w:r>
          </w:hyperlink>
        </w:p>
        <w:p w:rsidR="00D7107F" w:rsidRDefault="00D7107F" w14:paraId="2A6EECAE" w14:textId="61A94018">
          <w:pPr>
            <w:pStyle w:val="TOC2"/>
            <w:tabs>
              <w:tab w:val="right" w:leader="dot" w:pos="9350"/>
            </w:tabs>
            <w:rPr>
              <w:rFonts w:asciiTheme="minorHAnsi" w:hAnsiTheme="minorHAnsi" w:cstheme="minorBidi"/>
              <w:noProof/>
              <w:kern w:val="2"/>
              <w:sz w:val="24"/>
              <w:szCs w:val="24"/>
              <w14:ligatures w14:val="standardContextual"/>
            </w:rPr>
          </w:pPr>
          <w:hyperlink w:history="1" w:anchor="_Toc243991468">
            <w:r w:rsidRPr="00965922">
              <w:rPr>
                <w:rStyle w:val="Hyperlink"/>
                <w:noProof/>
              </w:rPr>
              <w:t>8.4.</w:t>
            </w:r>
            <w:r>
              <w:rPr>
                <w:rFonts w:asciiTheme="minorHAnsi" w:hAnsiTheme="minorHAnsi" w:cstheme="minorBidi"/>
                <w:noProof/>
                <w:kern w:val="2"/>
                <w:sz w:val="24"/>
                <w:szCs w:val="24"/>
                <w14:ligatures w14:val="standardContextual"/>
              </w:rPr>
              <w:tab/>
            </w:r>
            <w:r w:rsidRPr="00965922">
              <w:rPr>
                <w:rStyle w:val="Hyperlink"/>
                <w:noProof/>
              </w:rPr>
              <w:t>Load Flexibility Scenario within the Scenario Planning Framework.</w:t>
            </w:r>
            <w:r>
              <w:rPr>
                <w:noProof/>
                <w:webHidden/>
              </w:rPr>
              <w:tab/>
            </w:r>
            <w:r>
              <w:rPr>
                <w:noProof/>
                <w:webHidden/>
              </w:rPr>
              <w:fldChar w:fldCharType="begin"/>
            </w:r>
            <w:r>
              <w:rPr>
                <w:noProof/>
                <w:webHidden/>
              </w:rPr>
              <w:instrText xml:space="preserve"> PAGEREF _Toc243991468 \h </w:instrText>
            </w:r>
            <w:r>
              <w:rPr>
                <w:noProof/>
                <w:webHidden/>
              </w:rPr>
            </w:r>
            <w:r>
              <w:rPr>
                <w:noProof/>
                <w:webHidden/>
              </w:rPr>
              <w:fldChar w:fldCharType="separate"/>
            </w:r>
            <w:r w:rsidR="00E16754">
              <w:rPr>
                <w:noProof/>
                <w:webHidden/>
              </w:rPr>
              <w:t>71</w:t>
            </w:r>
            <w:r>
              <w:rPr>
                <w:noProof/>
                <w:webHidden/>
              </w:rPr>
              <w:fldChar w:fldCharType="end"/>
            </w:r>
          </w:hyperlink>
        </w:p>
        <w:p w:rsidR="00D7107F" w:rsidRDefault="00D7107F" w14:paraId="7C7AAAC5" w14:textId="45A34D2B">
          <w:pPr>
            <w:pStyle w:val="TOC2"/>
            <w:tabs>
              <w:tab w:val="right" w:leader="dot" w:pos="9350"/>
            </w:tabs>
            <w:rPr>
              <w:rFonts w:asciiTheme="minorHAnsi" w:hAnsiTheme="minorHAnsi" w:cstheme="minorBidi"/>
              <w:noProof/>
              <w:kern w:val="2"/>
              <w:sz w:val="24"/>
              <w:szCs w:val="24"/>
              <w14:ligatures w14:val="standardContextual"/>
            </w:rPr>
          </w:pPr>
          <w:hyperlink w:history="1" w:anchor="_Toc243991469">
            <w:r w:rsidRPr="00965922">
              <w:rPr>
                <w:rStyle w:val="Hyperlink"/>
                <w:noProof/>
              </w:rPr>
              <w:t>8.5.</w:t>
            </w:r>
            <w:r>
              <w:rPr>
                <w:rFonts w:asciiTheme="minorHAnsi" w:hAnsiTheme="minorHAnsi" w:cstheme="minorBidi"/>
                <w:noProof/>
                <w:kern w:val="2"/>
                <w:sz w:val="24"/>
                <w:szCs w:val="24"/>
                <w14:ligatures w14:val="standardContextual"/>
              </w:rPr>
              <w:tab/>
            </w:r>
            <w:r w:rsidRPr="00965922">
              <w:rPr>
                <w:rStyle w:val="Hyperlink"/>
                <w:noProof/>
              </w:rPr>
              <w:t>Distributed Energy Storage</w:t>
            </w:r>
            <w:r>
              <w:rPr>
                <w:noProof/>
                <w:webHidden/>
              </w:rPr>
              <w:tab/>
            </w:r>
            <w:r>
              <w:rPr>
                <w:noProof/>
                <w:webHidden/>
              </w:rPr>
              <w:fldChar w:fldCharType="begin"/>
            </w:r>
            <w:r>
              <w:rPr>
                <w:noProof/>
                <w:webHidden/>
              </w:rPr>
              <w:instrText xml:space="preserve"> PAGEREF _Toc243991469 \h </w:instrText>
            </w:r>
            <w:r>
              <w:rPr>
                <w:noProof/>
                <w:webHidden/>
              </w:rPr>
            </w:r>
            <w:r>
              <w:rPr>
                <w:noProof/>
                <w:webHidden/>
              </w:rPr>
              <w:fldChar w:fldCharType="separate"/>
            </w:r>
            <w:r w:rsidR="00E16754">
              <w:rPr>
                <w:noProof/>
                <w:webHidden/>
              </w:rPr>
              <w:t>74</w:t>
            </w:r>
            <w:r>
              <w:rPr>
                <w:noProof/>
                <w:webHidden/>
              </w:rPr>
              <w:fldChar w:fldCharType="end"/>
            </w:r>
          </w:hyperlink>
        </w:p>
        <w:p w:rsidR="00D7107F" w:rsidRDefault="00D7107F" w14:paraId="08F6466C" w14:textId="005E5D02">
          <w:pPr>
            <w:pStyle w:val="TOC1"/>
            <w:tabs>
              <w:tab w:val="right" w:leader="dot" w:pos="9350"/>
            </w:tabs>
            <w:rPr>
              <w:rFonts w:asciiTheme="minorHAnsi" w:hAnsiTheme="minorHAnsi" w:cstheme="minorBidi"/>
              <w:noProof/>
              <w:kern w:val="2"/>
              <w:sz w:val="24"/>
              <w:szCs w:val="24"/>
              <w14:ligatures w14:val="standardContextual"/>
            </w:rPr>
          </w:pPr>
          <w:hyperlink w:history="1" w:anchor="_Toc243991470">
            <w:r w:rsidRPr="00965922">
              <w:rPr>
                <w:rStyle w:val="Hyperlink"/>
                <w:noProof/>
              </w:rPr>
              <w:t>9.</w:t>
            </w:r>
            <w:r>
              <w:rPr>
                <w:rFonts w:asciiTheme="minorHAnsi" w:hAnsiTheme="minorHAnsi" w:cstheme="minorBidi"/>
                <w:noProof/>
                <w:kern w:val="2"/>
                <w:sz w:val="24"/>
                <w:szCs w:val="24"/>
                <w14:ligatures w14:val="standardContextual"/>
              </w:rPr>
              <w:tab/>
            </w:r>
            <w:r w:rsidRPr="00965922">
              <w:rPr>
                <w:rStyle w:val="Hyperlink"/>
                <w:noProof/>
              </w:rPr>
              <w:t>Summary of Public Comment</w:t>
            </w:r>
            <w:r>
              <w:rPr>
                <w:noProof/>
                <w:webHidden/>
              </w:rPr>
              <w:tab/>
            </w:r>
            <w:r>
              <w:rPr>
                <w:noProof/>
                <w:webHidden/>
              </w:rPr>
              <w:fldChar w:fldCharType="begin"/>
            </w:r>
            <w:r>
              <w:rPr>
                <w:noProof/>
                <w:webHidden/>
              </w:rPr>
              <w:instrText xml:space="preserve"> PAGEREF _Toc243991470 \h </w:instrText>
            </w:r>
            <w:r>
              <w:rPr>
                <w:noProof/>
                <w:webHidden/>
              </w:rPr>
            </w:r>
            <w:r>
              <w:rPr>
                <w:noProof/>
                <w:webHidden/>
              </w:rPr>
              <w:fldChar w:fldCharType="separate"/>
            </w:r>
            <w:r w:rsidR="00E16754">
              <w:rPr>
                <w:noProof/>
                <w:webHidden/>
              </w:rPr>
              <w:t>76</w:t>
            </w:r>
            <w:r>
              <w:rPr>
                <w:noProof/>
                <w:webHidden/>
              </w:rPr>
              <w:fldChar w:fldCharType="end"/>
            </w:r>
          </w:hyperlink>
        </w:p>
        <w:p w:rsidR="00D7107F" w:rsidRDefault="00D7107F" w14:paraId="6AF864A4" w14:textId="3151C6D0">
          <w:pPr>
            <w:pStyle w:val="TOC1"/>
            <w:tabs>
              <w:tab w:val="right" w:leader="dot" w:pos="9350"/>
            </w:tabs>
            <w:rPr>
              <w:rFonts w:asciiTheme="minorHAnsi" w:hAnsiTheme="minorHAnsi" w:cstheme="minorBidi"/>
              <w:noProof/>
              <w:kern w:val="2"/>
              <w:sz w:val="24"/>
              <w:szCs w:val="24"/>
              <w14:ligatures w14:val="standardContextual"/>
            </w:rPr>
          </w:pPr>
          <w:hyperlink w:history="1" w:anchor="_Toc243991471">
            <w:r w:rsidRPr="00965922">
              <w:rPr>
                <w:rStyle w:val="Hyperlink"/>
                <w:noProof/>
              </w:rPr>
              <w:t>10.</w:t>
            </w:r>
            <w:r>
              <w:rPr>
                <w:rFonts w:asciiTheme="minorHAnsi" w:hAnsiTheme="minorHAnsi" w:cstheme="minorBidi"/>
                <w:noProof/>
                <w:kern w:val="2"/>
                <w:sz w:val="24"/>
                <w:szCs w:val="24"/>
                <w14:ligatures w14:val="standardContextual"/>
              </w:rPr>
              <w:tab/>
            </w:r>
            <w:r w:rsidRPr="00965922">
              <w:rPr>
                <w:rStyle w:val="Hyperlink"/>
                <w:noProof/>
              </w:rPr>
              <w:t>Procedural Matters</w:t>
            </w:r>
            <w:r>
              <w:rPr>
                <w:noProof/>
                <w:webHidden/>
              </w:rPr>
              <w:tab/>
            </w:r>
            <w:r>
              <w:rPr>
                <w:noProof/>
                <w:webHidden/>
              </w:rPr>
              <w:fldChar w:fldCharType="begin"/>
            </w:r>
            <w:r>
              <w:rPr>
                <w:noProof/>
                <w:webHidden/>
              </w:rPr>
              <w:instrText xml:space="preserve"> PAGEREF _Toc243991471 \h </w:instrText>
            </w:r>
            <w:r>
              <w:rPr>
                <w:noProof/>
                <w:webHidden/>
              </w:rPr>
            </w:r>
            <w:r>
              <w:rPr>
                <w:noProof/>
                <w:webHidden/>
              </w:rPr>
              <w:fldChar w:fldCharType="separate"/>
            </w:r>
            <w:r w:rsidR="00E16754">
              <w:rPr>
                <w:noProof/>
                <w:webHidden/>
              </w:rPr>
              <w:t>77</w:t>
            </w:r>
            <w:r>
              <w:rPr>
                <w:noProof/>
                <w:webHidden/>
              </w:rPr>
              <w:fldChar w:fldCharType="end"/>
            </w:r>
          </w:hyperlink>
        </w:p>
        <w:p w:rsidR="00D7107F" w:rsidRDefault="00D7107F" w14:paraId="5639C563" w14:textId="51357663">
          <w:pPr>
            <w:pStyle w:val="TOC1"/>
            <w:tabs>
              <w:tab w:val="right" w:leader="dot" w:pos="9350"/>
            </w:tabs>
            <w:rPr>
              <w:rFonts w:asciiTheme="minorHAnsi" w:hAnsiTheme="minorHAnsi" w:cstheme="minorBidi"/>
              <w:noProof/>
              <w:kern w:val="2"/>
              <w:sz w:val="24"/>
              <w:szCs w:val="24"/>
              <w14:ligatures w14:val="standardContextual"/>
            </w:rPr>
          </w:pPr>
          <w:hyperlink w:history="1" w:anchor="_Toc243991472">
            <w:r w:rsidRPr="00965922">
              <w:rPr>
                <w:rStyle w:val="Hyperlink"/>
                <w:noProof/>
              </w:rPr>
              <w:t>11.</w:t>
            </w:r>
            <w:r>
              <w:rPr>
                <w:rFonts w:asciiTheme="minorHAnsi" w:hAnsiTheme="minorHAnsi" w:cstheme="minorBidi"/>
                <w:noProof/>
                <w:kern w:val="2"/>
                <w:sz w:val="24"/>
                <w:szCs w:val="24"/>
                <w14:ligatures w14:val="standardContextual"/>
              </w:rPr>
              <w:tab/>
            </w:r>
            <w:r w:rsidRPr="00965922">
              <w:rPr>
                <w:rStyle w:val="Hyperlink"/>
                <w:noProof/>
              </w:rPr>
              <w:t>Comments on Proposed Decision</w:t>
            </w:r>
            <w:r>
              <w:rPr>
                <w:noProof/>
                <w:webHidden/>
              </w:rPr>
              <w:tab/>
            </w:r>
            <w:r>
              <w:rPr>
                <w:noProof/>
                <w:webHidden/>
              </w:rPr>
              <w:fldChar w:fldCharType="begin"/>
            </w:r>
            <w:r>
              <w:rPr>
                <w:noProof/>
                <w:webHidden/>
              </w:rPr>
              <w:instrText xml:space="preserve"> PAGEREF _Toc243991472 \h </w:instrText>
            </w:r>
            <w:r>
              <w:rPr>
                <w:noProof/>
                <w:webHidden/>
              </w:rPr>
            </w:r>
            <w:r>
              <w:rPr>
                <w:noProof/>
                <w:webHidden/>
              </w:rPr>
              <w:fldChar w:fldCharType="separate"/>
            </w:r>
            <w:r w:rsidR="00E16754">
              <w:rPr>
                <w:noProof/>
                <w:webHidden/>
              </w:rPr>
              <w:t>77</w:t>
            </w:r>
            <w:r>
              <w:rPr>
                <w:noProof/>
                <w:webHidden/>
              </w:rPr>
              <w:fldChar w:fldCharType="end"/>
            </w:r>
          </w:hyperlink>
        </w:p>
        <w:p w:rsidR="00D7107F" w:rsidRDefault="00D7107F" w14:paraId="015650B1" w14:textId="57DB4C05">
          <w:pPr>
            <w:pStyle w:val="TOC1"/>
            <w:tabs>
              <w:tab w:val="right" w:leader="dot" w:pos="9350"/>
            </w:tabs>
            <w:rPr>
              <w:rFonts w:asciiTheme="minorHAnsi" w:hAnsiTheme="minorHAnsi" w:cstheme="minorBidi"/>
              <w:noProof/>
              <w:kern w:val="2"/>
              <w:sz w:val="24"/>
              <w:szCs w:val="24"/>
              <w14:ligatures w14:val="standardContextual"/>
            </w:rPr>
          </w:pPr>
          <w:hyperlink w:history="1" w:anchor="_Toc243991473">
            <w:r w:rsidRPr="00965922">
              <w:rPr>
                <w:rStyle w:val="Hyperlink"/>
                <w:noProof/>
              </w:rPr>
              <w:t>12.</w:t>
            </w:r>
            <w:r>
              <w:rPr>
                <w:rFonts w:asciiTheme="minorHAnsi" w:hAnsiTheme="minorHAnsi" w:cstheme="minorBidi"/>
                <w:noProof/>
                <w:kern w:val="2"/>
                <w:sz w:val="24"/>
                <w:szCs w:val="24"/>
                <w14:ligatures w14:val="standardContextual"/>
              </w:rPr>
              <w:tab/>
            </w:r>
            <w:r w:rsidRPr="00965922">
              <w:rPr>
                <w:rStyle w:val="Hyperlink"/>
                <w:noProof/>
              </w:rPr>
              <w:t>Assignment of Proceeding</w:t>
            </w:r>
            <w:r>
              <w:rPr>
                <w:noProof/>
                <w:webHidden/>
              </w:rPr>
              <w:tab/>
            </w:r>
            <w:r>
              <w:rPr>
                <w:noProof/>
                <w:webHidden/>
              </w:rPr>
              <w:fldChar w:fldCharType="begin"/>
            </w:r>
            <w:r>
              <w:rPr>
                <w:noProof/>
                <w:webHidden/>
              </w:rPr>
              <w:instrText xml:space="preserve"> PAGEREF _Toc243991473 \h </w:instrText>
            </w:r>
            <w:r>
              <w:rPr>
                <w:noProof/>
                <w:webHidden/>
              </w:rPr>
            </w:r>
            <w:r>
              <w:rPr>
                <w:noProof/>
                <w:webHidden/>
              </w:rPr>
              <w:fldChar w:fldCharType="separate"/>
            </w:r>
            <w:r w:rsidR="00E16754">
              <w:rPr>
                <w:noProof/>
                <w:webHidden/>
              </w:rPr>
              <w:t>80</w:t>
            </w:r>
            <w:r>
              <w:rPr>
                <w:noProof/>
                <w:webHidden/>
              </w:rPr>
              <w:fldChar w:fldCharType="end"/>
            </w:r>
          </w:hyperlink>
        </w:p>
        <w:p w:rsidR="00D7107F" w:rsidRDefault="00D7107F" w14:paraId="67625517" w14:textId="0CF15EDC">
          <w:pPr>
            <w:pStyle w:val="TOC1"/>
            <w:tabs>
              <w:tab w:val="right" w:leader="dot" w:pos="9350"/>
            </w:tabs>
            <w:rPr>
              <w:rFonts w:asciiTheme="minorHAnsi" w:hAnsiTheme="minorHAnsi" w:cstheme="minorBidi"/>
              <w:noProof/>
              <w:kern w:val="2"/>
              <w:sz w:val="24"/>
              <w:szCs w:val="24"/>
              <w14:ligatures w14:val="standardContextual"/>
            </w:rPr>
          </w:pPr>
          <w:hyperlink w:history="1" w:anchor="_Toc243991474">
            <w:r w:rsidRPr="00965922">
              <w:rPr>
                <w:rStyle w:val="Hyperlink"/>
                <w:noProof/>
              </w:rPr>
              <w:t>Findings of Fact</w:t>
            </w:r>
            <w:r>
              <w:rPr>
                <w:noProof/>
                <w:webHidden/>
              </w:rPr>
              <w:tab/>
            </w:r>
            <w:r>
              <w:rPr>
                <w:noProof/>
                <w:webHidden/>
              </w:rPr>
              <w:fldChar w:fldCharType="begin"/>
            </w:r>
            <w:r>
              <w:rPr>
                <w:noProof/>
                <w:webHidden/>
              </w:rPr>
              <w:instrText xml:space="preserve"> PAGEREF _Toc243991474 \h </w:instrText>
            </w:r>
            <w:r>
              <w:rPr>
                <w:noProof/>
                <w:webHidden/>
              </w:rPr>
            </w:r>
            <w:r>
              <w:rPr>
                <w:noProof/>
                <w:webHidden/>
              </w:rPr>
              <w:fldChar w:fldCharType="separate"/>
            </w:r>
            <w:r w:rsidR="00E16754">
              <w:rPr>
                <w:noProof/>
                <w:webHidden/>
              </w:rPr>
              <w:t>80</w:t>
            </w:r>
            <w:r>
              <w:rPr>
                <w:noProof/>
                <w:webHidden/>
              </w:rPr>
              <w:fldChar w:fldCharType="end"/>
            </w:r>
          </w:hyperlink>
        </w:p>
        <w:p w:rsidR="00D7107F" w:rsidRDefault="00D7107F" w14:paraId="42673570" w14:textId="3E491B62">
          <w:pPr>
            <w:pStyle w:val="TOC1"/>
            <w:tabs>
              <w:tab w:val="right" w:leader="dot" w:pos="9350"/>
            </w:tabs>
            <w:rPr>
              <w:rFonts w:asciiTheme="minorHAnsi" w:hAnsiTheme="minorHAnsi" w:cstheme="minorBidi"/>
              <w:noProof/>
              <w:kern w:val="2"/>
              <w:sz w:val="24"/>
              <w:szCs w:val="24"/>
              <w14:ligatures w14:val="standardContextual"/>
            </w:rPr>
          </w:pPr>
          <w:hyperlink w:history="1" w:anchor="_Toc243991475">
            <w:r w:rsidRPr="00965922">
              <w:rPr>
                <w:rStyle w:val="Hyperlink"/>
                <w:noProof/>
              </w:rPr>
              <w:t>Conclusions of Law</w:t>
            </w:r>
            <w:r>
              <w:rPr>
                <w:noProof/>
                <w:webHidden/>
              </w:rPr>
              <w:tab/>
            </w:r>
            <w:r>
              <w:rPr>
                <w:noProof/>
                <w:webHidden/>
              </w:rPr>
              <w:fldChar w:fldCharType="begin"/>
            </w:r>
            <w:r>
              <w:rPr>
                <w:noProof/>
                <w:webHidden/>
              </w:rPr>
              <w:instrText xml:space="preserve"> PAGEREF _Toc243991475 \h </w:instrText>
            </w:r>
            <w:r>
              <w:rPr>
                <w:noProof/>
                <w:webHidden/>
              </w:rPr>
            </w:r>
            <w:r>
              <w:rPr>
                <w:noProof/>
                <w:webHidden/>
              </w:rPr>
              <w:fldChar w:fldCharType="separate"/>
            </w:r>
            <w:r w:rsidR="00E16754">
              <w:rPr>
                <w:noProof/>
                <w:webHidden/>
              </w:rPr>
              <w:t>85</w:t>
            </w:r>
            <w:r>
              <w:rPr>
                <w:noProof/>
                <w:webHidden/>
              </w:rPr>
              <w:fldChar w:fldCharType="end"/>
            </w:r>
          </w:hyperlink>
        </w:p>
        <w:p w:rsidR="00D7107F" w:rsidRDefault="00D7107F" w14:paraId="0C79E614" w14:textId="119B63C6">
          <w:pPr>
            <w:pStyle w:val="TOC1"/>
            <w:tabs>
              <w:tab w:val="right" w:leader="dot" w:pos="9350"/>
            </w:tabs>
            <w:rPr>
              <w:rFonts w:asciiTheme="minorHAnsi" w:hAnsiTheme="minorHAnsi" w:cstheme="minorBidi"/>
              <w:noProof/>
              <w:kern w:val="2"/>
              <w:sz w:val="24"/>
              <w:szCs w:val="24"/>
              <w14:ligatures w14:val="standardContextual"/>
            </w:rPr>
          </w:pPr>
          <w:hyperlink w:history="1" w:anchor="_Toc243991476">
            <w:r w:rsidRPr="00965922">
              <w:rPr>
                <w:rStyle w:val="Hyperlink"/>
                <w:noProof/>
              </w:rPr>
              <w:t>ORDER</w:t>
            </w:r>
            <w:r>
              <w:rPr>
                <w:noProof/>
                <w:webHidden/>
              </w:rPr>
              <w:tab/>
            </w:r>
            <w:r>
              <w:rPr>
                <w:noProof/>
                <w:webHidden/>
              </w:rPr>
              <w:fldChar w:fldCharType="begin"/>
            </w:r>
            <w:r>
              <w:rPr>
                <w:noProof/>
                <w:webHidden/>
              </w:rPr>
              <w:instrText xml:space="preserve"> PAGEREF _Toc243991476 \h </w:instrText>
            </w:r>
            <w:r>
              <w:rPr>
                <w:noProof/>
                <w:webHidden/>
              </w:rPr>
            </w:r>
            <w:r>
              <w:rPr>
                <w:noProof/>
                <w:webHidden/>
              </w:rPr>
              <w:fldChar w:fldCharType="separate"/>
            </w:r>
            <w:r w:rsidR="00E16754">
              <w:rPr>
                <w:noProof/>
                <w:webHidden/>
              </w:rPr>
              <w:t>94</w:t>
            </w:r>
            <w:r>
              <w:rPr>
                <w:noProof/>
                <w:webHidden/>
              </w:rPr>
              <w:fldChar w:fldCharType="end"/>
            </w:r>
          </w:hyperlink>
        </w:p>
        <w:p w:rsidR="1C7B65D8" w:rsidP="008B21BA" w:rsidRDefault="1C7B65D8" w14:paraId="60F31555" w14:textId="69652E57">
          <w:pPr>
            <w:pStyle w:val="TOC1"/>
            <w:tabs>
              <w:tab w:val="right" w:leader="dot" w:pos="9345"/>
            </w:tabs>
            <w:rPr>
              <w:rStyle w:val="Hyperlink"/>
            </w:rPr>
          </w:pPr>
          <w:r>
            <w:fldChar w:fldCharType="end"/>
          </w:r>
        </w:p>
      </w:sdtContent>
    </w:sdt>
    <w:p w:rsidR="00D82A43" w:rsidP="008C7413" w:rsidRDefault="00D82A43" w14:paraId="7C907EB1" w14:textId="160B7911">
      <w:pPr>
        <w:pStyle w:val="TOC1"/>
        <w:tabs>
          <w:tab w:val="right" w:leader="dot" w:pos="9350"/>
        </w:tabs>
      </w:pPr>
    </w:p>
    <w:p w:rsidR="00D44DB6" w:rsidP="00D44DB6" w:rsidRDefault="00D44DB6" w14:paraId="54B094AE" w14:textId="77777777">
      <w:pPr>
        <w:spacing w:line="240" w:lineRule="auto"/>
        <w:ind w:firstLine="0"/>
        <w:rPr>
          <w:rFonts w:cs="Arial"/>
          <w:szCs w:val="26"/>
        </w:rPr>
      </w:pPr>
    </w:p>
    <w:p w:rsidRPr="00D44DB6" w:rsidR="00D44DB6" w:rsidP="00D44DB6" w:rsidRDefault="00D44DB6" w14:paraId="1544C236" w14:textId="39D59304">
      <w:pPr>
        <w:spacing w:line="240" w:lineRule="auto"/>
        <w:ind w:firstLine="0"/>
        <w:rPr>
          <w:rFonts w:cs="Arial"/>
          <w:i/>
          <w:szCs w:val="26"/>
        </w:rPr>
        <w:sectPr w:rsidRPr="00D44DB6" w:rsidR="00D44DB6" w:rsidSect="00D44DB6">
          <w:headerReference w:type="default" r:id="rId17"/>
          <w:footerReference w:type="default" r:id="rId18"/>
          <w:pgSz w:w="12240" w:h="15840"/>
          <w:pgMar w:top="1728" w:right="1440" w:bottom="1440" w:left="1440" w:header="720" w:footer="720" w:gutter="0"/>
          <w:pgNumType w:fmt="lowerRoman" w:start="1"/>
          <w:cols w:space="720"/>
          <w:docGrid w:linePitch="360"/>
        </w:sectPr>
      </w:pPr>
    </w:p>
    <w:p w:rsidR="008D4ED5" w:rsidP="00923DDB" w:rsidRDefault="006A4390" w14:paraId="5D90F96D" w14:textId="5DEB07B2">
      <w:pPr>
        <w:pStyle w:val="Main"/>
        <w:spacing w:after="120"/>
      </w:pPr>
      <w:r>
        <w:lastRenderedPageBreak/>
        <w:t>DECISION ADOPTING AN APPLICATION PROCESS FOR UTILITY DISTRIBUTED ENERGY RESOURCES ORCHESTRATION AND ORDERING UTILITIES TO INCORPORATE LOAD FLEXIBILITY SCENARIOS INTO THEIR DISTRIBUTION PLANNING AND EXECUTION PROCESSES</w:t>
      </w:r>
    </w:p>
    <w:p w:rsidR="005A148C" w:rsidP="005A148C" w:rsidRDefault="005A148C" w14:paraId="3E29E20B" w14:textId="77777777">
      <w:pPr>
        <w:pStyle w:val="Dummy"/>
      </w:pPr>
      <w:bookmarkStart w:name="_Toc8123714" w:id="2"/>
      <w:bookmarkStart w:name="_Toc99235794" w:id="3"/>
      <w:bookmarkStart w:name="_Toc243991428" w:id="4"/>
      <w:r>
        <w:t>Summary</w:t>
      </w:r>
      <w:bookmarkEnd w:id="2"/>
      <w:bookmarkEnd w:id="3"/>
      <w:bookmarkEnd w:id="4"/>
    </w:p>
    <w:p w:rsidR="00500EF4" w:rsidP="006E6574" w:rsidRDefault="009A4346" w14:paraId="25991387" w14:textId="46A47F1A">
      <w:pPr>
        <w:pStyle w:val="Standard"/>
        <w:rPr>
          <w:color w:val="000000" w:themeColor="text1"/>
        </w:rPr>
      </w:pPr>
      <w:r w:rsidRPr="009E3FF8">
        <w:rPr>
          <w:color w:val="000000" w:themeColor="text1"/>
        </w:rPr>
        <w:t>Th</w:t>
      </w:r>
      <w:r w:rsidR="005D6656">
        <w:rPr>
          <w:color w:val="000000" w:themeColor="text1"/>
        </w:rPr>
        <w:t xml:space="preserve">is decision orders </w:t>
      </w:r>
      <w:r w:rsidRPr="009E3FF8" w:rsidR="005D6656">
        <w:rPr>
          <w:color w:val="000000" w:themeColor="text1"/>
        </w:rPr>
        <w:t>Pacific Gas and Electric Company, Southern California Edison Company</w:t>
      </w:r>
      <w:r w:rsidR="005D6656">
        <w:rPr>
          <w:color w:val="000000" w:themeColor="text1"/>
        </w:rPr>
        <w:t xml:space="preserve">, </w:t>
      </w:r>
      <w:r w:rsidR="00477C24">
        <w:rPr>
          <w:color w:val="000000" w:themeColor="text1"/>
        </w:rPr>
        <w:t xml:space="preserve">and </w:t>
      </w:r>
      <w:r w:rsidRPr="009E3FF8" w:rsidR="00477C24">
        <w:rPr>
          <w:color w:val="000000" w:themeColor="text1"/>
        </w:rPr>
        <w:t xml:space="preserve">San Diego Gas &amp; Electric Company, </w:t>
      </w:r>
      <w:r w:rsidR="005D6656">
        <w:rPr>
          <w:color w:val="000000" w:themeColor="text1"/>
        </w:rPr>
        <w:t>collectively the Investor-Owned Utilities (IOUs)</w:t>
      </w:r>
      <w:r w:rsidR="000825E6">
        <w:rPr>
          <w:color w:val="000000" w:themeColor="text1"/>
        </w:rPr>
        <w:t>,</w:t>
      </w:r>
      <w:r w:rsidR="005D6656">
        <w:rPr>
          <w:color w:val="000000" w:themeColor="text1"/>
        </w:rPr>
        <w:t xml:space="preserve"> to </w:t>
      </w:r>
      <w:r w:rsidR="00A84B51">
        <w:rPr>
          <w:color w:val="000000" w:themeColor="text1"/>
        </w:rPr>
        <w:t xml:space="preserve">retain a consultant to </w:t>
      </w:r>
      <w:r w:rsidR="009961DA">
        <w:rPr>
          <w:color w:val="000000" w:themeColor="text1"/>
        </w:rPr>
        <w:t>lea</w:t>
      </w:r>
      <w:r w:rsidR="0047163E">
        <w:rPr>
          <w:color w:val="000000" w:themeColor="text1"/>
        </w:rPr>
        <w:t>d a series of work</w:t>
      </w:r>
      <w:r w:rsidR="008B0F8E">
        <w:rPr>
          <w:color w:val="000000" w:themeColor="text1"/>
        </w:rPr>
        <w:t>ing group meetings</w:t>
      </w:r>
      <w:r w:rsidR="0047163E">
        <w:rPr>
          <w:color w:val="000000" w:themeColor="text1"/>
        </w:rPr>
        <w:t xml:space="preserve"> to vet proposals for a common </w:t>
      </w:r>
      <w:r w:rsidR="000825E6">
        <w:rPr>
          <w:color w:val="000000" w:themeColor="text1"/>
        </w:rPr>
        <w:t>Distributed Energy Resources (DER) orchestration</w:t>
      </w:r>
      <w:r w:rsidR="006A4390">
        <w:rPr>
          <w:color w:val="000000" w:themeColor="text1"/>
        </w:rPr>
        <w:t xml:space="preserve"> </w:t>
      </w:r>
      <w:proofErr w:type="gramStart"/>
      <w:r w:rsidR="006A4390">
        <w:rPr>
          <w:color w:val="000000" w:themeColor="text1"/>
        </w:rPr>
        <w:t>framework</w:t>
      </w:r>
      <w:r w:rsidR="00AA2C2E">
        <w:rPr>
          <w:color w:val="000000" w:themeColor="text1"/>
        </w:rPr>
        <w:t xml:space="preserve">, </w:t>
      </w:r>
      <w:r w:rsidR="00C44DF0">
        <w:rPr>
          <w:color w:val="000000" w:themeColor="text1"/>
        </w:rPr>
        <w:t>and</w:t>
      </w:r>
      <w:proofErr w:type="gramEnd"/>
      <w:r w:rsidR="00C44DF0">
        <w:rPr>
          <w:color w:val="000000" w:themeColor="text1"/>
        </w:rPr>
        <w:t xml:space="preserve"> </w:t>
      </w:r>
      <w:r w:rsidR="0004778B">
        <w:rPr>
          <w:color w:val="000000" w:themeColor="text1"/>
        </w:rPr>
        <w:t xml:space="preserve">prepare a report </w:t>
      </w:r>
      <w:r w:rsidR="00122AE3">
        <w:rPr>
          <w:color w:val="000000" w:themeColor="text1"/>
        </w:rPr>
        <w:t>with recommendations</w:t>
      </w:r>
      <w:r w:rsidR="00A84B51">
        <w:rPr>
          <w:color w:val="000000" w:themeColor="text1"/>
        </w:rPr>
        <w:t xml:space="preserve"> b</w:t>
      </w:r>
      <w:r w:rsidR="008266D8">
        <w:rPr>
          <w:color w:val="000000" w:themeColor="text1"/>
        </w:rPr>
        <w:t xml:space="preserve">ased on the </w:t>
      </w:r>
      <w:r w:rsidR="00EC5798">
        <w:rPr>
          <w:color w:val="000000" w:themeColor="text1"/>
        </w:rPr>
        <w:t xml:space="preserve">stakeholder feedback </w:t>
      </w:r>
      <w:r w:rsidR="00553197">
        <w:rPr>
          <w:color w:val="000000" w:themeColor="text1"/>
        </w:rPr>
        <w:t>from</w:t>
      </w:r>
      <w:r w:rsidR="00EC5798">
        <w:rPr>
          <w:color w:val="000000" w:themeColor="text1"/>
        </w:rPr>
        <w:t xml:space="preserve"> the </w:t>
      </w:r>
      <w:r w:rsidR="008266D8">
        <w:rPr>
          <w:color w:val="000000" w:themeColor="text1"/>
        </w:rPr>
        <w:t>workshops</w:t>
      </w:r>
      <w:r w:rsidR="00EC5798">
        <w:rPr>
          <w:color w:val="000000" w:themeColor="text1"/>
        </w:rPr>
        <w:t>. The report will be</w:t>
      </w:r>
      <w:r w:rsidR="008266D8">
        <w:rPr>
          <w:color w:val="000000" w:themeColor="text1"/>
        </w:rPr>
        <w:t xml:space="preserve"> included </w:t>
      </w:r>
      <w:r w:rsidR="00EC5798">
        <w:rPr>
          <w:color w:val="000000" w:themeColor="text1"/>
        </w:rPr>
        <w:t>as an attachment to the</w:t>
      </w:r>
      <w:r w:rsidR="008266D8">
        <w:rPr>
          <w:color w:val="000000" w:themeColor="text1"/>
        </w:rPr>
        <w:t xml:space="preserve"> Joint IOU</w:t>
      </w:r>
      <w:r w:rsidR="000825E6">
        <w:rPr>
          <w:color w:val="000000" w:themeColor="text1"/>
        </w:rPr>
        <w:t xml:space="preserve"> </w:t>
      </w:r>
      <w:r w:rsidR="00B0524A">
        <w:rPr>
          <w:color w:val="000000" w:themeColor="text1"/>
        </w:rPr>
        <w:t>A</w:t>
      </w:r>
      <w:r w:rsidR="005D6656">
        <w:rPr>
          <w:color w:val="000000" w:themeColor="text1"/>
        </w:rPr>
        <w:t xml:space="preserve">pplication </w:t>
      </w:r>
      <w:r w:rsidR="00380E26">
        <w:rPr>
          <w:color w:val="000000" w:themeColor="text1"/>
        </w:rPr>
        <w:t xml:space="preserve">to be filed </w:t>
      </w:r>
      <w:r w:rsidR="005D6656">
        <w:rPr>
          <w:color w:val="000000" w:themeColor="text1"/>
        </w:rPr>
        <w:t>within 1</w:t>
      </w:r>
      <w:r w:rsidR="00C44DF0">
        <w:rPr>
          <w:color w:val="000000" w:themeColor="text1"/>
        </w:rPr>
        <w:t>2</w:t>
      </w:r>
      <w:r w:rsidR="005D6656">
        <w:rPr>
          <w:color w:val="000000" w:themeColor="text1"/>
        </w:rPr>
        <w:t xml:space="preserve"> months</w:t>
      </w:r>
      <w:r w:rsidR="00500EF4">
        <w:rPr>
          <w:color w:val="000000" w:themeColor="text1"/>
        </w:rPr>
        <w:t xml:space="preserve"> </w:t>
      </w:r>
      <w:r w:rsidR="00852424">
        <w:rPr>
          <w:color w:val="000000" w:themeColor="text1"/>
        </w:rPr>
        <w:t>of the issuance of this decision</w:t>
      </w:r>
      <w:r w:rsidR="00553197">
        <w:rPr>
          <w:color w:val="000000" w:themeColor="text1"/>
        </w:rPr>
        <w:t>. The Joint Application will include a proposal for a common DER orchestration framework using the report as support for such a proposal, and proposals from each of the IOUs as to how each one will utilize the common DER orchestration framework given their current circumstances.  The Joint IOU Application will include the information necessary to meet the following goals</w:t>
      </w:r>
      <w:r w:rsidR="00500EF4">
        <w:rPr>
          <w:color w:val="000000" w:themeColor="text1"/>
        </w:rPr>
        <w:t>:</w:t>
      </w:r>
    </w:p>
    <w:p w:rsidR="00500EF4" w:rsidP="00923DDB" w:rsidRDefault="00500EF4" w14:paraId="2F7D8E44" w14:textId="72917590">
      <w:pPr>
        <w:pStyle w:val="Standard"/>
        <w:numPr>
          <w:ilvl w:val="0"/>
          <w:numId w:val="75"/>
        </w:numPr>
        <w:spacing w:after="120" w:line="240" w:lineRule="auto"/>
        <w:ind w:left="1080" w:right="1440"/>
        <w:rPr>
          <w:color w:val="000000" w:themeColor="text1"/>
        </w:rPr>
      </w:pPr>
      <w:r>
        <w:rPr>
          <w:color w:val="000000" w:themeColor="text1"/>
        </w:rPr>
        <w:t>D</w:t>
      </w:r>
      <w:r w:rsidR="000825E6">
        <w:rPr>
          <w:color w:val="000000" w:themeColor="text1"/>
        </w:rPr>
        <w:t xml:space="preserve">eveloping a comprehensive, </w:t>
      </w:r>
      <w:r w:rsidR="00DB1CE7">
        <w:rPr>
          <w:color w:val="000000" w:themeColor="text1"/>
        </w:rPr>
        <w:t>common</w:t>
      </w:r>
      <w:r w:rsidR="000825E6">
        <w:rPr>
          <w:color w:val="000000" w:themeColor="text1"/>
        </w:rPr>
        <w:t xml:space="preserve"> proposal defining grid services and use cases for </w:t>
      </w:r>
      <w:r w:rsidRPr="7464C475" w:rsidR="7464C475">
        <w:rPr>
          <w:color w:val="000000" w:themeColor="text1"/>
        </w:rPr>
        <w:t xml:space="preserve">DER </w:t>
      </w:r>
      <w:r w:rsidRPr="4BCFBADB" w:rsidR="4BCFBADB">
        <w:rPr>
          <w:color w:val="000000" w:themeColor="text1"/>
        </w:rPr>
        <w:t>orchestration</w:t>
      </w:r>
      <w:r w:rsidR="00AC039E">
        <w:rPr>
          <w:color w:val="000000" w:themeColor="text1"/>
        </w:rPr>
        <w:t>.</w:t>
      </w:r>
    </w:p>
    <w:p w:rsidR="00500EF4" w:rsidP="00923DDB" w:rsidRDefault="00500EF4" w14:paraId="2B240EF0" w14:textId="0C9EF0D0">
      <w:pPr>
        <w:pStyle w:val="Standard"/>
        <w:numPr>
          <w:ilvl w:val="0"/>
          <w:numId w:val="75"/>
        </w:numPr>
        <w:spacing w:after="120" w:line="240" w:lineRule="auto"/>
        <w:ind w:left="1080" w:right="1440"/>
        <w:rPr>
          <w:color w:val="000000" w:themeColor="text1"/>
        </w:rPr>
      </w:pPr>
      <w:r>
        <w:rPr>
          <w:color w:val="000000" w:themeColor="text1"/>
        </w:rPr>
        <w:t>E</w:t>
      </w:r>
      <w:r w:rsidR="000825E6">
        <w:rPr>
          <w:color w:val="000000" w:themeColor="text1"/>
        </w:rPr>
        <w:t xml:space="preserve">stablishing open, interoperable communications for </w:t>
      </w:r>
      <w:r w:rsidR="00512489">
        <w:rPr>
          <w:color w:val="000000" w:themeColor="text1"/>
        </w:rPr>
        <w:t xml:space="preserve">improved </w:t>
      </w:r>
      <w:r w:rsidR="000825E6">
        <w:rPr>
          <w:color w:val="000000" w:themeColor="text1"/>
        </w:rPr>
        <w:t>DER visibility and behind-the-meter grid services</w:t>
      </w:r>
      <w:r w:rsidR="00AC039E">
        <w:rPr>
          <w:color w:val="000000" w:themeColor="text1"/>
        </w:rPr>
        <w:t>.</w:t>
      </w:r>
    </w:p>
    <w:p w:rsidR="00500EF4" w:rsidP="00923DDB" w:rsidRDefault="00500EF4" w14:paraId="7EC8C244" w14:textId="037ADCE1">
      <w:pPr>
        <w:pStyle w:val="Standard"/>
        <w:numPr>
          <w:ilvl w:val="0"/>
          <w:numId w:val="75"/>
        </w:numPr>
        <w:spacing w:after="120" w:line="240" w:lineRule="auto"/>
        <w:ind w:left="1080" w:right="1440"/>
        <w:rPr>
          <w:color w:val="000000" w:themeColor="text1"/>
        </w:rPr>
      </w:pPr>
      <w:r>
        <w:rPr>
          <w:color w:val="000000" w:themeColor="text1"/>
        </w:rPr>
        <w:t>I</w:t>
      </w:r>
      <w:r w:rsidR="000825E6">
        <w:rPr>
          <w:color w:val="000000" w:themeColor="text1"/>
        </w:rPr>
        <w:t>dentifying distribution-level flexibility dispatch mechanism</w:t>
      </w:r>
      <w:r>
        <w:rPr>
          <w:color w:val="000000" w:themeColor="text1"/>
        </w:rPr>
        <w:t>s</w:t>
      </w:r>
      <w:r w:rsidR="00AC039E">
        <w:rPr>
          <w:color w:val="000000" w:themeColor="text1"/>
        </w:rPr>
        <w:t>.</w:t>
      </w:r>
    </w:p>
    <w:p w:rsidR="00500EF4" w:rsidP="00923DDB" w:rsidRDefault="00500EF4" w14:paraId="4231A9D9" w14:textId="6AB59D0B">
      <w:pPr>
        <w:pStyle w:val="Standard"/>
        <w:numPr>
          <w:ilvl w:val="0"/>
          <w:numId w:val="75"/>
        </w:numPr>
        <w:spacing w:after="120" w:line="240" w:lineRule="auto"/>
        <w:ind w:left="1080" w:right="1440"/>
        <w:rPr>
          <w:color w:val="000000" w:themeColor="text1"/>
        </w:rPr>
      </w:pPr>
      <w:r>
        <w:rPr>
          <w:color w:val="000000" w:themeColor="text1"/>
        </w:rPr>
        <w:t>E</w:t>
      </w:r>
      <w:r w:rsidR="000825E6">
        <w:rPr>
          <w:color w:val="000000" w:themeColor="text1"/>
        </w:rPr>
        <w:t>nabling DER visibility to the California Independent System Operator and allowing for transmission system operator-distribution system operator coordination</w:t>
      </w:r>
      <w:r w:rsidR="00AC039E">
        <w:rPr>
          <w:color w:val="000000" w:themeColor="text1"/>
        </w:rPr>
        <w:t>.</w:t>
      </w:r>
    </w:p>
    <w:p w:rsidR="000825E6" w:rsidP="00923DDB" w:rsidRDefault="00500EF4" w14:paraId="3073A39D" w14:textId="523F5700">
      <w:pPr>
        <w:pStyle w:val="Standard"/>
        <w:numPr>
          <w:ilvl w:val="0"/>
          <w:numId w:val="75"/>
        </w:numPr>
        <w:spacing w:after="120" w:line="240" w:lineRule="auto"/>
        <w:ind w:left="1080" w:right="1440"/>
        <w:rPr>
          <w:color w:val="000000" w:themeColor="text1"/>
        </w:rPr>
      </w:pPr>
      <w:r>
        <w:rPr>
          <w:color w:val="000000" w:themeColor="text1"/>
        </w:rPr>
        <w:t xml:space="preserve">Defining </w:t>
      </w:r>
      <w:r w:rsidR="007A40D0">
        <w:rPr>
          <w:color w:val="000000" w:themeColor="text1"/>
        </w:rPr>
        <w:t xml:space="preserve">performance </w:t>
      </w:r>
      <w:r>
        <w:rPr>
          <w:color w:val="000000" w:themeColor="text1"/>
        </w:rPr>
        <w:t>metrics, evaluating existing pilots and new use cases, and establishing scaling criteria</w:t>
      </w:r>
      <w:r w:rsidR="000825E6">
        <w:rPr>
          <w:color w:val="000000" w:themeColor="text1"/>
        </w:rPr>
        <w:t>.</w:t>
      </w:r>
    </w:p>
    <w:p w:rsidRPr="000A2537" w:rsidR="00B04267" w:rsidP="00B55938" w:rsidRDefault="00B55938" w14:paraId="1740B655" w14:textId="50BC9AFA">
      <w:pPr>
        <w:pStyle w:val="Standard"/>
      </w:pPr>
      <w:r>
        <w:rPr>
          <w:color w:val="000000" w:themeColor="text1"/>
        </w:rPr>
        <w:lastRenderedPageBreak/>
        <w:t xml:space="preserve">This decision also directs the IOUs to organize a full-day stakeholder workshop presenting new Load Flexibility Scenarios that </w:t>
      </w:r>
      <w:r w:rsidR="00CE5E96">
        <w:rPr>
          <w:color w:val="000000" w:themeColor="text1"/>
        </w:rPr>
        <w:t xml:space="preserve">they will incorporate as </w:t>
      </w:r>
      <w:r>
        <w:rPr>
          <w:color w:val="000000" w:themeColor="text1"/>
        </w:rPr>
        <w:t>a fourth modeling scenario in the annual Distribution Planning and Execution Process (DPEP) starting with the 202</w:t>
      </w:r>
      <w:r w:rsidR="00CD345B">
        <w:rPr>
          <w:color w:val="000000" w:themeColor="text1"/>
        </w:rPr>
        <w:t>8</w:t>
      </w:r>
      <w:r>
        <w:rPr>
          <w:color w:val="000000" w:themeColor="text1"/>
        </w:rPr>
        <w:t>-202</w:t>
      </w:r>
      <w:r w:rsidR="00CD345B">
        <w:rPr>
          <w:color w:val="000000" w:themeColor="text1"/>
        </w:rPr>
        <w:t>9</w:t>
      </w:r>
      <w:r>
        <w:rPr>
          <w:color w:val="000000" w:themeColor="text1"/>
        </w:rPr>
        <w:t xml:space="preserve"> cycle. This decision directs the IOUs </w:t>
      </w:r>
      <w:r w:rsidR="00D24FFB">
        <w:rPr>
          <w:color w:val="000000" w:themeColor="text1"/>
        </w:rPr>
        <w:t xml:space="preserve">within </w:t>
      </w:r>
      <w:r w:rsidR="00CD345B">
        <w:rPr>
          <w:color w:val="000000" w:themeColor="text1"/>
        </w:rPr>
        <w:t xml:space="preserve">120 </w:t>
      </w:r>
      <w:r w:rsidRPr="74AD9C6D" w:rsidR="5E156483">
        <w:rPr>
          <w:color w:val="000000" w:themeColor="text1"/>
        </w:rPr>
        <w:t>calendar</w:t>
      </w:r>
      <w:r w:rsidR="00D24FFB">
        <w:rPr>
          <w:color w:val="000000" w:themeColor="text1"/>
        </w:rPr>
        <w:t xml:space="preserve"> days of this decision to hold a workshop </w:t>
      </w:r>
      <w:r w:rsidR="00D55CA8">
        <w:rPr>
          <w:color w:val="000000" w:themeColor="text1"/>
        </w:rPr>
        <w:t>to present</w:t>
      </w:r>
      <w:r w:rsidR="00B64489">
        <w:rPr>
          <w:color w:val="000000" w:themeColor="text1"/>
        </w:rPr>
        <w:t xml:space="preserve"> their proposals</w:t>
      </w:r>
      <w:r w:rsidR="00D96CC1">
        <w:rPr>
          <w:color w:val="000000" w:themeColor="text1"/>
        </w:rPr>
        <w:t xml:space="preserve"> for </w:t>
      </w:r>
      <w:r w:rsidR="00676A21">
        <w:rPr>
          <w:color w:val="000000" w:themeColor="text1"/>
        </w:rPr>
        <w:t xml:space="preserve">a </w:t>
      </w:r>
      <w:r w:rsidR="00D55CA8">
        <w:t xml:space="preserve">Load Flexibility Scenario as a </w:t>
      </w:r>
      <w:r w:rsidR="00090D59">
        <w:t>f</w:t>
      </w:r>
      <w:r w:rsidR="00D55CA8">
        <w:t>ourth scenario within the existing DPEP Scenario Planning Framework</w:t>
      </w:r>
      <w:r w:rsidR="00022AB6">
        <w:t>.</w:t>
      </w:r>
      <w:r w:rsidR="00C7674B">
        <w:t xml:space="preserve"> The de</w:t>
      </w:r>
      <w:r w:rsidR="000C7C90">
        <w:t xml:space="preserve">cision directs the IOUs </w:t>
      </w:r>
      <w:r>
        <w:rPr>
          <w:color w:val="000000" w:themeColor="text1"/>
        </w:rPr>
        <w:t xml:space="preserve">to file a joint Tier 3 </w:t>
      </w:r>
      <w:r w:rsidR="00A062BF">
        <w:rPr>
          <w:color w:val="000000" w:themeColor="text1"/>
        </w:rPr>
        <w:t>a</w:t>
      </w:r>
      <w:r>
        <w:rPr>
          <w:color w:val="000000" w:themeColor="text1"/>
        </w:rPr>
        <w:t xml:space="preserve">dvice </w:t>
      </w:r>
      <w:r w:rsidR="00A062BF">
        <w:rPr>
          <w:color w:val="000000" w:themeColor="text1"/>
        </w:rPr>
        <w:t>l</w:t>
      </w:r>
      <w:r>
        <w:rPr>
          <w:color w:val="000000" w:themeColor="text1"/>
        </w:rPr>
        <w:t xml:space="preserve">etter within 60 </w:t>
      </w:r>
      <w:r w:rsidRPr="41DD7476" w:rsidR="735DBF0B">
        <w:rPr>
          <w:color w:val="000000" w:themeColor="text1"/>
        </w:rPr>
        <w:t>calendar</w:t>
      </w:r>
      <w:r w:rsidRPr="78ED3912">
        <w:rPr>
          <w:color w:val="000000" w:themeColor="text1"/>
        </w:rPr>
        <w:t xml:space="preserve"> </w:t>
      </w:r>
      <w:r>
        <w:rPr>
          <w:color w:val="000000" w:themeColor="text1"/>
        </w:rPr>
        <w:t xml:space="preserve">days after the workshop providing the technical basis for </w:t>
      </w:r>
      <w:r w:rsidR="00947774">
        <w:rPr>
          <w:color w:val="000000" w:themeColor="text1"/>
        </w:rPr>
        <w:t>Loa</w:t>
      </w:r>
      <w:r>
        <w:rPr>
          <w:color w:val="000000" w:themeColor="text1"/>
        </w:rPr>
        <w:t xml:space="preserve">d </w:t>
      </w:r>
      <w:r w:rsidR="00947774">
        <w:rPr>
          <w:color w:val="000000" w:themeColor="text1"/>
        </w:rPr>
        <w:t>F</w:t>
      </w:r>
      <w:r>
        <w:rPr>
          <w:color w:val="000000" w:themeColor="text1"/>
        </w:rPr>
        <w:t xml:space="preserve">lexibility </w:t>
      </w:r>
      <w:r w:rsidR="00947774">
        <w:rPr>
          <w:color w:val="000000" w:themeColor="text1"/>
        </w:rPr>
        <w:t>S</w:t>
      </w:r>
      <w:r>
        <w:rPr>
          <w:color w:val="000000" w:themeColor="text1"/>
        </w:rPr>
        <w:t xml:space="preserve">cenario inputs and proposing implementation </w:t>
      </w:r>
      <w:r w:rsidR="003225B0">
        <w:rPr>
          <w:color w:val="000000" w:themeColor="text1"/>
        </w:rPr>
        <w:t>timing.</w:t>
      </w:r>
    </w:p>
    <w:p w:rsidRPr="00B55938" w:rsidR="51573FB4" w:rsidP="00B55938" w:rsidRDefault="00B55938" w14:paraId="4B68AAA3" w14:textId="2E6153EA">
      <w:pPr>
        <w:pStyle w:val="Standard"/>
        <w:rPr>
          <w:color w:val="000000" w:themeColor="text1"/>
        </w:rPr>
      </w:pPr>
      <w:r>
        <w:rPr>
          <w:color w:val="000000" w:themeColor="text1"/>
        </w:rPr>
        <w:t>This proceeding remains open</w:t>
      </w:r>
      <w:r w:rsidR="00121FE4">
        <w:rPr>
          <w:color w:val="000000" w:themeColor="text1"/>
        </w:rPr>
        <w:t xml:space="preserve"> to address Track 3 issues</w:t>
      </w:r>
      <w:r>
        <w:rPr>
          <w:color w:val="000000" w:themeColor="text1"/>
        </w:rPr>
        <w:t>.</w:t>
      </w:r>
    </w:p>
    <w:p w:rsidRPr="00B74257" w:rsidR="0050058B" w:rsidP="004D4D3C" w:rsidRDefault="002C7FE9" w14:paraId="2B2B3A3B" w14:textId="5A795CE5">
      <w:pPr>
        <w:pStyle w:val="Heading1"/>
      </w:pPr>
      <w:bookmarkStart w:name="_Toc8123715" w:id="5"/>
      <w:bookmarkStart w:name="_Toc91315054" w:id="6"/>
      <w:bookmarkStart w:name="_Toc243991429" w:id="7"/>
      <w:r w:rsidRPr="00121089">
        <w:t>Background</w:t>
      </w:r>
      <w:bookmarkEnd w:id="5"/>
      <w:bookmarkEnd w:id="6"/>
      <w:bookmarkEnd w:id="7"/>
    </w:p>
    <w:p w:rsidR="0063491C" w:rsidP="004D4D3C" w:rsidRDefault="0063491C" w14:paraId="1D860F32" w14:textId="77777777">
      <w:pPr>
        <w:pStyle w:val="Heading2"/>
      </w:pPr>
      <w:bookmarkStart w:name="_Toc8123716" w:id="8"/>
      <w:bookmarkStart w:name="_Toc950144116" w:id="9"/>
      <w:bookmarkStart w:name="_Toc243991430" w:id="10"/>
      <w:r>
        <w:t>Factual Background</w:t>
      </w:r>
      <w:bookmarkEnd w:id="8"/>
      <w:bookmarkEnd w:id="9"/>
      <w:bookmarkEnd w:id="10"/>
    </w:p>
    <w:p w:rsidRPr="00A22BFD" w:rsidR="00A22BFD" w:rsidP="004D4D3C" w:rsidRDefault="00A22BFD" w14:paraId="0805A14B" w14:textId="72B5CB96">
      <w:pPr>
        <w:pStyle w:val="Heading3"/>
      </w:pPr>
      <w:bookmarkStart w:name="_Toc1810355944" w:id="11"/>
      <w:bookmarkStart w:name="_Toc243991431" w:id="12"/>
      <w:r>
        <w:t>Track 2</w:t>
      </w:r>
      <w:bookmarkEnd w:id="11"/>
      <w:bookmarkEnd w:id="12"/>
    </w:p>
    <w:p w:rsidR="004331CE" w:rsidP="00955373" w:rsidRDefault="004C0337" w14:paraId="49126E09" w14:textId="42F4F381">
      <w:pPr>
        <w:pStyle w:val="Standard"/>
      </w:pPr>
      <w:r>
        <w:t>T</w:t>
      </w:r>
      <w:r w:rsidR="00CB54AC">
        <w:t>he use of</w:t>
      </w:r>
      <w:r w:rsidRPr="6AF926DE" w:rsidR="00982F99">
        <w:t xml:space="preserve"> </w:t>
      </w:r>
      <w:r w:rsidRPr="6AF926DE" w:rsidR="00C60F7C">
        <w:t>distributed energy resources (DERs)</w:t>
      </w:r>
      <w:r w:rsidRPr="6AF926DE" w:rsidR="00F86D3B">
        <w:rPr>
          <w:rStyle w:val="FootnoteReference"/>
        </w:rPr>
        <w:footnoteReference w:id="2"/>
      </w:r>
      <w:r w:rsidRPr="6AF926DE" w:rsidR="00C60F7C">
        <w:t xml:space="preserve"> </w:t>
      </w:r>
      <w:r w:rsidR="000023DB">
        <w:t>–</w:t>
      </w:r>
      <w:r w:rsidRPr="6AF926DE" w:rsidR="4D116E96">
        <w:t xml:space="preserve"> </w:t>
      </w:r>
      <w:r w:rsidRPr="6AF926DE" w:rsidR="00C60F7C">
        <w:t>including demand-side management, electric vehicle (EV) infrastructure</w:t>
      </w:r>
      <w:r w:rsidR="002E07A0">
        <w:t xml:space="preserve">, and </w:t>
      </w:r>
      <w:r w:rsidRPr="6AF926DE" w:rsidR="002E07A0">
        <w:t>battery storage</w:t>
      </w:r>
      <w:r w:rsidR="000023DB">
        <w:rPr>
          <w:szCs w:val="26"/>
        </w:rPr>
        <w:t>–</w:t>
      </w:r>
      <w:r w:rsidR="4956B808">
        <w:rPr>
          <w:szCs w:val="26"/>
        </w:rPr>
        <w:t xml:space="preserve"> </w:t>
      </w:r>
      <w:r w:rsidR="00CB54AC">
        <w:t>is</w:t>
      </w:r>
      <w:r w:rsidRPr="6AF926DE" w:rsidR="00AB5FB3">
        <w:t xml:space="preserve"> expected to </w:t>
      </w:r>
      <w:r w:rsidRPr="6AF926DE" w:rsidR="002025F8">
        <w:t xml:space="preserve">increase due to </w:t>
      </w:r>
      <w:r w:rsidRPr="6AF926DE" w:rsidR="00D60AD7">
        <w:t>California’s transportation electrification policies and</w:t>
      </w:r>
      <w:r w:rsidRPr="6AF926DE" w:rsidR="008022F8">
        <w:t xml:space="preserve"> climate </w:t>
      </w:r>
      <w:r w:rsidR="00360C15">
        <w:t>and reliability</w:t>
      </w:r>
      <w:r w:rsidRPr="6AF926DE" w:rsidR="008022F8">
        <w:t xml:space="preserve"> goals.</w:t>
      </w:r>
      <w:r w:rsidRPr="6AF926DE" w:rsidR="003514D6">
        <w:rPr>
          <w:rStyle w:val="FootnoteReference"/>
        </w:rPr>
        <w:footnoteReference w:id="3"/>
      </w:r>
      <w:r w:rsidR="0031330A">
        <w:rPr>
          <w:szCs w:val="26"/>
        </w:rPr>
        <w:t xml:space="preserve"> </w:t>
      </w:r>
      <w:r w:rsidRPr="6AF926DE" w:rsidR="0031330A">
        <w:t xml:space="preserve">In addition, </w:t>
      </w:r>
      <w:r w:rsidRPr="6AF926DE" w:rsidR="004331CE">
        <w:t xml:space="preserve">financial incentive programs for DER </w:t>
      </w:r>
      <w:r w:rsidRPr="6AF926DE" w:rsidR="004331CE">
        <w:lastRenderedPageBreak/>
        <w:t>investment</w:t>
      </w:r>
      <w:r w:rsidRPr="6AF926DE" w:rsidR="00596C00">
        <w:t xml:space="preserve">, legislation aimed at reducing </w:t>
      </w:r>
      <w:r w:rsidR="00492F9A">
        <w:t>greenhouse gas (</w:t>
      </w:r>
      <w:r w:rsidRPr="6AF926DE" w:rsidR="00596C00">
        <w:t>GHG</w:t>
      </w:r>
      <w:r w:rsidR="00492F9A">
        <w:t>)</w:t>
      </w:r>
      <w:r w:rsidRPr="6AF926DE" w:rsidR="00596C00">
        <w:t xml:space="preserve"> emissions</w:t>
      </w:r>
      <w:r w:rsidRPr="6AF926DE" w:rsidR="008C4589">
        <w:t xml:space="preserve"> from buildings</w:t>
      </w:r>
      <w:r w:rsidRPr="6AF926DE" w:rsidR="00596C00">
        <w:t xml:space="preserve">, Commission </w:t>
      </w:r>
      <w:r w:rsidRPr="6AF926DE" w:rsidR="00E57A66">
        <w:t>proceedings</w:t>
      </w:r>
      <w:r w:rsidR="00756BFB">
        <w:t>,</w:t>
      </w:r>
      <w:r w:rsidRPr="6AF926DE" w:rsidR="00E57A66">
        <w:rPr>
          <w:rStyle w:val="FootnoteReference"/>
        </w:rPr>
        <w:footnoteReference w:id="4"/>
      </w:r>
      <w:r w:rsidRPr="6AF926DE" w:rsidR="00596C00">
        <w:t xml:space="preserve"> and local reach </w:t>
      </w:r>
      <w:r w:rsidRPr="6AF926DE" w:rsidR="001534B1">
        <w:t>codes</w:t>
      </w:r>
      <w:r w:rsidRPr="6AF926DE" w:rsidR="001534B1">
        <w:rPr>
          <w:rStyle w:val="FootnoteReference"/>
        </w:rPr>
        <w:footnoteReference w:id="5"/>
      </w:r>
      <w:r w:rsidRPr="6AF926DE" w:rsidR="001534B1">
        <w:t xml:space="preserve"> are likely to further drive electrification.</w:t>
      </w:r>
      <w:r w:rsidR="008C4589">
        <w:rPr>
          <w:szCs w:val="26"/>
        </w:rPr>
        <w:t xml:space="preserve"> </w:t>
      </w:r>
    </w:p>
    <w:p w:rsidR="001D7D75" w:rsidP="00A34DB8" w:rsidRDefault="00F04C5D" w14:paraId="6434D568" w14:textId="2A7AB2AB">
      <w:pPr>
        <w:pStyle w:val="Standard"/>
        <w:rPr>
          <w:szCs w:val="26"/>
        </w:rPr>
      </w:pPr>
      <w:r>
        <w:rPr>
          <w:szCs w:val="26"/>
        </w:rPr>
        <w:t xml:space="preserve">The expected high penetration of DERs </w:t>
      </w:r>
      <w:r w:rsidR="001F2AAA">
        <w:rPr>
          <w:szCs w:val="26"/>
        </w:rPr>
        <w:t xml:space="preserve">in California’s electric system creates challenges and opportunities for distribution system operations </w:t>
      </w:r>
      <w:r w:rsidR="004C0337">
        <w:rPr>
          <w:szCs w:val="26"/>
        </w:rPr>
        <w:t xml:space="preserve">with the increase in </w:t>
      </w:r>
      <w:r w:rsidR="001F2AAA">
        <w:rPr>
          <w:szCs w:val="26"/>
        </w:rPr>
        <w:t>two-way power flows</w:t>
      </w:r>
      <w:r w:rsidR="00217299">
        <w:rPr>
          <w:szCs w:val="26"/>
        </w:rPr>
        <w:t xml:space="preserve"> and the expansion of </w:t>
      </w:r>
      <w:r w:rsidR="005725CD">
        <w:rPr>
          <w:szCs w:val="26"/>
        </w:rPr>
        <w:t>distributed generation and storage options</w:t>
      </w:r>
      <w:r w:rsidR="001F2AAA">
        <w:rPr>
          <w:szCs w:val="26"/>
        </w:rPr>
        <w:t xml:space="preserve">. </w:t>
      </w:r>
      <w:r w:rsidR="0015647C">
        <w:rPr>
          <w:szCs w:val="26"/>
        </w:rPr>
        <w:t>These developments</w:t>
      </w:r>
      <w:r w:rsidR="00523569">
        <w:rPr>
          <w:szCs w:val="26"/>
        </w:rPr>
        <w:t xml:space="preserve"> are likely to increase the potential for greater</w:t>
      </w:r>
      <w:r w:rsidR="00C239F8">
        <w:rPr>
          <w:szCs w:val="26"/>
        </w:rPr>
        <w:t xml:space="preserve"> flexibility and efficiency in operating the distribution system</w:t>
      </w:r>
      <w:r w:rsidR="001455EA">
        <w:rPr>
          <w:szCs w:val="26"/>
        </w:rPr>
        <w:t>,</w:t>
      </w:r>
      <w:r w:rsidR="008E1E4B">
        <w:rPr>
          <w:szCs w:val="26"/>
        </w:rPr>
        <w:t xml:space="preserve"> which may in turn </w:t>
      </w:r>
      <w:r w:rsidR="00C6533D">
        <w:rPr>
          <w:szCs w:val="26"/>
        </w:rPr>
        <w:t xml:space="preserve">improve </w:t>
      </w:r>
      <w:r w:rsidR="00764EE1">
        <w:rPr>
          <w:szCs w:val="26"/>
        </w:rPr>
        <w:t xml:space="preserve">day-to-day </w:t>
      </w:r>
      <w:r w:rsidR="00C6533D">
        <w:rPr>
          <w:szCs w:val="26"/>
        </w:rPr>
        <w:t xml:space="preserve">reliability </w:t>
      </w:r>
      <w:r w:rsidR="00123B28">
        <w:rPr>
          <w:szCs w:val="26"/>
        </w:rPr>
        <w:t>for customers</w:t>
      </w:r>
      <w:r w:rsidR="00301D08">
        <w:rPr>
          <w:szCs w:val="26"/>
        </w:rPr>
        <w:t>,</w:t>
      </w:r>
      <w:r w:rsidR="00E60D28">
        <w:rPr>
          <w:szCs w:val="26"/>
        </w:rPr>
        <w:t xml:space="preserve"> enable </w:t>
      </w:r>
      <w:r w:rsidR="00510DB8">
        <w:rPr>
          <w:szCs w:val="26"/>
        </w:rPr>
        <w:t>faster and deeper decarbonization</w:t>
      </w:r>
      <w:r w:rsidR="00D44870">
        <w:rPr>
          <w:szCs w:val="26"/>
        </w:rPr>
        <w:t xml:space="preserve"> </w:t>
      </w:r>
      <w:r w:rsidR="00894262">
        <w:rPr>
          <w:szCs w:val="26"/>
        </w:rPr>
        <w:t xml:space="preserve">by reducing </w:t>
      </w:r>
      <w:r w:rsidR="00F50E89">
        <w:rPr>
          <w:szCs w:val="26"/>
        </w:rPr>
        <w:t xml:space="preserve">distribution system </w:t>
      </w:r>
      <w:r w:rsidR="00894262">
        <w:rPr>
          <w:szCs w:val="26"/>
        </w:rPr>
        <w:t>reliance on</w:t>
      </w:r>
      <w:r w:rsidR="00F33895">
        <w:rPr>
          <w:szCs w:val="26"/>
        </w:rPr>
        <w:t xml:space="preserve"> fossil fuel generation to ensure reliability</w:t>
      </w:r>
      <w:r w:rsidR="0002676D">
        <w:rPr>
          <w:szCs w:val="26"/>
        </w:rPr>
        <w:t>,</w:t>
      </w:r>
      <w:r w:rsidR="00123B28">
        <w:rPr>
          <w:szCs w:val="26"/>
        </w:rPr>
        <w:t xml:space="preserve"> </w:t>
      </w:r>
      <w:r w:rsidR="00C6533D">
        <w:rPr>
          <w:szCs w:val="26"/>
        </w:rPr>
        <w:t>and mitigate</w:t>
      </w:r>
      <w:r w:rsidR="00EA5E55">
        <w:rPr>
          <w:szCs w:val="26"/>
        </w:rPr>
        <w:t xml:space="preserve"> costs </w:t>
      </w:r>
      <w:r w:rsidR="00301D08">
        <w:rPr>
          <w:szCs w:val="26"/>
        </w:rPr>
        <w:t xml:space="preserve">required </w:t>
      </w:r>
      <w:r w:rsidR="00123B28">
        <w:rPr>
          <w:szCs w:val="26"/>
        </w:rPr>
        <w:t xml:space="preserve">to ensure </w:t>
      </w:r>
      <w:r w:rsidR="00370A53">
        <w:rPr>
          <w:szCs w:val="26"/>
        </w:rPr>
        <w:t xml:space="preserve">distribution systems </w:t>
      </w:r>
      <w:r w:rsidR="0048339C">
        <w:rPr>
          <w:szCs w:val="26"/>
        </w:rPr>
        <w:t xml:space="preserve">are capable of </w:t>
      </w:r>
      <w:r w:rsidR="006E5031">
        <w:rPr>
          <w:szCs w:val="26"/>
        </w:rPr>
        <w:t xml:space="preserve">maintaining reliable electric service during </w:t>
      </w:r>
      <w:r w:rsidR="00301D08">
        <w:rPr>
          <w:szCs w:val="26"/>
        </w:rPr>
        <w:t xml:space="preserve">expected </w:t>
      </w:r>
      <w:r w:rsidR="006E5031">
        <w:rPr>
          <w:szCs w:val="26"/>
        </w:rPr>
        <w:t>local peak load conditions</w:t>
      </w:r>
      <w:r w:rsidR="00606E9E">
        <w:rPr>
          <w:szCs w:val="26"/>
        </w:rPr>
        <w:t>.</w:t>
      </w:r>
      <w:r w:rsidR="001F2AAA">
        <w:rPr>
          <w:szCs w:val="26"/>
        </w:rPr>
        <w:t xml:space="preserve"> </w:t>
      </w:r>
      <w:proofErr w:type="gramStart"/>
      <w:r w:rsidR="001F2AAA">
        <w:rPr>
          <w:szCs w:val="26"/>
        </w:rPr>
        <w:t>In order to</w:t>
      </w:r>
      <w:proofErr w:type="gramEnd"/>
      <w:r w:rsidR="001F2AAA">
        <w:rPr>
          <w:szCs w:val="26"/>
        </w:rPr>
        <w:t xml:space="preserve"> address gaps in the current distribution system and maximize ratepayer value, the Commission identified </w:t>
      </w:r>
      <w:r w:rsidR="0040266E">
        <w:rPr>
          <w:szCs w:val="26"/>
        </w:rPr>
        <w:t>the</w:t>
      </w:r>
      <w:r w:rsidR="001F2AAA">
        <w:rPr>
          <w:szCs w:val="26"/>
        </w:rPr>
        <w:t xml:space="preserve"> need for a DER orchestration framework</w:t>
      </w:r>
      <w:r w:rsidR="00CB54AC">
        <w:rPr>
          <w:szCs w:val="26"/>
        </w:rPr>
        <w:t xml:space="preserve"> in various proceedings, including</w:t>
      </w:r>
      <w:r w:rsidR="00DC0034">
        <w:rPr>
          <w:szCs w:val="26"/>
        </w:rPr>
        <w:t xml:space="preserve"> this</w:t>
      </w:r>
      <w:r w:rsidR="00CB54AC">
        <w:rPr>
          <w:szCs w:val="26"/>
        </w:rPr>
        <w:t xml:space="preserve"> Rulemaking</w:t>
      </w:r>
      <w:r w:rsidR="00923DDB">
        <w:rPr>
          <w:szCs w:val="26"/>
        </w:rPr>
        <w:t xml:space="preserve"> </w:t>
      </w:r>
      <w:r w:rsidR="00CB54AC">
        <w:rPr>
          <w:szCs w:val="26"/>
        </w:rPr>
        <w:t>(R.)</w:t>
      </w:r>
      <w:r w:rsidR="00923DDB">
        <w:rPr>
          <w:szCs w:val="26"/>
        </w:rPr>
        <w:t> </w:t>
      </w:r>
      <w:r w:rsidR="00CB54AC">
        <w:rPr>
          <w:szCs w:val="26"/>
        </w:rPr>
        <w:t>21-06-017</w:t>
      </w:r>
      <w:r w:rsidR="001F2AAA">
        <w:rPr>
          <w:szCs w:val="26"/>
        </w:rPr>
        <w:t>.</w:t>
      </w:r>
    </w:p>
    <w:p w:rsidR="00D616FB" w:rsidP="00A34DB8" w:rsidRDefault="00D616FB" w14:paraId="33E6196A" w14:textId="783B409C">
      <w:pPr>
        <w:pStyle w:val="Standard"/>
        <w:rPr>
          <w:szCs w:val="26"/>
        </w:rPr>
      </w:pPr>
      <w:r>
        <w:rPr>
          <w:szCs w:val="26"/>
        </w:rPr>
        <w:t>DER orchestration is the coordinated management of DERs by</w:t>
      </w:r>
      <w:r w:rsidR="00ED14FC">
        <w:rPr>
          <w:szCs w:val="26"/>
        </w:rPr>
        <w:t xml:space="preserve"> a</w:t>
      </w:r>
      <w:r>
        <w:rPr>
          <w:szCs w:val="26"/>
        </w:rPr>
        <w:t xml:space="preserve"> distribution system operator (DSO)</w:t>
      </w:r>
      <w:r w:rsidR="00C11708">
        <w:rPr>
          <w:szCs w:val="26"/>
        </w:rPr>
        <w:t>, in this case a utility acting as a DSO</w:t>
      </w:r>
      <w:r>
        <w:rPr>
          <w:szCs w:val="26"/>
        </w:rPr>
        <w:t>.</w:t>
      </w:r>
      <w:r w:rsidR="0010679F">
        <w:rPr>
          <w:rStyle w:val="FootnoteReference"/>
          <w:szCs w:val="26"/>
        </w:rPr>
        <w:footnoteReference w:id="6"/>
      </w:r>
      <w:r>
        <w:rPr>
          <w:szCs w:val="26"/>
        </w:rPr>
        <w:t xml:space="preserve"> </w:t>
      </w:r>
      <w:r w:rsidRPr="00573F8D" w:rsidR="00573F8D">
        <w:rPr>
          <w:szCs w:val="26"/>
        </w:rPr>
        <w:t xml:space="preserve">Using </w:t>
      </w:r>
      <w:r w:rsidRPr="00573F8D" w:rsidR="00573F8D">
        <w:rPr>
          <w:szCs w:val="26"/>
        </w:rPr>
        <w:lastRenderedPageBreak/>
        <w:t>visibility, forecasting, and control</w:t>
      </w:r>
      <w:r w:rsidR="00903CDC">
        <w:rPr>
          <w:szCs w:val="26"/>
        </w:rPr>
        <w:t>/</w:t>
      </w:r>
      <w:r w:rsidRPr="00573F8D" w:rsidR="00573F8D">
        <w:rPr>
          <w:szCs w:val="26"/>
        </w:rPr>
        <w:t>scheduling tools, DSOs identify location- and time-specific distribution needs and signal eligible DERs (directly or via aggregators) to deliver verifiable services that align with those needs.</w:t>
      </w:r>
      <w:r w:rsidR="00492F9A">
        <w:rPr>
          <w:szCs w:val="26"/>
        </w:rPr>
        <w:t xml:space="preserve"> </w:t>
      </w:r>
      <w:r w:rsidRPr="00573F8D" w:rsidR="00573F8D">
        <w:rPr>
          <w:szCs w:val="26"/>
        </w:rPr>
        <w:t xml:space="preserve">This approach could support operational reliability and </w:t>
      </w:r>
      <w:r w:rsidR="006609B9">
        <w:rPr>
          <w:szCs w:val="26"/>
        </w:rPr>
        <w:t xml:space="preserve">advance </w:t>
      </w:r>
      <w:r w:rsidRPr="00573F8D" w:rsidR="00573F8D">
        <w:rPr>
          <w:szCs w:val="26"/>
        </w:rPr>
        <w:t>long-term decarbonization goals</w:t>
      </w:r>
      <w:r w:rsidR="006609B9">
        <w:rPr>
          <w:szCs w:val="26"/>
        </w:rPr>
        <w:t xml:space="preserve"> by </w:t>
      </w:r>
      <w:r w:rsidR="00B20976">
        <w:rPr>
          <w:szCs w:val="26"/>
        </w:rPr>
        <w:t xml:space="preserve">integrating </w:t>
      </w:r>
      <w:r w:rsidR="00B41BF1">
        <w:rPr>
          <w:szCs w:val="26"/>
        </w:rPr>
        <w:t xml:space="preserve">renewable </w:t>
      </w:r>
      <w:r w:rsidR="00903E94">
        <w:rPr>
          <w:szCs w:val="26"/>
        </w:rPr>
        <w:t>energy sources and reducing fossil fuel reliance.</w:t>
      </w:r>
    </w:p>
    <w:p w:rsidR="00E22F6A" w:rsidP="51573FB4" w:rsidRDefault="00A2093D" w14:paraId="6D94DC11" w14:textId="075B113D">
      <w:pPr>
        <w:pStyle w:val="Standard"/>
        <w:rPr>
          <w:rFonts w:eastAsia="Book Antiqua" w:cs="Book Antiqua"/>
          <w:color w:val="000000" w:themeColor="text1"/>
          <w:szCs w:val="26"/>
        </w:rPr>
      </w:pPr>
      <w:r>
        <w:rPr>
          <w:rFonts w:eastAsia="Book Antiqua" w:cs="Book Antiqua"/>
          <w:color w:val="000000" w:themeColor="text1"/>
          <w:szCs w:val="26"/>
        </w:rPr>
        <w:t xml:space="preserve">DER orchestration aims to create efficiency by increasing capacity utilization, avoiding capacity upgrades, and unlocking operational efficiencies. If successful, DER orchestration could contribute to ratepayer </w:t>
      </w:r>
      <w:r w:rsidR="00C65977">
        <w:rPr>
          <w:rFonts w:eastAsia="Book Antiqua" w:cs="Book Antiqua"/>
          <w:color w:val="000000" w:themeColor="text1"/>
          <w:szCs w:val="26"/>
        </w:rPr>
        <w:t>cost reductions</w:t>
      </w:r>
      <w:r w:rsidR="00BE726B">
        <w:rPr>
          <w:rFonts w:eastAsia="Book Antiqua" w:cs="Book Antiqua"/>
          <w:color w:val="000000" w:themeColor="text1"/>
          <w:szCs w:val="26"/>
        </w:rPr>
        <w:t xml:space="preserve">, </w:t>
      </w:r>
      <w:r w:rsidR="00C65977">
        <w:rPr>
          <w:rFonts w:eastAsia="Book Antiqua" w:cs="Book Antiqua"/>
          <w:color w:val="000000" w:themeColor="text1"/>
          <w:szCs w:val="26"/>
        </w:rPr>
        <w:t>maintain system safety and reliability</w:t>
      </w:r>
      <w:r w:rsidR="00BE726B">
        <w:rPr>
          <w:rFonts w:eastAsia="Book Antiqua" w:cs="Book Antiqua"/>
          <w:color w:val="000000" w:themeColor="text1"/>
          <w:szCs w:val="26"/>
        </w:rPr>
        <w:t>, and support long-term decarbonization goals.</w:t>
      </w:r>
    </w:p>
    <w:p w:rsidR="00E746F6" w:rsidP="00E746F6" w:rsidRDefault="00E746F6" w14:paraId="1B0F585D" w14:textId="76D9FC4E">
      <w:pPr>
        <w:pStyle w:val="Heading2"/>
      </w:pPr>
      <w:bookmarkStart w:name="_Toc1934438736" w:id="13"/>
      <w:bookmarkStart w:name="_Toc243991432" w:id="14"/>
      <w:r>
        <w:t>Legislative Background</w:t>
      </w:r>
      <w:bookmarkEnd w:id="13"/>
      <w:bookmarkEnd w:id="14"/>
    </w:p>
    <w:p w:rsidR="00DE35E7" w:rsidP="00826A8C" w:rsidRDefault="00B378AA" w14:paraId="5ACA3C3C" w14:textId="351B8E9F">
      <w:pPr>
        <w:pStyle w:val="Standard"/>
      </w:pPr>
      <w:r w:rsidRPr="421176EC">
        <w:rPr>
          <w:rFonts w:eastAsia="Book Antiqua" w:cs="Book Antiqua"/>
          <w:color w:val="000000" w:themeColor="text1"/>
        </w:rPr>
        <w:t>Assembly Bill (</w:t>
      </w:r>
      <w:r w:rsidRPr="421176EC" w:rsidR="00513DC7">
        <w:rPr>
          <w:rFonts w:eastAsia="Book Antiqua" w:cs="Book Antiqua"/>
          <w:color w:val="000000" w:themeColor="text1"/>
        </w:rPr>
        <w:t>AB</w:t>
      </w:r>
      <w:r w:rsidRPr="421176EC">
        <w:rPr>
          <w:rFonts w:eastAsia="Book Antiqua" w:cs="Book Antiqua"/>
          <w:color w:val="000000" w:themeColor="text1"/>
        </w:rPr>
        <w:t>)</w:t>
      </w:r>
      <w:r w:rsidRPr="421176EC" w:rsidR="00513DC7">
        <w:rPr>
          <w:rFonts w:eastAsia="Book Antiqua" w:cs="Book Antiqua"/>
          <w:color w:val="000000" w:themeColor="text1"/>
        </w:rPr>
        <w:t xml:space="preserve"> 327 (Perea</w:t>
      </w:r>
      <w:r w:rsidRPr="421176EC" w:rsidR="00085ED9">
        <w:rPr>
          <w:rFonts w:eastAsia="Book Antiqua" w:cs="Book Antiqua"/>
          <w:color w:val="000000" w:themeColor="text1"/>
        </w:rPr>
        <w:t>)</w:t>
      </w:r>
      <w:r w:rsidRPr="421176EC" w:rsidR="00513DC7">
        <w:rPr>
          <w:rFonts w:eastAsia="Book Antiqua" w:cs="Book Antiqua"/>
          <w:color w:val="000000" w:themeColor="text1"/>
        </w:rPr>
        <w:t xml:space="preserve">, </w:t>
      </w:r>
      <w:r w:rsidRPr="421176EC" w:rsidR="00085ED9">
        <w:rPr>
          <w:rFonts w:eastAsia="Book Antiqua" w:cs="Book Antiqua"/>
          <w:color w:val="000000" w:themeColor="text1"/>
        </w:rPr>
        <w:t>Stats. 2013</w:t>
      </w:r>
      <w:r w:rsidRPr="421176EC" w:rsidR="00C53678">
        <w:rPr>
          <w:rFonts w:eastAsia="Book Antiqua" w:cs="Book Antiqua"/>
          <w:color w:val="000000" w:themeColor="text1"/>
        </w:rPr>
        <w:t xml:space="preserve">, ch. </w:t>
      </w:r>
      <w:r w:rsidRPr="421176EC" w:rsidR="008A1B37">
        <w:rPr>
          <w:rFonts w:eastAsia="Book Antiqua" w:cs="Book Antiqua"/>
          <w:color w:val="000000" w:themeColor="text1"/>
        </w:rPr>
        <w:t>611</w:t>
      </w:r>
      <w:r w:rsidRPr="421176EC" w:rsidR="00513DC7">
        <w:rPr>
          <w:rFonts w:eastAsia="Book Antiqua" w:cs="Book Antiqua"/>
          <w:color w:val="000000" w:themeColor="text1"/>
        </w:rPr>
        <w:t xml:space="preserve"> </w:t>
      </w:r>
      <w:r w:rsidR="006A4390">
        <w:t>instituted</w:t>
      </w:r>
      <w:r w:rsidR="00E0788E">
        <w:t xml:space="preserve"> </w:t>
      </w:r>
      <w:proofErr w:type="gramStart"/>
      <w:r w:rsidR="00E0788E">
        <w:t>a number of</w:t>
      </w:r>
      <w:proofErr w:type="gramEnd"/>
      <w:r w:rsidR="00E0788E">
        <w:t xml:space="preserve"> </w:t>
      </w:r>
      <w:r w:rsidR="00791C7D">
        <w:t>changes</w:t>
      </w:r>
      <w:r w:rsidR="00E0788E">
        <w:t xml:space="preserve"> impacting regulated utility service and the energy market, including </w:t>
      </w:r>
      <w:r w:rsidR="006D5C03">
        <w:t>those impacting n</w:t>
      </w:r>
      <w:r w:rsidR="00E0788E">
        <w:t xml:space="preserve">et </w:t>
      </w:r>
      <w:r w:rsidR="006D5C03">
        <w:t>e</w:t>
      </w:r>
      <w:r w:rsidR="00E0788E">
        <w:t xml:space="preserve">nergy </w:t>
      </w:r>
      <w:r w:rsidR="006D5C03">
        <w:t>m</w:t>
      </w:r>
      <w:r w:rsidR="00E0788E">
        <w:t>etering</w:t>
      </w:r>
      <w:r w:rsidR="006A4C8A">
        <w:t>,</w:t>
      </w:r>
      <w:r w:rsidR="006D5C03">
        <w:t xml:space="preserve"> </w:t>
      </w:r>
      <w:r w:rsidR="00E0788E">
        <w:t>natural gas and electricity rates, and</w:t>
      </w:r>
      <w:r w:rsidR="006D5C03">
        <w:t xml:space="preserve"> DERs</w:t>
      </w:r>
      <w:r w:rsidR="00E0788E">
        <w:t xml:space="preserve">. AB 327 </w:t>
      </w:r>
      <w:r w:rsidR="00A7666C">
        <w:t xml:space="preserve">created </w:t>
      </w:r>
      <w:r w:rsidR="00572851">
        <w:t xml:space="preserve">Section </w:t>
      </w:r>
      <w:r w:rsidR="00E0788E">
        <w:t>769</w:t>
      </w:r>
      <w:r w:rsidR="00E34563">
        <w:t xml:space="preserve"> </w:t>
      </w:r>
      <w:r w:rsidR="00A7666C">
        <w:t>of</w:t>
      </w:r>
      <w:r w:rsidR="007D760C">
        <w:t xml:space="preserve"> the Public Utilities Code</w:t>
      </w:r>
      <w:r w:rsidR="002825D1">
        <w:t xml:space="preserve"> (Pub. Util. Code)</w:t>
      </w:r>
      <w:r w:rsidR="007D760C">
        <w:t>,</w:t>
      </w:r>
      <w:r w:rsidRPr="421176EC" w:rsidR="00757C0E">
        <w:rPr>
          <w:rStyle w:val="FootnoteReference"/>
        </w:rPr>
        <w:footnoteReference w:id="7"/>
      </w:r>
      <w:r w:rsidR="007D760C">
        <w:t xml:space="preserve"> </w:t>
      </w:r>
      <w:r w:rsidR="00201E5C">
        <w:t xml:space="preserve">which requires </w:t>
      </w:r>
      <w:r w:rsidR="00967645">
        <w:t>the</w:t>
      </w:r>
      <w:r w:rsidR="00E0788E">
        <w:t xml:space="preserve"> Commission to review, modify, and approve IOU</w:t>
      </w:r>
      <w:r w:rsidR="008E5009">
        <w:t xml:space="preserve"> distribut</w:t>
      </w:r>
      <w:r w:rsidR="00172375">
        <w:t>ion</w:t>
      </w:r>
      <w:r w:rsidR="008E5009">
        <w:t xml:space="preserve"> resources plan</w:t>
      </w:r>
      <w:r w:rsidR="00CF4075">
        <w:t xml:space="preserve"> (DRP)</w:t>
      </w:r>
      <w:r w:rsidR="008E5009">
        <w:t xml:space="preserve"> proposals</w:t>
      </w:r>
      <w:r w:rsidR="00CB22DC">
        <w:t xml:space="preserve">. </w:t>
      </w:r>
      <w:r w:rsidR="0015186B">
        <w:t xml:space="preserve">DRPs assess the locational value and costs of distributed resources, </w:t>
      </w:r>
      <w:r w:rsidR="006D5744">
        <w:t xml:space="preserve">propose mechanisms for deploying cost-effective solutions, outline ways </w:t>
      </w:r>
      <w:r w:rsidR="00BE2E28">
        <w:t>to coor</w:t>
      </w:r>
      <w:r w:rsidR="006119F4">
        <w:t>dinate existing programs</w:t>
      </w:r>
      <w:r w:rsidR="00363B03">
        <w:t xml:space="preserve">, </w:t>
      </w:r>
      <w:r w:rsidR="00CB22DC">
        <w:t>identif</w:t>
      </w:r>
      <w:r w:rsidR="006D5C03">
        <w:t>y</w:t>
      </w:r>
      <w:r w:rsidR="00CB22DC">
        <w:t xml:space="preserve"> utility spending needed for </w:t>
      </w:r>
      <w:r w:rsidR="49FD0A0A">
        <w:t xml:space="preserve">DER </w:t>
      </w:r>
      <w:r w:rsidR="00CB22DC">
        <w:t xml:space="preserve">integration, and address barriers to </w:t>
      </w:r>
      <w:r w:rsidR="0F18E2D2">
        <w:t xml:space="preserve">DER </w:t>
      </w:r>
      <w:r w:rsidR="00CB22DC">
        <w:t xml:space="preserve">deployment. </w:t>
      </w:r>
      <w:r w:rsidR="000602F9">
        <w:t>IOUs were required to submit DRPs no later than July 1, 2015</w:t>
      </w:r>
      <w:r w:rsidR="00503A55">
        <w:t>.</w:t>
      </w:r>
      <w:r w:rsidRPr="421176EC" w:rsidR="00503A55">
        <w:rPr>
          <w:rStyle w:val="FootnoteReference"/>
        </w:rPr>
        <w:footnoteReference w:id="8"/>
      </w:r>
      <w:r w:rsidR="00EF662D">
        <w:t xml:space="preserve"> </w:t>
      </w:r>
    </w:p>
    <w:p w:rsidR="000438D5" w:rsidP="000438D5" w:rsidRDefault="000438D5" w14:paraId="21C4E178" w14:textId="77777777">
      <w:pPr>
        <w:pStyle w:val="Heading2"/>
      </w:pPr>
      <w:bookmarkStart w:name="_Toc831817721" w:id="15"/>
      <w:bookmarkStart w:name="_Toc243991433" w:id="16"/>
      <w:r>
        <w:lastRenderedPageBreak/>
        <w:t>Procedural Background</w:t>
      </w:r>
      <w:bookmarkEnd w:id="15"/>
      <w:bookmarkEnd w:id="16"/>
    </w:p>
    <w:p w:rsidR="00094280" w:rsidP="00AB1F15" w:rsidRDefault="00613235" w14:paraId="2816EB00" w14:textId="69F803CF">
      <w:pPr>
        <w:pStyle w:val="Standard"/>
        <w:rPr>
          <w:szCs w:val="26"/>
        </w:rPr>
      </w:pPr>
      <w:r>
        <w:rPr>
          <w:szCs w:val="26"/>
        </w:rPr>
        <w:t>The Commission opened two proceedings in 2014</w:t>
      </w:r>
      <w:r w:rsidR="009A19A7">
        <w:rPr>
          <w:szCs w:val="26"/>
        </w:rPr>
        <w:t xml:space="preserve">, </w:t>
      </w:r>
      <w:r w:rsidRPr="003C19F8" w:rsidR="001B7BF9">
        <w:t>R.14-08-013</w:t>
      </w:r>
      <w:r w:rsidR="003C19F8">
        <w:rPr>
          <w:rStyle w:val="FootnoteReference"/>
          <w:szCs w:val="26"/>
        </w:rPr>
        <w:footnoteReference w:id="9"/>
      </w:r>
      <w:r w:rsidR="009A19A7">
        <w:rPr>
          <w:szCs w:val="26"/>
        </w:rPr>
        <w:t xml:space="preserve"> and </w:t>
      </w:r>
      <w:r w:rsidRPr="00387DB6" w:rsidR="001B7BF9">
        <w:t>R.14-10-003</w:t>
      </w:r>
      <w:r w:rsidR="004E76BD">
        <w:rPr>
          <w:szCs w:val="26"/>
        </w:rPr>
        <w:t>,</w:t>
      </w:r>
      <w:r w:rsidR="00387DB6">
        <w:rPr>
          <w:rStyle w:val="FootnoteReference"/>
          <w:szCs w:val="26"/>
        </w:rPr>
        <w:footnoteReference w:id="10"/>
      </w:r>
      <w:r w:rsidR="009A19A7">
        <w:rPr>
          <w:szCs w:val="26"/>
        </w:rPr>
        <w:t xml:space="preserve"> to </w:t>
      </w:r>
      <w:r w:rsidRPr="00826A8C" w:rsidR="009A19A7">
        <w:rPr>
          <w:szCs w:val="26"/>
        </w:rPr>
        <w:t>fulfill the requirements of Sections 454.5(b)(9)(c), 701.1(a), 769,</w:t>
      </w:r>
      <w:r w:rsidR="009A19A7">
        <w:rPr>
          <w:szCs w:val="26"/>
        </w:rPr>
        <w:t xml:space="preserve"> </w:t>
      </w:r>
      <w:r w:rsidRPr="00826A8C" w:rsidR="009A19A7">
        <w:rPr>
          <w:szCs w:val="26"/>
        </w:rPr>
        <w:t>and 8360(c-</w:t>
      </w:r>
      <w:proofErr w:type="spellStart"/>
      <w:r w:rsidRPr="00826A8C" w:rsidR="009A19A7">
        <w:rPr>
          <w:szCs w:val="26"/>
        </w:rPr>
        <w:t>i</w:t>
      </w:r>
      <w:proofErr w:type="spellEnd"/>
      <w:r w:rsidRPr="00826A8C" w:rsidR="009A19A7">
        <w:rPr>
          <w:szCs w:val="26"/>
        </w:rPr>
        <w:t>)</w:t>
      </w:r>
      <w:r w:rsidR="009A19A7">
        <w:rPr>
          <w:szCs w:val="26"/>
        </w:rPr>
        <w:t xml:space="preserve">. </w:t>
      </w:r>
      <w:r w:rsidR="00094280">
        <w:rPr>
          <w:szCs w:val="26"/>
        </w:rPr>
        <w:t xml:space="preserve">Both proceedings </w:t>
      </w:r>
      <w:r w:rsidR="00FA132A">
        <w:rPr>
          <w:szCs w:val="26"/>
        </w:rPr>
        <w:t xml:space="preserve">were </w:t>
      </w:r>
      <w:r w:rsidR="00094280">
        <w:rPr>
          <w:szCs w:val="26"/>
        </w:rPr>
        <w:t>closed as of 2022.</w:t>
      </w:r>
      <w:r w:rsidR="00094280">
        <w:rPr>
          <w:rStyle w:val="FootnoteReference"/>
          <w:szCs w:val="26"/>
        </w:rPr>
        <w:footnoteReference w:id="11"/>
      </w:r>
    </w:p>
    <w:p w:rsidR="0028123D" w:rsidP="5E0692D5" w:rsidRDefault="00881836" w14:paraId="70C3162E" w14:textId="1B401DEF">
      <w:pPr>
        <w:pStyle w:val="Standard"/>
      </w:pPr>
      <w:r w:rsidRPr="003C19F8">
        <w:t>R.14-08-013</w:t>
      </w:r>
      <w:r w:rsidRPr="5E0692D5" w:rsidR="00AB1F15">
        <w:t xml:space="preserve"> focused on distribution planning and </w:t>
      </w:r>
      <w:r w:rsidRPr="5E0692D5" w:rsidR="00315816">
        <w:t>developing</w:t>
      </w:r>
      <w:r w:rsidRPr="5E0692D5" w:rsidR="00AB1F15">
        <w:t xml:space="preserve"> tools to </w:t>
      </w:r>
      <w:r w:rsidR="00AB1F15">
        <w:t>facilitate DER integration</w:t>
      </w:r>
      <w:r w:rsidR="00315816">
        <w:rPr>
          <w:szCs w:val="26"/>
        </w:rPr>
        <w:t xml:space="preserve">. </w:t>
      </w:r>
      <w:r w:rsidRPr="00387DB6" w:rsidR="00916947">
        <w:t>R.14-10-003</w:t>
      </w:r>
      <w:r w:rsidRPr="5E0692D5" w:rsidR="00AB1F15">
        <w:t xml:space="preserve"> focused on DER sourcing </w:t>
      </w:r>
      <w:r w:rsidR="00AB1F15">
        <w:t>mechanisms.</w:t>
      </w:r>
      <w:r w:rsidRPr="5E0692D5" w:rsidR="00AB1F15">
        <w:rPr>
          <w:rStyle w:val="FootnoteReference"/>
        </w:rPr>
        <w:footnoteReference w:id="12"/>
      </w:r>
      <w:r w:rsidR="00AB1F15">
        <w:rPr>
          <w:szCs w:val="26"/>
        </w:rPr>
        <w:t xml:space="preserve"> </w:t>
      </w:r>
      <w:r w:rsidR="00E23DA5">
        <w:t xml:space="preserve"> Since 2014, </w:t>
      </w:r>
      <w:r w:rsidRPr="003C19F8" w:rsidR="00EE0A8D">
        <w:t>R.14-08-013</w:t>
      </w:r>
      <w:r w:rsidR="00EE0A8D">
        <w:t xml:space="preserve"> and </w:t>
      </w:r>
      <w:r w:rsidRPr="00387DB6" w:rsidR="00EE0A8D">
        <w:t>R.14-10-003</w:t>
      </w:r>
      <w:r w:rsidR="0028123D">
        <w:t xml:space="preserve"> </w:t>
      </w:r>
      <w:r w:rsidR="008B06A7">
        <w:t xml:space="preserve">have </w:t>
      </w:r>
      <w:r w:rsidR="0028123D">
        <w:t>accomplished the following</w:t>
      </w:r>
      <w:r w:rsidR="17606202">
        <w:t xml:space="preserve"> items relevant here</w:t>
      </w:r>
      <w:r w:rsidR="0028123D">
        <w:t>:</w:t>
      </w:r>
    </w:p>
    <w:p w:rsidR="00C87859" w:rsidP="00923DDB" w:rsidRDefault="00C71919" w14:paraId="6667B7D6" w14:textId="6AB71BBA">
      <w:pPr>
        <w:pStyle w:val="Standard"/>
        <w:numPr>
          <w:ilvl w:val="0"/>
          <w:numId w:val="40"/>
        </w:numPr>
        <w:spacing w:after="120" w:line="240" w:lineRule="auto"/>
        <w:ind w:left="1080" w:right="1440"/>
        <w:rPr>
          <w:szCs w:val="26"/>
        </w:rPr>
      </w:pPr>
      <w:r>
        <w:t>Implemented a Request for Offers solicitation process to procure DERs that can defer grid investments</w:t>
      </w:r>
      <w:r w:rsidR="009861FF">
        <w:t>.</w:t>
      </w:r>
      <w:r w:rsidR="00AB2128">
        <w:rPr>
          <w:rStyle w:val="FootnoteReference"/>
          <w:szCs w:val="26"/>
        </w:rPr>
        <w:footnoteReference w:id="13"/>
      </w:r>
    </w:p>
    <w:p w:rsidR="00445BFF" w:rsidP="00923DDB" w:rsidRDefault="00C71919" w14:paraId="4EF12527" w14:textId="4DC32D47">
      <w:pPr>
        <w:pStyle w:val="Standard"/>
        <w:numPr>
          <w:ilvl w:val="0"/>
          <w:numId w:val="40"/>
        </w:numPr>
        <w:spacing w:after="120" w:line="240" w:lineRule="auto"/>
        <w:ind w:left="1080" w:right="1440"/>
      </w:pPr>
      <w:r>
        <w:t>Made significant progress on an alternate DER procurement process using tariffs</w:t>
      </w:r>
      <w:r w:rsidR="00AC039E">
        <w:t>.</w:t>
      </w:r>
      <w:r w:rsidR="0066146F">
        <w:rPr>
          <w:rStyle w:val="FootnoteReference"/>
          <w:szCs w:val="26"/>
        </w:rPr>
        <w:footnoteReference w:id="14"/>
      </w:r>
    </w:p>
    <w:p w:rsidRPr="00445BFF" w:rsidR="00C87859" w:rsidP="00923DDB" w:rsidRDefault="00C71919" w14:paraId="3883F1F2" w14:textId="29650E82">
      <w:pPr>
        <w:pStyle w:val="Standard"/>
        <w:numPr>
          <w:ilvl w:val="0"/>
          <w:numId w:val="40"/>
        </w:numPr>
        <w:spacing w:after="120" w:line="240" w:lineRule="auto"/>
        <w:ind w:left="1080" w:right="1440"/>
      </w:pPr>
      <w:r>
        <w:t>Developed I</w:t>
      </w:r>
      <w:r w:rsidR="008B06A7">
        <w:t xml:space="preserve">ntegrated </w:t>
      </w:r>
      <w:r>
        <w:t>C</w:t>
      </w:r>
      <w:r w:rsidR="008B06A7">
        <w:t xml:space="preserve">apacity </w:t>
      </w:r>
      <w:r>
        <w:t>A</w:t>
      </w:r>
      <w:r w:rsidR="008B06A7">
        <w:t>nalysis (ICA)</w:t>
      </w:r>
      <w:r>
        <w:t xml:space="preserve"> and </w:t>
      </w:r>
      <w:r w:rsidR="006A4390">
        <w:t>L</w:t>
      </w:r>
      <w:r>
        <w:t xml:space="preserve">ocational </w:t>
      </w:r>
      <w:r w:rsidR="006A4390">
        <w:t>N</w:t>
      </w:r>
      <w:r>
        <w:t>et-</w:t>
      </w:r>
      <w:r w:rsidR="006A4390">
        <w:t>B</w:t>
      </w:r>
      <w:r>
        <w:t xml:space="preserve">enefit </w:t>
      </w:r>
      <w:r w:rsidR="006A4390">
        <w:t>A</w:t>
      </w:r>
      <w:r>
        <w:t xml:space="preserve">nalysis (LNBA) tools with </w:t>
      </w:r>
      <w:r>
        <w:lastRenderedPageBreak/>
        <w:t>sufficient data provided on the DRP Data Portals</w:t>
      </w:r>
      <w:r w:rsidR="00C8274D">
        <w:rPr>
          <w:rStyle w:val="FootnoteReference"/>
          <w:szCs w:val="26"/>
        </w:rPr>
        <w:footnoteReference w:id="15"/>
      </w:r>
      <w:r>
        <w:t xml:space="preserve"> to facilitate third</w:t>
      </w:r>
      <w:r w:rsidR="00445BFF">
        <w:t xml:space="preserve"> </w:t>
      </w:r>
      <w:r>
        <w:t>party DER siting and planning</w:t>
      </w:r>
      <w:r w:rsidR="00AC039E">
        <w:t>.</w:t>
      </w:r>
      <w:r w:rsidR="00BA3094">
        <w:rPr>
          <w:rStyle w:val="FootnoteReference"/>
          <w:szCs w:val="26"/>
        </w:rPr>
        <w:footnoteReference w:id="16"/>
      </w:r>
    </w:p>
    <w:p w:rsidR="00C87859" w:rsidP="00923DDB" w:rsidRDefault="00C71919" w14:paraId="4F19F80E" w14:textId="4C3D6956">
      <w:pPr>
        <w:pStyle w:val="Standard"/>
        <w:numPr>
          <w:ilvl w:val="0"/>
          <w:numId w:val="40"/>
        </w:numPr>
        <w:spacing w:after="120" w:line="240" w:lineRule="auto"/>
        <w:ind w:left="1080" w:right="1440"/>
        <w:rPr>
          <w:szCs w:val="26"/>
        </w:rPr>
      </w:pPr>
      <w:r w:rsidRPr="00C71919">
        <w:rPr>
          <w:szCs w:val="26"/>
        </w:rPr>
        <w:t>Addressed confidentiality concerns such that the IOU distribution planning filings could be made public with minimal exceptions and DER siting tools could be hosted on public DRP Data Portals</w:t>
      </w:r>
      <w:r w:rsidR="00AC039E">
        <w:rPr>
          <w:szCs w:val="26"/>
        </w:rPr>
        <w:t>.</w:t>
      </w:r>
    </w:p>
    <w:p w:rsidR="00C71919" w:rsidP="00923DDB" w:rsidRDefault="00C71919" w14:paraId="3A2EE22E" w14:textId="0DAF8E42">
      <w:pPr>
        <w:pStyle w:val="Standard"/>
        <w:numPr>
          <w:ilvl w:val="0"/>
          <w:numId w:val="40"/>
        </w:numPr>
        <w:spacing w:after="120" w:line="240" w:lineRule="auto"/>
        <w:ind w:left="1080" w:right="1440"/>
      </w:pPr>
      <w:r>
        <w:t>Ensured IOU General Rate Case (GRC) filings address the technolog</w:t>
      </w:r>
      <w:r w:rsidR="00682C15">
        <w:t>y</w:t>
      </w:r>
      <w:r>
        <w:t xml:space="preserve"> and grid upgrades necessary to integrate DERs in accordance with a Grid Modernization Framework.</w:t>
      </w:r>
      <w:r w:rsidRPr="5E0692D5" w:rsidR="00190BDE">
        <w:rPr>
          <w:rStyle w:val="FootnoteReference"/>
        </w:rPr>
        <w:footnoteReference w:id="17"/>
      </w:r>
      <w:r>
        <w:t xml:space="preserve"> </w:t>
      </w:r>
    </w:p>
    <w:p w:rsidR="000438D5" w:rsidP="00351314" w:rsidRDefault="00027803" w14:paraId="68563B6F" w14:textId="39C34347">
      <w:pPr>
        <w:pStyle w:val="Standard"/>
        <w:rPr>
          <w:szCs w:val="26"/>
        </w:rPr>
      </w:pPr>
      <w:r w:rsidRPr="5E0692D5">
        <w:t>The Commission opened</w:t>
      </w:r>
      <w:r w:rsidR="006A4390">
        <w:t xml:space="preserve"> R.</w:t>
      </w:r>
      <w:r w:rsidRPr="5E0692D5">
        <w:t>21-06-017 on June 24, </w:t>
      </w:r>
      <w:proofErr w:type="gramStart"/>
      <w:r w:rsidRPr="5E0692D5">
        <w:t>2021</w:t>
      </w:r>
      <w:proofErr w:type="gramEnd"/>
      <w:r w:rsidRPr="5E0692D5">
        <w:t xml:space="preserve"> to study the impacts of high penetrations of DERs on the grid, identify better forecasting strategies, and plan and operate a distribution system that can support </w:t>
      </w:r>
      <w:proofErr w:type="gramStart"/>
      <w:r w:rsidRPr="5E0692D5">
        <w:t>a large number of</w:t>
      </w:r>
      <w:proofErr w:type="gramEnd"/>
      <w:r w:rsidRPr="5E0692D5">
        <w:t xml:space="preserve"> DERs on the grid</w:t>
      </w:r>
      <w:r w:rsidRPr="00031227" w:rsidR="00F9677D">
        <w:rPr>
          <w:szCs w:val="26"/>
        </w:rPr>
        <w:t>.</w:t>
      </w:r>
      <w:r w:rsidRPr="5E0692D5">
        <w:t xml:space="preserve"> T</w:t>
      </w:r>
      <w:r w:rsidR="00F429A1">
        <w:t>his rulemaking</w:t>
      </w:r>
      <w:r w:rsidRPr="5E0692D5">
        <w:t xml:space="preserve"> also addresse</w:t>
      </w:r>
      <w:r w:rsidRPr="5E0692D5" w:rsidR="00D072DF">
        <w:t>s</w:t>
      </w:r>
      <w:r w:rsidRPr="5E0692D5">
        <w:t xml:space="preserve"> unresolved and ongoing issues from the predecessor proceedings</w:t>
      </w:r>
      <w:r w:rsidR="00152C7F">
        <w:t xml:space="preserve"> including </w:t>
      </w:r>
      <w:r w:rsidR="002E4185">
        <w:t>grid volatility from unstructured DER growth</w:t>
      </w:r>
      <w:r w:rsidR="00C13FD9">
        <w:t xml:space="preserve"> and </w:t>
      </w:r>
      <w:r w:rsidR="00232C3F">
        <w:t>impacts on Environmental and Social Justice (ESJ) communities</w:t>
      </w:r>
      <w:r w:rsidRPr="00027803">
        <w:rPr>
          <w:szCs w:val="26"/>
        </w:rPr>
        <w:t>.</w:t>
      </w:r>
      <w:r w:rsidR="002B7ED2">
        <w:rPr>
          <w:rStyle w:val="FootnoteReference"/>
          <w:szCs w:val="26"/>
        </w:rPr>
        <w:footnoteReference w:id="18"/>
      </w:r>
      <w:r w:rsidRPr="00027803">
        <w:rPr>
          <w:szCs w:val="26"/>
        </w:rPr>
        <w:t> </w:t>
      </w:r>
      <w:r w:rsidRPr="009E3FF8" w:rsidR="00E71A4C">
        <w:rPr>
          <w:color w:val="000000" w:themeColor="text1"/>
        </w:rPr>
        <w:t>Pacific Gas and Electric Company</w:t>
      </w:r>
      <w:r w:rsidR="00E71A4C">
        <w:rPr>
          <w:color w:val="000000" w:themeColor="text1"/>
        </w:rPr>
        <w:t xml:space="preserve"> (PG&amp;E)</w:t>
      </w:r>
      <w:r w:rsidRPr="009E3FF8" w:rsidR="00E71A4C">
        <w:rPr>
          <w:color w:val="000000" w:themeColor="text1"/>
        </w:rPr>
        <w:t>, Southern California Edison Company</w:t>
      </w:r>
      <w:r w:rsidR="00E71A4C">
        <w:rPr>
          <w:color w:val="000000" w:themeColor="text1"/>
        </w:rPr>
        <w:t xml:space="preserve"> (SCE), and </w:t>
      </w:r>
      <w:r w:rsidRPr="009E3FF8" w:rsidR="00E71A4C">
        <w:rPr>
          <w:color w:val="000000" w:themeColor="text1"/>
        </w:rPr>
        <w:t>San Diego Gas &amp; Electric Company</w:t>
      </w:r>
      <w:r w:rsidRPr="5E0692D5" w:rsidR="00E71A4C">
        <w:t xml:space="preserve"> </w:t>
      </w:r>
      <w:r w:rsidR="00E71A4C">
        <w:t xml:space="preserve">(SDG&amp;E) </w:t>
      </w:r>
      <w:r w:rsidRPr="5E0692D5">
        <w:t>were named Respondents to this proceeding. </w:t>
      </w:r>
    </w:p>
    <w:p w:rsidRPr="00351314" w:rsidR="000438D5" w:rsidP="00351314" w:rsidRDefault="00B71382" w14:paraId="7199833A" w14:textId="22F12BBB">
      <w:pPr>
        <w:pStyle w:val="Standard"/>
        <w:rPr>
          <w:szCs w:val="26"/>
        </w:rPr>
      </w:pPr>
      <w:r w:rsidRPr="00614F00">
        <w:rPr>
          <w:szCs w:val="26"/>
        </w:rPr>
        <w:t>A prehearing conference was held on August 17, 2021, to d</w:t>
      </w:r>
      <w:r>
        <w:rPr>
          <w:szCs w:val="26"/>
        </w:rPr>
        <w:t xml:space="preserve">iscuss issues to be scoped into the proceeding and the schedule. </w:t>
      </w:r>
    </w:p>
    <w:p w:rsidR="00C022E7" w:rsidP="51573FB4" w:rsidRDefault="00DC58BA" w14:paraId="21543FEE" w14:textId="6E92528B">
      <w:pPr>
        <w:pStyle w:val="Standard"/>
      </w:pPr>
      <w:r>
        <w:t xml:space="preserve">An Assigned Commissioner’s Scoping Memo and Ruling (Initial Scoping Memo) issued on November 15, 2021 set forth the issues, need for a hearing, </w:t>
      </w:r>
      <w:r>
        <w:lastRenderedPageBreak/>
        <w:t>schedule, category, and other matters necessary to scope this proceeding pursuant to</w:t>
      </w:r>
      <w:r w:rsidR="00304FFE">
        <w:t xml:space="preserve"> </w:t>
      </w:r>
      <w:r w:rsidR="002825D1">
        <w:t>Code</w:t>
      </w:r>
      <w:r>
        <w:t xml:space="preserve"> </w:t>
      </w:r>
      <w:r w:rsidR="00572851">
        <w:t xml:space="preserve">Section </w:t>
      </w:r>
      <w:r>
        <w:t xml:space="preserve">1701.1 and Article 7 of the Commission’s Rules of Practice and Procedure (Rules). </w:t>
      </w:r>
      <w:r w:rsidR="00C022E7">
        <w:t>The </w:t>
      </w:r>
      <w:r w:rsidR="002F24A8">
        <w:t>I</w:t>
      </w:r>
      <w:r w:rsidR="00C022E7">
        <w:t>nitial </w:t>
      </w:r>
      <w:r w:rsidR="002F24A8">
        <w:t>S</w:t>
      </w:r>
      <w:r w:rsidR="00C022E7">
        <w:t xml:space="preserve">coping </w:t>
      </w:r>
      <w:r w:rsidR="002F24A8">
        <w:t>M</w:t>
      </w:r>
      <w:r w:rsidR="00C022E7">
        <w:t xml:space="preserve">emo organized this proceeding into three tracks addressing distribution planning and execution, operational needs, and smart inverter operationalization and grid modernization. This decision </w:t>
      </w:r>
      <w:r w:rsidR="003A3960">
        <w:t xml:space="preserve">addresses issues in </w:t>
      </w:r>
      <w:r w:rsidR="00C022E7">
        <w:t>Track</w:t>
      </w:r>
      <w:r w:rsidR="0031384D">
        <w:t>s 1 and</w:t>
      </w:r>
      <w:r w:rsidR="00C022E7">
        <w:t xml:space="preserve"> 2, which consider</w:t>
      </w:r>
      <w:r w:rsidR="0031384D">
        <w:t xml:space="preserve"> distribution planning process and data improvements and</w:t>
      </w:r>
      <w:r w:rsidR="00C022E7">
        <w:t xml:space="preserve"> </w:t>
      </w:r>
      <w:r w:rsidR="006A4390">
        <w:t xml:space="preserve">IOU-led </w:t>
      </w:r>
      <w:r w:rsidR="00C022E7">
        <w:t>DSO roles and responsibilities in DER orchestration. </w:t>
      </w:r>
    </w:p>
    <w:p w:rsidR="00066707" w:rsidP="51573FB4" w:rsidRDefault="00DC58BA" w14:paraId="67EDA0C9" w14:textId="63582CE7">
      <w:pPr>
        <w:pStyle w:val="Standard"/>
      </w:pPr>
      <w:r>
        <w:t xml:space="preserve">An Assigned Commissioner’s Amended Scoping Memo and Ruling (Amended Scoping Memo) was issued on August 11, 2023 streamlining the process for resolving </w:t>
      </w:r>
      <w:r w:rsidR="00535CEF">
        <w:t xml:space="preserve">scoped </w:t>
      </w:r>
      <w:r>
        <w:t>issues and updating the procedural schedule.</w:t>
      </w:r>
      <w:r w:rsidR="00D825D8">
        <w:t xml:space="preserve"> The Amended Scoping Memo laid out the following two issues for Track 2: </w:t>
      </w:r>
    </w:p>
    <w:p w:rsidR="007E1F2F" w:rsidP="00923DDB" w:rsidRDefault="00D825D8" w14:paraId="0DF2711F" w14:textId="2900E60C">
      <w:pPr>
        <w:pStyle w:val="Standard"/>
        <w:numPr>
          <w:ilvl w:val="0"/>
          <w:numId w:val="82"/>
        </w:numPr>
        <w:spacing w:after="120" w:line="240" w:lineRule="auto"/>
        <w:ind w:left="1080" w:right="1440"/>
      </w:pPr>
      <w:r>
        <w:t>What are the operational needs necessary to efficiently operate a high DER grid and unlock economic opportunities for DERs to provide grid services, limit market power, reduce ratepayer costs, increase equity, support grid resiliency, and meet State policy objectives</w:t>
      </w:r>
      <w:r w:rsidR="007E1F2F">
        <w:t>?</w:t>
      </w:r>
      <w:r>
        <w:t xml:space="preserve"> </w:t>
      </w:r>
      <w:r w:rsidR="009D3D99">
        <w:t>a</w:t>
      </w:r>
      <w:r>
        <w:t xml:space="preserve">nd </w:t>
      </w:r>
    </w:p>
    <w:p w:rsidRPr="007E1F2F" w:rsidR="00E22F6A" w:rsidP="00923DDB" w:rsidRDefault="00D825D8" w14:paraId="5801B731" w14:textId="43D7CF20">
      <w:pPr>
        <w:pStyle w:val="Standard"/>
        <w:numPr>
          <w:ilvl w:val="0"/>
          <w:numId w:val="82"/>
        </w:numPr>
        <w:spacing w:after="120" w:line="240" w:lineRule="auto"/>
        <w:ind w:left="1080" w:right="1440"/>
      </w:pPr>
      <w:r w:rsidRPr="007E1F2F">
        <w:rPr>
          <w:szCs w:val="26"/>
        </w:rPr>
        <w:t xml:space="preserve">What are the existing gaps and barriers in achieving the needs identified above within our current </w:t>
      </w:r>
      <w:r w:rsidRPr="007E1F2F" w:rsidR="00CF0A5A">
        <w:rPr>
          <w:szCs w:val="26"/>
        </w:rPr>
        <w:t>IOU</w:t>
      </w:r>
      <w:r w:rsidRPr="007E1F2F">
        <w:rPr>
          <w:szCs w:val="26"/>
        </w:rPr>
        <w:t>-operated DSO? What are the potential solutions in overcoming these barriers</w:t>
      </w:r>
      <w:r w:rsidR="007E1F2F">
        <w:rPr>
          <w:szCs w:val="26"/>
        </w:rPr>
        <w:t>?</w:t>
      </w:r>
    </w:p>
    <w:p w:rsidR="0064601E" w:rsidP="51573FB4" w:rsidRDefault="00A3029E" w14:paraId="586157A0" w14:textId="34572AB1">
      <w:pPr>
        <w:pStyle w:val="Standard"/>
        <w:rPr>
          <w:szCs w:val="26"/>
        </w:rPr>
      </w:pPr>
      <w:r w:rsidRPr="00614F00">
        <w:rPr>
          <w:szCs w:val="26"/>
        </w:rPr>
        <w:t xml:space="preserve">The adopted schedule included a Future Grid </w:t>
      </w:r>
      <w:r w:rsidR="00DA222F">
        <w:rPr>
          <w:szCs w:val="26"/>
        </w:rPr>
        <w:t xml:space="preserve">Study </w:t>
      </w:r>
      <w:r w:rsidRPr="00614F00">
        <w:rPr>
          <w:szCs w:val="26"/>
        </w:rPr>
        <w:t xml:space="preserve">workshop series hosted by the Commission’s </w:t>
      </w:r>
      <w:r w:rsidR="007307AC">
        <w:rPr>
          <w:szCs w:val="26"/>
        </w:rPr>
        <w:t>c</w:t>
      </w:r>
      <w:r w:rsidRPr="00614F00">
        <w:rPr>
          <w:szCs w:val="26"/>
        </w:rPr>
        <w:t xml:space="preserve">onsultant, Gridworks. </w:t>
      </w:r>
      <w:r w:rsidRPr="00614F00" w:rsidR="00697B31">
        <w:rPr>
          <w:szCs w:val="26"/>
        </w:rPr>
        <w:t xml:space="preserve">The workshops provided parties and other stakeholders an opportunity to collaborate on ideas for modernizing the electric grid for a High DER future. </w:t>
      </w:r>
      <w:r w:rsidRPr="00614F00">
        <w:rPr>
          <w:szCs w:val="26"/>
        </w:rPr>
        <w:t xml:space="preserve">The workshop series </w:t>
      </w:r>
      <w:r w:rsidRPr="00614F00">
        <w:rPr>
          <w:szCs w:val="26"/>
        </w:rPr>
        <w:lastRenderedPageBreak/>
        <w:t>culminated in a workshop report referred to as the Future Grid Study Report (FGS Report).</w:t>
      </w:r>
      <w:r w:rsidR="00DE158E">
        <w:rPr>
          <w:rStyle w:val="FootnoteReference"/>
          <w:szCs w:val="26"/>
        </w:rPr>
        <w:footnoteReference w:id="19"/>
      </w:r>
      <w:r w:rsidRPr="00614F00">
        <w:rPr>
          <w:szCs w:val="26"/>
        </w:rPr>
        <w:t xml:space="preserve"> </w:t>
      </w:r>
    </w:p>
    <w:p w:rsidR="00DC58BA" w:rsidP="51573FB4" w:rsidRDefault="0064601E" w14:paraId="3A686095" w14:textId="0852580E">
      <w:pPr>
        <w:pStyle w:val="Standard"/>
        <w:rPr>
          <w:szCs w:val="26"/>
        </w:rPr>
      </w:pPr>
      <w:r>
        <w:rPr>
          <w:szCs w:val="26"/>
        </w:rPr>
        <w:t xml:space="preserve">An </w:t>
      </w:r>
      <w:r w:rsidR="004D4D3C">
        <w:rPr>
          <w:szCs w:val="26"/>
        </w:rPr>
        <w:t>Administrative Law Judge (</w:t>
      </w:r>
      <w:r>
        <w:rPr>
          <w:szCs w:val="26"/>
        </w:rPr>
        <w:t>ALJ</w:t>
      </w:r>
      <w:r w:rsidR="004D4D3C">
        <w:rPr>
          <w:szCs w:val="26"/>
        </w:rPr>
        <w:t>)</w:t>
      </w:r>
      <w:r>
        <w:rPr>
          <w:szCs w:val="26"/>
        </w:rPr>
        <w:t xml:space="preserve"> Ruling issued on October 17, 2024 (October 17 Ruling) published the FGS Report and sought party comment on its findings. </w:t>
      </w:r>
      <w:r w:rsidRPr="00614F00" w:rsidR="00A3029E">
        <w:rPr>
          <w:szCs w:val="26"/>
        </w:rPr>
        <w:t>The FGS Report offered a comprehensive account of the three workshop topics: (1) distribution system operational needs to enable a “High DER Future”; (2) the gaps between current distribution system operational capabilities and identified operational needs; and (3) a set of recommendations to address the identified gaps.</w:t>
      </w:r>
      <w:r w:rsidR="00003129">
        <w:rPr>
          <w:szCs w:val="26"/>
        </w:rPr>
        <w:t xml:space="preserve"> </w:t>
      </w:r>
    </w:p>
    <w:p w:rsidR="00382F62" w:rsidP="51573FB4" w:rsidRDefault="00003129" w14:paraId="0BF06A86" w14:textId="06790431">
      <w:pPr>
        <w:pStyle w:val="Standard"/>
        <w:rPr>
          <w:szCs w:val="26"/>
        </w:rPr>
      </w:pPr>
      <w:r>
        <w:rPr>
          <w:szCs w:val="26"/>
        </w:rPr>
        <w:t xml:space="preserve">The FGS </w:t>
      </w:r>
      <w:r w:rsidR="003D143A">
        <w:rPr>
          <w:szCs w:val="26"/>
        </w:rPr>
        <w:t>R</w:t>
      </w:r>
      <w:r>
        <w:rPr>
          <w:szCs w:val="26"/>
        </w:rPr>
        <w:t xml:space="preserve">eport identified remaining gaps </w:t>
      </w:r>
      <w:r w:rsidR="00382F62">
        <w:rPr>
          <w:szCs w:val="26"/>
        </w:rPr>
        <w:t>and uncertainties including:</w:t>
      </w:r>
    </w:p>
    <w:p w:rsidR="00791CE0" w:rsidP="00923DDB" w:rsidRDefault="00BA7DE5" w14:paraId="6D207995" w14:textId="2AF95FA0">
      <w:pPr>
        <w:pStyle w:val="Standard"/>
        <w:numPr>
          <w:ilvl w:val="0"/>
          <w:numId w:val="40"/>
        </w:numPr>
        <w:spacing w:after="120" w:line="240" w:lineRule="auto"/>
        <w:ind w:left="1080" w:right="1440"/>
        <w:rPr>
          <w:szCs w:val="26"/>
        </w:rPr>
      </w:pPr>
      <w:r w:rsidRPr="00BA7DE5">
        <w:rPr>
          <w:szCs w:val="26"/>
        </w:rPr>
        <w:t>Proposed future capabilities depend</w:t>
      </w:r>
      <w:r w:rsidR="009355D4">
        <w:rPr>
          <w:szCs w:val="26"/>
        </w:rPr>
        <w:t>ing</w:t>
      </w:r>
      <w:r w:rsidRPr="00BA7DE5">
        <w:rPr>
          <w:szCs w:val="26"/>
        </w:rPr>
        <w:t xml:space="preserve"> on the IOUs’ progress in implementing their Grid Modernization Plans. </w:t>
      </w:r>
    </w:p>
    <w:p w:rsidR="009E6C11" w:rsidP="00923DDB" w:rsidRDefault="00921148" w14:paraId="2D0E11A3" w14:textId="4B9F9CED">
      <w:pPr>
        <w:pStyle w:val="Standard"/>
        <w:numPr>
          <w:ilvl w:val="0"/>
          <w:numId w:val="40"/>
        </w:numPr>
        <w:spacing w:after="120" w:line="240" w:lineRule="auto"/>
        <w:ind w:left="1080" w:right="1440"/>
        <w:rPr>
          <w:szCs w:val="26"/>
        </w:rPr>
      </w:pPr>
      <w:r>
        <w:rPr>
          <w:szCs w:val="26"/>
        </w:rPr>
        <w:t>Gaps</w:t>
      </w:r>
      <w:r w:rsidRPr="00BA7DE5" w:rsidR="00BA7DE5">
        <w:rPr>
          <w:szCs w:val="26"/>
        </w:rPr>
        <w:t xml:space="preserve"> in the operational interface between the</w:t>
      </w:r>
      <w:r w:rsidR="004D4D3C">
        <w:rPr>
          <w:szCs w:val="26"/>
        </w:rPr>
        <w:t xml:space="preserve"> California Independent System Operator (</w:t>
      </w:r>
      <w:r w:rsidRPr="00BA7DE5" w:rsidR="00BA7DE5">
        <w:rPr>
          <w:szCs w:val="26"/>
        </w:rPr>
        <w:t>CAISO</w:t>
      </w:r>
      <w:r w:rsidR="004D4D3C">
        <w:rPr>
          <w:szCs w:val="26"/>
        </w:rPr>
        <w:t>)</w:t>
      </w:r>
      <w:r w:rsidRPr="00BA7DE5" w:rsidR="00BA7DE5">
        <w:rPr>
          <w:szCs w:val="26"/>
        </w:rPr>
        <w:t xml:space="preserve"> and DSOs. </w:t>
      </w:r>
    </w:p>
    <w:p w:rsidR="004F16A9" w:rsidP="00923DDB" w:rsidRDefault="00BA7DE5" w14:paraId="2D65236D" w14:textId="6C7F119E">
      <w:pPr>
        <w:pStyle w:val="Standard"/>
        <w:numPr>
          <w:ilvl w:val="0"/>
          <w:numId w:val="40"/>
        </w:numPr>
        <w:spacing w:after="120" w:line="240" w:lineRule="auto"/>
        <w:ind w:left="1080" w:right="1440"/>
        <w:rPr>
          <w:szCs w:val="26"/>
        </w:rPr>
      </w:pPr>
      <w:r w:rsidRPr="004F16A9">
        <w:rPr>
          <w:szCs w:val="26"/>
        </w:rPr>
        <w:t>The pace of developing grid services markets</w:t>
      </w:r>
      <w:r w:rsidR="00AC3E07">
        <w:rPr>
          <w:szCs w:val="26"/>
        </w:rPr>
        <w:t>.</w:t>
      </w:r>
    </w:p>
    <w:p w:rsidR="00E648F5" w:rsidP="00923DDB" w:rsidRDefault="00BA7DE5" w14:paraId="685CFCD7" w14:textId="613377E9">
      <w:pPr>
        <w:pStyle w:val="Standard"/>
        <w:numPr>
          <w:ilvl w:val="0"/>
          <w:numId w:val="40"/>
        </w:numPr>
        <w:spacing w:after="120" w:line="240" w:lineRule="auto"/>
        <w:ind w:left="1080" w:right="1440"/>
      </w:pPr>
      <w:r>
        <w:t xml:space="preserve">Diverging visions of the High DER Future. </w:t>
      </w:r>
    </w:p>
    <w:p w:rsidRPr="00852214" w:rsidR="00E648F5" w:rsidP="00923DDB" w:rsidRDefault="00C54EEB" w14:paraId="6DEE992C" w14:textId="2ABE5440">
      <w:pPr>
        <w:pStyle w:val="Standard"/>
        <w:numPr>
          <w:ilvl w:val="0"/>
          <w:numId w:val="40"/>
        </w:numPr>
        <w:spacing w:after="120" w:line="240" w:lineRule="auto"/>
        <w:ind w:left="1080" w:right="1440"/>
      </w:pPr>
      <w:r>
        <w:t>Friction points over d</w:t>
      </w:r>
      <w:r w:rsidR="00BA7DE5">
        <w:t>ata sharing and transparency in DER interconnection</w:t>
      </w:r>
      <w:r>
        <w:t>.</w:t>
      </w:r>
      <w:r w:rsidR="00384969">
        <w:t xml:space="preserve"> </w:t>
      </w:r>
    </w:p>
    <w:p w:rsidR="00852214" w:rsidRDefault="00852214" w14:paraId="32CCD89D" w14:textId="36370897">
      <w:pPr>
        <w:pStyle w:val="Standard"/>
        <w:rPr>
          <w:rFonts w:eastAsia="Calibri" w:cs="Arial"/>
          <w:color w:val="000000" w:themeColor="text1"/>
        </w:rPr>
      </w:pPr>
      <w:r>
        <w:rPr>
          <w:rFonts w:eastAsia="Calibri" w:cs="Arial"/>
          <w:color w:val="000000" w:themeColor="text1"/>
        </w:rPr>
        <w:t xml:space="preserve">On </w:t>
      </w:r>
      <w:r w:rsidR="001861DF">
        <w:rPr>
          <w:rFonts w:eastAsia="Calibri" w:cs="Arial"/>
          <w:color w:val="000000" w:themeColor="text1"/>
        </w:rPr>
        <w:t>December 6, 2024</w:t>
      </w:r>
      <w:r w:rsidR="00923DDB">
        <w:rPr>
          <w:rFonts w:eastAsia="Calibri" w:cs="Arial"/>
          <w:color w:val="000000" w:themeColor="text1"/>
        </w:rPr>
        <w:t>,</w:t>
      </w:r>
      <w:r w:rsidR="001861DF">
        <w:rPr>
          <w:rFonts w:eastAsia="Calibri" w:cs="Arial"/>
          <w:color w:val="000000" w:themeColor="text1"/>
        </w:rPr>
        <w:t xml:space="preserve"> </w:t>
      </w:r>
      <w:r w:rsidR="00360A79">
        <w:rPr>
          <w:rFonts w:eastAsia="Calibri" w:cs="Arial"/>
          <w:color w:val="000000" w:themeColor="text1"/>
        </w:rPr>
        <w:t>PG&amp;</w:t>
      </w:r>
      <w:r w:rsidR="00B06659">
        <w:rPr>
          <w:rFonts w:eastAsia="Calibri" w:cs="Arial"/>
          <w:color w:val="000000" w:themeColor="text1"/>
        </w:rPr>
        <w:t>E</w:t>
      </w:r>
      <w:r w:rsidR="00B97073">
        <w:rPr>
          <w:rFonts w:eastAsia="Calibri" w:cs="Arial"/>
          <w:color w:val="000000" w:themeColor="text1"/>
        </w:rPr>
        <w:t xml:space="preserve"> and </w:t>
      </w:r>
      <w:r w:rsidR="009355D4">
        <w:rPr>
          <w:rFonts w:eastAsia="Calibri" w:cs="Arial"/>
          <w:color w:val="000000" w:themeColor="text1"/>
        </w:rPr>
        <w:t>SCE</w:t>
      </w:r>
      <w:r w:rsidR="00161D0D">
        <w:rPr>
          <w:rFonts w:eastAsia="Calibri" w:cs="Arial"/>
          <w:color w:val="000000" w:themeColor="text1"/>
        </w:rPr>
        <w:t xml:space="preserve"> </w:t>
      </w:r>
      <w:r w:rsidR="00B97073">
        <w:rPr>
          <w:rFonts w:eastAsia="Calibri" w:cs="Arial"/>
          <w:color w:val="000000" w:themeColor="text1"/>
        </w:rPr>
        <w:t>filing jointly;</w:t>
      </w:r>
      <w:r w:rsidR="00B06659">
        <w:rPr>
          <w:rFonts w:eastAsia="Calibri" w:cs="Arial"/>
          <w:color w:val="000000" w:themeColor="text1"/>
        </w:rPr>
        <w:t xml:space="preserve"> SDG&amp;E</w:t>
      </w:r>
      <w:r w:rsidR="00B97073">
        <w:rPr>
          <w:rFonts w:eastAsia="Calibri" w:cs="Arial"/>
          <w:color w:val="000000" w:themeColor="text1"/>
        </w:rPr>
        <w:t>;</w:t>
      </w:r>
      <w:r w:rsidR="00B06659">
        <w:rPr>
          <w:rFonts w:eastAsia="Calibri" w:cs="Arial"/>
          <w:color w:val="000000" w:themeColor="text1"/>
        </w:rPr>
        <w:t xml:space="preserve"> </w:t>
      </w:r>
      <w:r w:rsidR="009355D4">
        <w:rPr>
          <w:rFonts w:eastAsia="Calibri" w:cs="Arial"/>
          <w:color w:val="000000" w:themeColor="text1"/>
        </w:rPr>
        <w:t>Natural Resources Defense Council (</w:t>
      </w:r>
      <w:r w:rsidR="00BC3FF3">
        <w:rPr>
          <w:rFonts w:eastAsia="Calibri" w:cs="Arial"/>
          <w:color w:val="000000" w:themeColor="text1"/>
        </w:rPr>
        <w:t>NRDC</w:t>
      </w:r>
      <w:r w:rsidR="00B97073">
        <w:rPr>
          <w:rFonts w:eastAsia="Calibri" w:cs="Arial"/>
          <w:color w:val="000000" w:themeColor="text1"/>
        </w:rPr>
        <w:t xml:space="preserve">), </w:t>
      </w:r>
      <w:r w:rsidR="009355D4">
        <w:rPr>
          <w:rFonts w:eastAsia="Calibri" w:cs="Arial"/>
          <w:color w:val="000000" w:themeColor="text1"/>
        </w:rPr>
        <w:t>Environmental Defense Fund (</w:t>
      </w:r>
      <w:r w:rsidR="00BC3FF3">
        <w:rPr>
          <w:rFonts w:eastAsia="Calibri" w:cs="Arial"/>
          <w:color w:val="000000" w:themeColor="text1"/>
        </w:rPr>
        <w:t>EDF</w:t>
      </w:r>
      <w:r w:rsidR="009355D4">
        <w:rPr>
          <w:rFonts w:eastAsia="Calibri" w:cs="Arial"/>
          <w:color w:val="000000" w:themeColor="text1"/>
        </w:rPr>
        <w:t>)</w:t>
      </w:r>
      <w:r w:rsidR="00B97073">
        <w:rPr>
          <w:rFonts w:eastAsia="Calibri" w:cs="Arial"/>
          <w:color w:val="000000" w:themeColor="text1"/>
        </w:rPr>
        <w:t xml:space="preserve">, and </w:t>
      </w:r>
      <w:r w:rsidR="00BC3FF3">
        <w:rPr>
          <w:rFonts w:eastAsia="Calibri" w:cs="Arial"/>
          <w:color w:val="000000" w:themeColor="text1"/>
        </w:rPr>
        <w:t>CALSTART</w:t>
      </w:r>
      <w:r w:rsidR="00B97073">
        <w:rPr>
          <w:rFonts w:eastAsia="Calibri" w:cs="Arial"/>
          <w:color w:val="000000" w:themeColor="text1"/>
        </w:rPr>
        <w:t xml:space="preserve"> filing jointly; </w:t>
      </w:r>
      <w:r w:rsidR="009355D4">
        <w:rPr>
          <w:rFonts w:eastAsia="Calibri" w:cs="Arial"/>
          <w:color w:val="000000" w:themeColor="text1"/>
        </w:rPr>
        <w:t>Center for Biological Diversity (</w:t>
      </w:r>
      <w:r w:rsidR="004F24BD">
        <w:rPr>
          <w:rFonts w:eastAsia="Calibri" w:cs="Arial"/>
          <w:color w:val="000000" w:themeColor="text1"/>
        </w:rPr>
        <w:t>CBD</w:t>
      </w:r>
      <w:r w:rsidR="009355D4">
        <w:rPr>
          <w:rFonts w:eastAsia="Calibri" w:cs="Arial"/>
          <w:color w:val="000000" w:themeColor="text1"/>
        </w:rPr>
        <w:t>)</w:t>
      </w:r>
      <w:r w:rsidR="00B97073">
        <w:rPr>
          <w:rFonts w:eastAsia="Calibri" w:cs="Arial"/>
          <w:color w:val="000000" w:themeColor="text1"/>
        </w:rPr>
        <w:t xml:space="preserve">, </w:t>
      </w:r>
      <w:r w:rsidR="004F24BD">
        <w:rPr>
          <w:rFonts w:eastAsia="Calibri" w:cs="Arial"/>
          <w:color w:val="000000" w:themeColor="text1"/>
        </w:rPr>
        <w:t>350 Bay Area</w:t>
      </w:r>
      <w:r w:rsidR="00B97073">
        <w:rPr>
          <w:rFonts w:eastAsia="Calibri" w:cs="Arial"/>
          <w:color w:val="000000" w:themeColor="text1"/>
        </w:rPr>
        <w:t xml:space="preserve">, and </w:t>
      </w:r>
      <w:r w:rsidR="004D4D3C">
        <w:rPr>
          <w:rFonts w:eastAsia="Calibri" w:cs="Arial"/>
          <w:color w:val="000000" w:themeColor="text1"/>
        </w:rPr>
        <w:t xml:space="preserve">The </w:t>
      </w:r>
      <w:r w:rsidR="004F24BD">
        <w:rPr>
          <w:rFonts w:eastAsia="Calibri" w:cs="Arial"/>
          <w:color w:val="000000" w:themeColor="text1"/>
        </w:rPr>
        <w:t>Climate Center</w:t>
      </w:r>
      <w:r w:rsidR="00B97073">
        <w:rPr>
          <w:rFonts w:eastAsia="Calibri" w:cs="Arial"/>
          <w:color w:val="000000" w:themeColor="text1"/>
        </w:rPr>
        <w:t xml:space="preserve"> filing jointly; </w:t>
      </w:r>
      <w:r w:rsidR="004F24BD">
        <w:rPr>
          <w:rFonts w:eastAsia="Calibri" w:cs="Arial"/>
          <w:color w:val="000000" w:themeColor="text1"/>
        </w:rPr>
        <w:t>CAISO</w:t>
      </w:r>
      <w:r w:rsidR="00B97073">
        <w:rPr>
          <w:rFonts w:eastAsia="Calibri" w:cs="Arial"/>
          <w:color w:val="000000" w:themeColor="text1"/>
        </w:rPr>
        <w:t>;</w:t>
      </w:r>
      <w:r w:rsidR="004F24BD">
        <w:rPr>
          <w:rFonts w:eastAsia="Calibri" w:cs="Arial"/>
          <w:color w:val="000000" w:themeColor="text1"/>
        </w:rPr>
        <w:t xml:space="preserve"> </w:t>
      </w:r>
      <w:r w:rsidR="009355D4">
        <w:rPr>
          <w:rFonts w:eastAsia="Calibri" w:cs="Arial"/>
          <w:color w:val="000000" w:themeColor="text1"/>
        </w:rPr>
        <w:t xml:space="preserve">Green Power </w:t>
      </w:r>
      <w:r w:rsidR="00161D0D">
        <w:rPr>
          <w:rFonts w:eastAsia="Calibri" w:cs="Arial"/>
          <w:color w:val="000000" w:themeColor="text1"/>
        </w:rPr>
        <w:t>Institute</w:t>
      </w:r>
      <w:r w:rsidR="009355D4">
        <w:rPr>
          <w:rFonts w:eastAsia="Calibri" w:cs="Arial"/>
          <w:color w:val="000000" w:themeColor="text1"/>
        </w:rPr>
        <w:t xml:space="preserve"> (GPI)</w:t>
      </w:r>
      <w:r w:rsidR="00B97073">
        <w:rPr>
          <w:rFonts w:eastAsia="Calibri" w:cs="Arial"/>
          <w:color w:val="000000" w:themeColor="text1"/>
        </w:rPr>
        <w:t>;</w:t>
      </w:r>
      <w:r w:rsidR="004F24BD">
        <w:rPr>
          <w:rFonts w:eastAsia="Calibri" w:cs="Arial"/>
          <w:color w:val="000000" w:themeColor="text1"/>
        </w:rPr>
        <w:t xml:space="preserve"> </w:t>
      </w:r>
      <w:r w:rsidR="009355D4">
        <w:rPr>
          <w:rFonts w:eastAsia="Calibri" w:cs="Arial"/>
          <w:color w:val="000000" w:themeColor="text1"/>
        </w:rPr>
        <w:t>California Community Choice Association (</w:t>
      </w:r>
      <w:r w:rsidR="004F24BD">
        <w:rPr>
          <w:rFonts w:eastAsia="Calibri" w:cs="Arial"/>
          <w:color w:val="000000" w:themeColor="text1"/>
        </w:rPr>
        <w:t>CalCCA</w:t>
      </w:r>
      <w:r w:rsidR="009355D4">
        <w:rPr>
          <w:rFonts w:eastAsia="Calibri" w:cs="Arial"/>
          <w:color w:val="000000" w:themeColor="text1"/>
        </w:rPr>
        <w:t>)</w:t>
      </w:r>
      <w:r w:rsidR="00B97073">
        <w:rPr>
          <w:rFonts w:eastAsia="Calibri" w:cs="Arial"/>
          <w:color w:val="000000" w:themeColor="text1"/>
        </w:rPr>
        <w:t>;</w:t>
      </w:r>
      <w:r w:rsidR="004F24BD">
        <w:rPr>
          <w:rFonts w:eastAsia="Calibri" w:cs="Arial"/>
          <w:color w:val="000000" w:themeColor="text1"/>
        </w:rPr>
        <w:t xml:space="preserve"> </w:t>
      </w:r>
      <w:r w:rsidR="009355D4">
        <w:rPr>
          <w:rFonts w:eastAsia="Calibri" w:cs="Arial"/>
          <w:color w:val="000000" w:themeColor="text1"/>
        </w:rPr>
        <w:t>Utility Consumers’ Action Network (</w:t>
      </w:r>
      <w:r w:rsidR="004F24BD">
        <w:rPr>
          <w:rFonts w:eastAsia="Calibri" w:cs="Arial"/>
          <w:color w:val="000000" w:themeColor="text1"/>
        </w:rPr>
        <w:t>UCAN</w:t>
      </w:r>
      <w:r w:rsidR="009355D4">
        <w:rPr>
          <w:rFonts w:eastAsia="Calibri" w:cs="Arial"/>
          <w:color w:val="000000" w:themeColor="text1"/>
        </w:rPr>
        <w:t>)</w:t>
      </w:r>
      <w:r w:rsidR="00B97073">
        <w:rPr>
          <w:rFonts w:eastAsia="Calibri" w:cs="Arial"/>
          <w:color w:val="000000" w:themeColor="text1"/>
        </w:rPr>
        <w:t>;</w:t>
      </w:r>
      <w:r w:rsidR="004F24BD">
        <w:rPr>
          <w:rFonts w:eastAsia="Calibri" w:cs="Arial"/>
          <w:color w:val="000000" w:themeColor="text1"/>
        </w:rPr>
        <w:t xml:space="preserve"> Vote Solar</w:t>
      </w:r>
      <w:r w:rsidR="00B97073">
        <w:rPr>
          <w:rFonts w:eastAsia="Calibri" w:cs="Arial"/>
          <w:color w:val="000000" w:themeColor="text1"/>
        </w:rPr>
        <w:t>;</w:t>
      </w:r>
      <w:r w:rsidR="004F24BD">
        <w:rPr>
          <w:rFonts w:eastAsia="Calibri" w:cs="Arial"/>
          <w:color w:val="000000" w:themeColor="text1"/>
        </w:rPr>
        <w:t xml:space="preserve"> </w:t>
      </w:r>
      <w:r w:rsidR="009355D4">
        <w:t>the Public Advocates Office at the California Public Utilities Commission</w:t>
      </w:r>
      <w:r w:rsidR="009355D4">
        <w:rPr>
          <w:rFonts w:eastAsia="Calibri" w:cs="Arial"/>
          <w:color w:val="000000" w:themeColor="text1"/>
        </w:rPr>
        <w:t xml:space="preserve"> (</w:t>
      </w:r>
      <w:r w:rsidR="004F24BD">
        <w:rPr>
          <w:rFonts w:eastAsia="Calibri" w:cs="Arial"/>
          <w:color w:val="000000" w:themeColor="text1"/>
        </w:rPr>
        <w:t>Cal Advocates</w:t>
      </w:r>
      <w:r w:rsidR="009355D4">
        <w:rPr>
          <w:rFonts w:eastAsia="Calibri" w:cs="Arial"/>
          <w:color w:val="000000" w:themeColor="text1"/>
        </w:rPr>
        <w:t>)</w:t>
      </w:r>
      <w:r w:rsidR="00B97073">
        <w:rPr>
          <w:rFonts w:eastAsia="Calibri" w:cs="Arial"/>
          <w:color w:val="000000" w:themeColor="text1"/>
        </w:rPr>
        <w:t>;</w:t>
      </w:r>
      <w:r w:rsidR="00BC3FF3">
        <w:rPr>
          <w:rFonts w:eastAsia="Calibri" w:cs="Arial"/>
          <w:color w:val="000000" w:themeColor="text1"/>
        </w:rPr>
        <w:t xml:space="preserve"> </w:t>
      </w:r>
      <w:r w:rsidRPr="00D43CEB" w:rsidR="00D43CEB">
        <w:rPr>
          <w:rFonts w:eastAsia="Calibri" w:cs="Arial"/>
          <w:color w:val="000000" w:themeColor="text1"/>
        </w:rPr>
        <w:t>350 Bay Area</w:t>
      </w:r>
      <w:r w:rsidR="00B97073">
        <w:rPr>
          <w:rFonts w:eastAsia="Calibri" w:cs="Arial"/>
          <w:color w:val="000000" w:themeColor="text1"/>
        </w:rPr>
        <w:t xml:space="preserve">, </w:t>
      </w:r>
      <w:r w:rsidRPr="00D43CEB" w:rsidR="00D43CEB">
        <w:rPr>
          <w:rFonts w:eastAsia="Calibri" w:cs="Arial"/>
          <w:color w:val="000000" w:themeColor="text1"/>
        </w:rPr>
        <w:t>C</w:t>
      </w:r>
      <w:r w:rsidR="009355D4">
        <w:rPr>
          <w:rFonts w:eastAsia="Calibri" w:cs="Arial"/>
          <w:color w:val="000000" w:themeColor="text1"/>
        </w:rPr>
        <w:t>BD</w:t>
      </w:r>
      <w:r w:rsidR="00B97073">
        <w:rPr>
          <w:rFonts w:eastAsia="Calibri" w:cs="Arial"/>
          <w:color w:val="000000" w:themeColor="text1"/>
        </w:rPr>
        <w:t xml:space="preserve">, </w:t>
      </w:r>
      <w:r w:rsidRPr="00D43CEB" w:rsidR="00D43CEB">
        <w:rPr>
          <w:rFonts w:eastAsia="Calibri" w:cs="Arial"/>
          <w:color w:val="000000" w:themeColor="text1"/>
        </w:rPr>
        <w:t xml:space="preserve">Microgrid </w:t>
      </w:r>
      <w:r w:rsidRPr="00D43CEB" w:rsidR="00D43CEB">
        <w:rPr>
          <w:rFonts w:eastAsia="Calibri" w:cs="Arial"/>
          <w:color w:val="000000" w:themeColor="text1"/>
        </w:rPr>
        <w:lastRenderedPageBreak/>
        <w:t>Resources Coalition</w:t>
      </w:r>
      <w:r w:rsidR="00B97073">
        <w:rPr>
          <w:rFonts w:eastAsia="Calibri" w:cs="Arial"/>
          <w:color w:val="000000" w:themeColor="text1"/>
        </w:rPr>
        <w:t xml:space="preserve">, </w:t>
      </w:r>
      <w:r w:rsidR="004D4D3C">
        <w:rPr>
          <w:rFonts w:eastAsia="Calibri" w:cs="Arial"/>
          <w:color w:val="000000" w:themeColor="text1"/>
        </w:rPr>
        <w:t xml:space="preserve">The </w:t>
      </w:r>
      <w:r w:rsidRPr="00D43CEB" w:rsidR="00D43CEB">
        <w:rPr>
          <w:rFonts w:eastAsia="Calibri" w:cs="Arial"/>
          <w:color w:val="000000" w:themeColor="text1"/>
        </w:rPr>
        <w:t>C</w:t>
      </w:r>
      <w:r w:rsidR="004D4D3C">
        <w:rPr>
          <w:rFonts w:eastAsia="Calibri" w:cs="Arial"/>
          <w:color w:val="000000" w:themeColor="text1"/>
        </w:rPr>
        <w:t>limate Center</w:t>
      </w:r>
      <w:r w:rsidR="00B97073">
        <w:rPr>
          <w:rFonts w:eastAsia="Calibri" w:cs="Arial"/>
          <w:color w:val="000000" w:themeColor="text1"/>
        </w:rPr>
        <w:t xml:space="preserve">, </w:t>
      </w:r>
      <w:r w:rsidR="009355D4">
        <w:rPr>
          <w:rFonts w:eastAsia="Calibri" w:cs="Arial"/>
          <w:color w:val="000000" w:themeColor="text1"/>
        </w:rPr>
        <w:t>GPI</w:t>
      </w:r>
      <w:r w:rsidR="00B97073">
        <w:rPr>
          <w:rFonts w:eastAsia="Calibri" w:cs="Arial"/>
          <w:color w:val="000000" w:themeColor="text1"/>
        </w:rPr>
        <w:t>, and</w:t>
      </w:r>
      <w:r w:rsidR="00161D0D">
        <w:rPr>
          <w:rFonts w:eastAsia="Calibri" w:cs="Arial"/>
          <w:color w:val="000000" w:themeColor="text1"/>
        </w:rPr>
        <w:t xml:space="preserve"> </w:t>
      </w:r>
      <w:r w:rsidRPr="00D43CEB" w:rsidR="00D43CEB">
        <w:rPr>
          <w:rFonts w:eastAsia="Calibri" w:cs="Arial"/>
          <w:color w:val="000000" w:themeColor="text1"/>
        </w:rPr>
        <w:t>Clean Coalition</w:t>
      </w:r>
      <w:r w:rsidR="00B97073">
        <w:rPr>
          <w:rFonts w:eastAsia="Calibri" w:cs="Arial"/>
          <w:color w:val="000000" w:themeColor="text1"/>
        </w:rPr>
        <w:t xml:space="preserve"> filing jointly; </w:t>
      </w:r>
      <w:proofErr w:type="spellStart"/>
      <w:r w:rsidR="00D43CEB">
        <w:rPr>
          <w:rFonts w:eastAsia="Calibri" w:cs="Arial"/>
          <w:color w:val="000000" w:themeColor="text1"/>
        </w:rPr>
        <w:t>OhmConnect</w:t>
      </w:r>
      <w:proofErr w:type="spellEnd"/>
      <w:r w:rsidR="00A572B1">
        <w:rPr>
          <w:rFonts w:eastAsia="Calibri" w:cs="Arial"/>
          <w:color w:val="000000" w:themeColor="text1"/>
        </w:rPr>
        <w:t>;</w:t>
      </w:r>
      <w:r w:rsidR="009355D4">
        <w:rPr>
          <w:rFonts w:eastAsia="Calibri" w:cs="Arial"/>
          <w:color w:val="000000" w:themeColor="text1"/>
        </w:rPr>
        <w:t xml:space="preserve"> and the</w:t>
      </w:r>
      <w:r w:rsidR="007B3F91">
        <w:rPr>
          <w:rFonts w:eastAsia="Calibri" w:cs="Arial"/>
          <w:color w:val="000000" w:themeColor="text1"/>
        </w:rPr>
        <w:t xml:space="preserve"> V</w:t>
      </w:r>
      <w:r w:rsidR="009355D4">
        <w:rPr>
          <w:rFonts w:eastAsia="Calibri" w:cs="Arial"/>
          <w:color w:val="000000" w:themeColor="text1"/>
        </w:rPr>
        <w:t>ehicle-</w:t>
      </w:r>
      <w:r w:rsidR="007B3F91">
        <w:rPr>
          <w:rFonts w:eastAsia="Calibri" w:cs="Arial"/>
          <w:color w:val="000000" w:themeColor="text1"/>
        </w:rPr>
        <w:t>G</w:t>
      </w:r>
      <w:r w:rsidR="009355D4">
        <w:rPr>
          <w:rFonts w:eastAsia="Calibri" w:cs="Arial"/>
          <w:color w:val="000000" w:themeColor="text1"/>
        </w:rPr>
        <w:t xml:space="preserve">rid </w:t>
      </w:r>
      <w:r w:rsidR="007B3F91">
        <w:rPr>
          <w:rFonts w:eastAsia="Calibri" w:cs="Arial"/>
          <w:color w:val="000000" w:themeColor="text1"/>
        </w:rPr>
        <w:t>I</w:t>
      </w:r>
      <w:r w:rsidR="009355D4">
        <w:rPr>
          <w:rFonts w:eastAsia="Calibri" w:cs="Arial"/>
          <w:color w:val="000000" w:themeColor="text1"/>
        </w:rPr>
        <w:t>ntegration</w:t>
      </w:r>
      <w:r w:rsidR="007B3F91">
        <w:rPr>
          <w:rFonts w:eastAsia="Calibri" w:cs="Arial"/>
          <w:color w:val="000000" w:themeColor="text1"/>
        </w:rPr>
        <w:t xml:space="preserve"> Council</w:t>
      </w:r>
      <w:r w:rsidR="00B97073">
        <w:rPr>
          <w:rFonts w:eastAsia="Calibri" w:cs="Arial"/>
          <w:color w:val="000000" w:themeColor="text1"/>
        </w:rPr>
        <w:t xml:space="preserve"> (VGIC)</w:t>
      </w:r>
      <w:r w:rsidR="003F2686">
        <w:rPr>
          <w:rFonts w:eastAsia="Calibri" w:cs="Arial"/>
          <w:color w:val="000000" w:themeColor="text1"/>
        </w:rPr>
        <w:t xml:space="preserve"> filed opening comments on the </w:t>
      </w:r>
      <w:r w:rsidR="00717E44">
        <w:rPr>
          <w:rFonts w:eastAsia="Calibri" w:cs="Arial"/>
          <w:color w:val="000000" w:themeColor="text1"/>
        </w:rPr>
        <w:t xml:space="preserve">October 17 </w:t>
      </w:r>
      <w:r w:rsidR="007E6214">
        <w:rPr>
          <w:rFonts w:eastAsia="Calibri" w:cs="Arial"/>
          <w:color w:val="000000" w:themeColor="text1"/>
        </w:rPr>
        <w:t>R</w:t>
      </w:r>
      <w:r w:rsidR="00717E44">
        <w:rPr>
          <w:rFonts w:eastAsia="Calibri" w:cs="Arial"/>
          <w:color w:val="000000" w:themeColor="text1"/>
        </w:rPr>
        <w:t>uling</w:t>
      </w:r>
      <w:r w:rsidR="007B3F91">
        <w:rPr>
          <w:rFonts w:eastAsia="Calibri" w:cs="Arial"/>
          <w:color w:val="000000" w:themeColor="text1"/>
        </w:rPr>
        <w:t>.</w:t>
      </w:r>
      <w:r w:rsidR="0097391A">
        <w:rPr>
          <w:rFonts w:eastAsia="Calibri" w:cs="Arial"/>
          <w:color w:val="000000" w:themeColor="text1"/>
        </w:rPr>
        <w:t xml:space="preserve"> </w:t>
      </w:r>
      <w:r w:rsidR="007B3F91">
        <w:rPr>
          <w:rFonts w:eastAsia="Calibri" w:cs="Arial"/>
          <w:color w:val="000000" w:themeColor="text1"/>
        </w:rPr>
        <w:t>On December 9, 2024 A</w:t>
      </w:r>
      <w:r w:rsidR="009355D4">
        <w:rPr>
          <w:rFonts w:eastAsia="Calibri" w:cs="Arial"/>
          <w:color w:val="000000" w:themeColor="text1"/>
        </w:rPr>
        <w:t xml:space="preserve">dvanced </w:t>
      </w:r>
      <w:r w:rsidR="007B3F91">
        <w:rPr>
          <w:rFonts w:eastAsia="Calibri" w:cs="Arial"/>
          <w:color w:val="000000" w:themeColor="text1"/>
        </w:rPr>
        <w:t>E</w:t>
      </w:r>
      <w:r w:rsidR="009355D4">
        <w:rPr>
          <w:rFonts w:eastAsia="Calibri" w:cs="Arial"/>
          <w:color w:val="000000" w:themeColor="text1"/>
        </w:rPr>
        <w:t xml:space="preserve">nergy </w:t>
      </w:r>
      <w:r w:rsidR="007B3F91">
        <w:rPr>
          <w:rFonts w:eastAsia="Calibri" w:cs="Arial"/>
          <w:color w:val="000000" w:themeColor="text1"/>
        </w:rPr>
        <w:t>U</w:t>
      </w:r>
      <w:r w:rsidR="009355D4">
        <w:rPr>
          <w:rFonts w:eastAsia="Calibri" w:cs="Arial"/>
          <w:color w:val="000000" w:themeColor="text1"/>
        </w:rPr>
        <w:t>nited</w:t>
      </w:r>
      <w:r w:rsidR="00B97073">
        <w:rPr>
          <w:rFonts w:eastAsia="Calibri" w:cs="Arial"/>
          <w:color w:val="000000" w:themeColor="text1"/>
        </w:rPr>
        <w:t xml:space="preserve"> </w:t>
      </w:r>
      <w:r w:rsidR="004D4D3C">
        <w:rPr>
          <w:rFonts w:eastAsia="Calibri" w:cs="Arial"/>
          <w:color w:val="000000" w:themeColor="text1"/>
        </w:rPr>
        <w:t xml:space="preserve">(AEU) </w:t>
      </w:r>
      <w:r w:rsidR="007B3F91">
        <w:rPr>
          <w:rFonts w:eastAsia="Calibri" w:cs="Arial"/>
          <w:color w:val="000000" w:themeColor="text1"/>
        </w:rPr>
        <w:t>filed opening comments</w:t>
      </w:r>
      <w:r w:rsidR="00717E44">
        <w:rPr>
          <w:rFonts w:eastAsia="Calibri" w:cs="Arial"/>
          <w:color w:val="000000" w:themeColor="text1"/>
        </w:rPr>
        <w:t xml:space="preserve"> to the October 17 </w:t>
      </w:r>
      <w:r w:rsidR="007E6214">
        <w:rPr>
          <w:rFonts w:eastAsia="Calibri" w:cs="Arial"/>
          <w:color w:val="000000" w:themeColor="text1"/>
        </w:rPr>
        <w:t>R</w:t>
      </w:r>
      <w:r w:rsidR="00717E44">
        <w:rPr>
          <w:rFonts w:eastAsia="Calibri" w:cs="Arial"/>
          <w:color w:val="000000" w:themeColor="text1"/>
        </w:rPr>
        <w:t>uling</w:t>
      </w:r>
      <w:r w:rsidR="007B3F91">
        <w:rPr>
          <w:rFonts w:eastAsia="Calibri" w:cs="Arial"/>
          <w:color w:val="000000" w:themeColor="text1"/>
        </w:rPr>
        <w:t>.</w:t>
      </w:r>
      <w:r w:rsidR="0097391A">
        <w:rPr>
          <w:rFonts w:eastAsia="Calibri" w:cs="Arial"/>
          <w:color w:val="000000" w:themeColor="text1"/>
        </w:rPr>
        <w:t xml:space="preserve"> On January 6, 2025 Vote Solar </w:t>
      </w:r>
      <w:r w:rsidR="00D253B4">
        <w:rPr>
          <w:rFonts w:eastAsia="Calibri" w:cs="Arial"/>
          <w:color w:val="000000" w:themeColor="text1"/>
        </w:rPr>
        <w:t>filed reply comments</w:t>
      </w:r>
      <w:r w:rsidR="00B97073">
        <w:rPr>
          <w:rFonts w:eastAsia="Calibri" w:cs="Arial"/>
          <w:color w:val="000000" w:themeColor="text1"/>
        </w:rPr>
        <w:t>,</w:t>
      </w:r>
      <w:r w:rsidR="00717E44">
        <w:rPr>
          <w:rFonts w:eastAsia="Calibri" w:cs="Arial"/>
          <w:color w:val="000000" w:themeColor="text1"/>
        </w:rPr>
        <w:t xml:space="preserve"> and</w:t>
      </w:r>
      <w:r w:rsidR="00D253B4">
        <w:rPr>
          <w:rFonts w:eastAsia="Calibri" w:cs="Arial"/>
          <w:color w:val="000000" w:themeColor="text1"/>
        </w:rPr>
        <w:t xml:space="preserve"> </w:t>
      </w:r>
      <w:r w:rsidR="00717E44">
        <w:rPr>
          <w:rFonts w:eastAsia="Calibri" w:cs="Arial"/>
          <w:color w:val="000000" w:themeColor="text1"/>
        </w:rPr>
        <w:t>o</w:t>
      </w:r>
      <w:r w:rsidR="00D253B4">
        <w:rPr>
          <w:rFonts w:eastAsia="Calibri" w:cs="Arial"/>
          <w:color w:val="000000" w:themeColor="text1"/>
        </w:rPr>
        <w:t xml:space="preserve">n January 10, 2025, </w:t>
      </w:r>
      <w:r w:rsidR="003335A9">
        <w:rPr>
          <w:rFonts w:eastAsia="Calibri" w:cs="Arial"/>
          <w:color w:val="000000" w:themeColor="text1"/>
        </w:rPr>
        <w:t>SDG&amp;E, S</w:t>
      </w:r>
      <w:r w:rsidR="009355D4">
        <w:rPr>
          <w:rFonts w:eastAsia="Calibri" w:cs="Arial"/>
          <w:color w:val="000000" w:themeColor="text1"/>
        </w:rPr>
        <w:t xml:space="preserve">mall </w:t>
      </w:r>
      <w:r w:rsidR="003335A9">
        <w:rPr>
          <w:rFonts w:eastAsia="Calibri" w:cs="Arial"/>
          <w:color w:val="000000" w:themeColor="text1"/>
        </w:rPr>
        <w:t>B</w:t>
      </w:r>
      <w:r w:rsidR="009355D4">
        <w:rPr>
          <w:rFonts w:eastAsia="Calibri" w:cs="Arial"/>
          <w:color w:val="000000" w:themeColor="text1"/>
        </w:rPr>
        <w:t xml:space="preserve">usiness </w:t>
      </w:r>
      <w:r w:rsidR="003335A9">
        <w:rPr>
          <w:rFonts w:eastAsia="Calibri" w:cs="Arial"/>
          <w:color w:val="000000" w:themeColor="text1"/>
        </w:rPr>
        <w:t>U</w:t>
      </w:r>
      <w:r w:rsidR="009355D4">
        <w:rPr>
          <w:rFonts w:eastAsia="Calibri" w:cs="Arial"/>
          <w:color w:val="000000" w:themeColor="text1"/>
        </w:rPr>
        <w:t xml:space="preserve">tility </w:t>
      </w:r>
      <w:r w:rsidR="003335A9">
        <w:rPr>
          <w:rFonts w:eastAsia="Calibri" w:cs="Arial"/>
          <w:color w:val="000000" w:themeColor="text1"/>
        </w:rPr>
        <w:t>A</w:t>
      </w:r>
      <w:r w:rsidR="009355D4">
        <w:rPr>
          <w:rFonts w:eastAsia="Calibri" w:cs="Arial"/>
          <w:color w:val="000000" w:themeColor="text1"/>
        </w:rPr>
        <w:t>dvocates (SBUA)</w:t>
      </w:r>
      <w:r w:rsidR="003335A9">
        <w:rPr>
          <w:rFonts w:eastAsia="Calibri" w:cs="Arial"/>
          <w:color w:val="000000" w:themeColor="text1"/>
        </w:rPr>
        <w:t>, C</w:t>
      </w:r>
      <w:r w:rsidR="009355D4">
        <w:rPr>
          <w:rFonts w:eastAsia="Calibri" w:cs="Arial"/>
          <w:color w:val="000000" w:themeColor="text1"/>
        </w:rPr>
        <w:t xml:space="preserve">enter for </w:t>
      </w:r>
      <w:r w:rsidR="003335A9">
        <w:rPr>
          <w:rFonts w:eastAsia="Calibri" w:cs="Arial"/>
          <w:color w:val="000000" w:themeColor="text1"/>
        </w:rPr>
        <w:t>E</w:t>
      </w:r>
      <w:r w:rsidR="009355D4">
        <w:rPr>
          <w:rFonts w:eastAsia="Calibri" w:cs="Arial"/>
          <w:color w:val="000000" w:themeColor="text1"/>
        </w:rPr>
        <w:t xml:space="preserve">nergy </w:t>
      </w:r>
      <w:r w:rsidR="003335A9">
        <w:rPr>
          <w:rFonts w:eastAsia="Calibri" w:cs="Arial"/>
          <w:color w:val="000000" w:themeColor="text1"/>
        </w:rPr>
        <w:t>E</w:t>
      </w:r>
      <w:r w:rsidR="009355D4">
        <w:rPr>
          <w:rFonts w:eastAsia="Calibri" w:cs="Arial"/>
          <w:color w:val="000000" w:themeColor="text1"/>
        </w:rPr>
        <w:t xml:space="preserve">fficiency and </w:t>
      </w:r>
      <w:r w:rsidR="003335A9">
        <w:rPr>
          <w:rFonts w:eastAsia="Calibri" w:cs="Arial"/>
          <w:color w:val="000000" w:themeColor="text1"/>
        </w:rPr>
        <w:t>R</w:t>
      </w:r>
      <w:r w:rsidR="009355D4">
        <w:rPr>
          <w:rFonts w:eastAsia="Calibri" w:cs="Arial"/>
          <w:color w:val="000000" w:themeColor="text1"/>
        </w:rPr>
        <w:t xml:space="preserve">enewable </w:t>
      </w:r>
      <w:r w:rsidR="003335A9">
        <w:rPr>
          <w:rFonts w:eastAsia="Calibri" w:cs="Arial"/>
          <w:color w:val="000000" w:themeColor="text1"/>
        </w:rPr>
        <w:t>T</w:t>
      </w:r>
      <w:r w:rsidR="009355D4">
        <w:rPr>
          <w:rFonts w:eastAsia="Calibri" w:cs="Arial"/>
          <w:color w:val="000000" w:themeColor="text1"/>
        </w:rPr>
        <w:t>echnologies (CEERT)</w:t>
      </w:r>
      <w:r w:rsidR="003335A9">
        <w:rPr>
          <w:rFonts w:eastAsia="Calibri" w:cs="Arial"/>
          <w:color w:val="000000" w:themeColor="text1"/>
        </w:rPr>
        <w:t xml:space="preserve">, </w:t>
      </w:r>
      <w:r w:rsidR="009355D4">
        <w:rPr>
          <w:rFonts w:eastAsia="Calibri" w:cs="Arial"/>
          <w:color w:val="000000" w:themeColor="text1"/>
        </w:rPr>
        <w:t>PG&amp;E</w:t>
      </w:r>
      <w:r w:rsidR="00B97073">
        <w:rPr>
          <w:rFonts w:eastAsia="Calibri" w:cs="Arial"/>
          <w:color w:val="000000" w:themeColor="text1"/>
        </w:rPr>
        <w:t xml:space="preserve"> and </w:t>
      </w:r>
      <w:r w:rsidR="009355D4">
        <w:rPr>
          <w:rFonts w:eastAsia="Calibri" w:cs="Arial"/>
          <w:color w:val="000000" w:themeColor="text1"/>
        </w:rPr>
        <w:t>SCE</w:t>
      </w:r>
      <w:r w:rsidR="00B97073">
        <w:rPr>
          <w:rFonts w:eastAsia="Calibri" w:cs="Arial"/>
          <w:color w:val="000000" w:themeColor="text1"/>
        </w:rPr>
        <w:t xml:space="preserve"> filing jointly</w:t>
      </w:r>
      <w:r w:rsidR="007B3F91">
        <w:rPr>
          <w:rFonts w:eastAsia="Calibri" w:cs="Arial"/>
          <w:color w:val="000000" w:themeColor="text1"/>
        </w:rPr>
        <w:t>, NRDC</w:t>
      </w:r>
      <w:r w:rsidR="00B97073">
        <w:rPr>
          <w:rFonts w:eastAsia="Calibri" w:cs="Arial"/>
          <w:color w:val="000000" w:themeColor="text1"/>
        </w:rPr>
        <w:t xml:space="preserve"> and </w:t>
      </w:r>
      <w:r w:rsidR="007B3F91">
        <w:rPr>
          <w:rFonts w:eastAsia="Calibri" w:cs="Arial"/>
          <w:color w:val="000000" w:themeColor="text1"/>
        </w:rPr>
        <w:t>EDF</w:t>
      </w:r>
      <w:r w:rsidR="00B97073">
        <w:rPr>
          <w:rFonts w:eastAsia="Calibri" w:cs="Arial"/>
          <w:color w:val="000000" w:themeColor="text1"/>
        </w:rPr>
        <w:t xml:space="preserve"> filing jointly</w:t>
      </w:r>
      <w:r w:rsidR="007B3F91">
        <w:rPr>
          <w:rFonts w:eastAsia="Calibri" w:cs="Arial"/>
          <w:color w:val="000000" w:themeColor="text1"/>
        </w:rPr>
        <w:t xml:space="preserve">, </w:t>
      </w:r>
      <w:r w:rsidR="003A5B0D">
        <w:rPr>
          <w:rFonts w:eastAsia="Calibri" w:cs="Arial"/>
          <w:color w:val="000000" w:themeColor="text1"/>
        </w:rPr>
        <w:t>AEU, VGI</w:t>
      </w:r>
      <w:r w:rsidR="009355D4">
        <w:rPr>
          <w:rFonts w:eastAsia="Calibri" w:cs="Arial"/>
          <w:color w:val="000000" w:themeColor="text1"/>
        </w:rPr>
        <w:t>C</w:t>
      </w:r>
      <w:r w:rsidR="003A5B0D">
        <w:rPr>
          <w:rFonts w:eastAsia="Calibri" w:cs="Arial"/>
          <w:color w:val="000000" w:themeColor="text1"/>
        </w:rPr>
        <w:t xml:space="preserve">, </w:t>
      </w:r>
      <w:r w:rsidR="009355D4">
        <w:rPr>
          <w:rFonts w:eastAsia="Calibri" w:cs="Arial"/>
          <w:color w:val="000000" w:themeColor="text1"/>
        </w:rPr>
        <w:t xml:space="preserve">CalCCA, </w:t>
      </w:r>
      <w:r w:rsidR="003A5B0D">
        <w:rPr>
          <w:rFonts w:eastAsia="Calibri" w:cs="Arial"/>
          <w:color w:val="000000" w:themeColor="text1"/>
        </w:rPr>
        <w:t>Clean Coalition,</w:t>
      </w:r>
      <w:r w:rsidR="00B97073">
        <w:rPr>
          <w:rFonts w:eastAsia="Calibri" w:cs="Arial"/>
          <w:color w:val="000000" w:themeColor="text1"/>
        </w:rPr>
        <w:t xml:space="preserve"> and</w:t>
      </w:r>
      <w:r w:rsidR="003A5B0D">
        <w:rPr>
          <w:rFonts w:eastAsia="Calibri" w:cs="Arial"/>
          <w:color w:val="000000" w:themeColor="text1"/>
        </w:rPr>
        <w:t xml:space="preserve"> GPI</w:t>
      </w:r>
      <w:r w:rsidR="00B97073">
        <w:rPr>
          <w:rFonts w:eastAsia="Calibri" w:cs="Arial"/>
          <w:color w:val="000000" w:themeColor="text1"/>
        </w:rPr>
        <w:t xml:space="preserve"> and </w:t>
      </w:r>
      <w:r w:rsidR="003A5B0D">
        <w:rPr>
          <w:rFonts w:eastAsia="Calibri" w:cs="Arial"/>
          <w:color w:val="000000" w:themeColor="text1"/>
        </w:rPr>
        <w:t>Clean Coalition</w:t>
      </w:r>
      <w:r w:rsidR="00717E44">
        <w:rPr>
          <w:rFonts w:eastAsia="Calibri" w:cs="Arial"/>
          <w:color w:val="000000" w:themeColor="text1"/>
        </w:rPr>
        <w:t xml:space="preserve"> </w:t>
      </w:r>
      <w:r w:rsidR="00B97073">
        <w:rPr>
          <w:rFonts w:eastAsia="Calibri" w:cs="Arial"/>
          <w:color w:val="000000" w:themeColor="text1"/>
        </w:rPr>
        <w:t xml:space="preserve">filing jointly </w:t>
      </w:r>
      <w:r w:rsidR="00717E44">
        <w:rPr>
          <w:rFonts w:eastAsia="Calibri" w:cs="Arial"/>
          <w:color w:val="000000" w:themeColor="text1"/>
        </w:rPr>
        <w:t xml:space="preserve">filed reply comments on the October 17 </w:t>
      </w:r>
      <w:r w:rsidR="007E6214">
        <w:rPr>
          <w:rFonts w:eastAsia="Calibri" w:cs="Arial"/>
          <w:color w:val="000000" w:themeColor="text1"/>
        </w:rPr>
        <w:t>R</w:t>
      </w:r>
      <w:r w:rsidR="00717E44">
        <w:rPr>
          <w:rFonts w:eastAsia="Calibri" w:cs="Arial"/>
          <w:color w:val="000000" w:themeColor="text1"/>
        </w:rPr>
        <w:t>uling.</w:t>
      </w:r>
    </w:p>
    <w:p w:rsidR="3BC05AFC" w:rsidP="00DF0DDD" w:rsidRDefault="00700FFE" w14:paraId="2FB6A737" w14:textId="6C6CF3F4">
      <w:pPr>
        <w:pStyle w:val="Standard"/>
      </w:pPr>
      <w:r>
        <w:rPr>
          <w:rFonts w:eastAsia="Calibri" w:cs="Arial"/>
          <w:color w:val="000000" w:themeColor="text1"/>
        </w:rPr>
        <w:t>An</w:t>
      </w:r>
      <w:r w:rsidRPr="57F0DFB8" w:rsidR="57F0DFB8">
        <w:rPr>
          <w:rFonts w:eastAsia="Calibri" w:cs="Arial"/>
          <w:color w:val="000000" w:themeColor="text1"/>
        </w:rPr>
        <w:t xml:space="preserve"> Assigned Commissioner’s Ruling, issued on March 23, 2026,</w:t>
      </w:r>
      <w:r>
        <w:rPr>
          <w:rFonts w:eastAsia="Calibri" w:cs="Arial"/>
          <w:color w:val="000000" w:themeColor="text1"/>
        </w:rPr>
        <w:t xml:space="preserve"> (March 23 Ruling)</w:t>
      </w:r>
      <w:r w:rsidRPr="57F0DFB8" w:rsidR="57F0DFB8">
        <w:rPr>
          <w:rFonts w:eastAsia="Calibri" w:cs="Arial"/>
          <w:color w:val="000000" w:themeColor="text1"/>
        </w:rPr>
        <w:t xml:space="preserve"> focused Track 2 on the development of a </w:t>
      </w:r>
      <w:r>
        <w:rPr>
          <w:rFonts w:eastAsia="Calibri" w:cs="Arial"/>
          <w:color w:val="000000" w:themeColor="text1"/>
        </w:rPr>
        <w:t>DER</w:t>
      </w:r>
      <w:r w:rsidRPr="57F0DFB8" w:rsidR="57F0DFB8">
        <w:rPr>
          <w:rFonts w:eastAsia="Calibri" w:cs="Arial"/>
          <w:color w:val="000000" w:themeColor="text1"/>
        </w:rPr>
        <w:t xml:space="preserve"> orchestration framework for IOU-DSOs. The ruling proposed a procedural approach beginning with two Commission-led workshops to build early alignment on key technical conceptual and market issues, followed by formal applications from the IOUs to develop and operationalize the full DER orchestration framework. </w:t>
      </w:r>
    </w:p>
    <w:p w:rsidR="006C306A" w:rsidP="006C306A" w:rsidRDefault="006C306A" w14:paraId="0DD0D18B" w14:textId="523F70F0">
      <w:pPr>
        <w:pStyle w:val="Standard"/>
      </w:pPr>
      <w:r>
        <w:t xml:space="preserve">On April 17, 2026, Universal Devices filed opening comments in response to the March 23 Ruling. On April 20, 2026, </w:t>
      </w:r>
      <w:proofErr w:type="spellStart"/>
      <w:r>
        <w:t>Nexamp</w:t>
      </w:r>
      <w:proofErr w:type="spellEnd"/>
      <w:r>
        <w:t xml:space="preserve">, Inc., Clean Coalition, Cal Advocates, PG&amp;E, </w:t>
      </w:r>
      <w:proofErr w:type="spellStart"/>
      <w:r>
        <w:t>EnergyHub</w:t>
      </w:r>
      <w:proofErr w:type="spellEnd"/>
      <w:r>
        <w:t xml:space="preserve">, </w:t>
      </w:r>
      <w:r w:rsidR="00E44872">
        <w:t>S</w:t>
      </w:r>
      <w:r>
        <w:t xml:space="preserve">CE, 350 Bay Area, </w:t>
      </w:r>
      <w:r w:rsidR="009D752F">
        <w:t>CALSSA</w:t>
      </w:r>
      <w:r>
        <w:t xml:space="preserve">, </w:t>
      </w:r>
      <w:r w:rsidR="00B97073">
        <w:t>U</w:t>
      </w:r>
      <w:r>
        <w:t xml:space="preserve">CAN, CAISO, </w:t>
      </w:r>
      <w:r w:rsidR="00C509AB">
        <w:t>Cal</w:t>
      </w:r>
      <w:r>
        <w:t>CCA, SBUA, EDF, SDG&amp;E, A</w:t>
      </w:r>
      <w:r w:rsidR="008A7AC3">
        <w:t>EU</w:t>
      </w:r>
      <w:r>
        <w:t xml:space="preserve">, and California Efficiency + Demand Management Council filed opening comments in response to the March 23 Ruling. </w:t>
      </w:r>
    </w:p>
    <w:p w:rsidRPr="00614F00" w:rsidR="006C306A" w:rsidP="006C306A" w:rsidRDefault="006C306A" w14:paraId="7C5A2A08" w14:textId="66BCD2A8">
      <w:pPr>
        <w:pStyle w:val="Standard"/>
      </w:pPr>
      <w:r>
        <w:t xml:space="preserve">On April 29, 2026, Universal Devices filed reply comments to the March 23 Ruling. On April 30, 2026, </w:t>
      </w:r>
      <w:proofErr w:type="spellStart"/>
      <w:r>
        <w:t>EnergyHub</w:t>
      </w:r>
      <w:proofErr w:type="spellEnd"/>
      <w:r>
        <w:t>, EDF, PG&amp;E, Weave Grid, Inc.</w:t>
      </w:r>
      <w:r w:rsidR="008D12CF">
        <w:t xml:space="preserve"> (Weave Grid)</w:t>
      </w:r>
      <w:r>
        <w:t>, Clean Coalition, SCE, CBD and</w:t>
      </w:r>
      <w:r w:rsidR="004D4D3C">
        <w:t xml:space="preserve"> </w:t>
      </w:r>
      <w:r>
        <w:t xml:space="preserve">350 Bay Area filing jointly, SDG&amp;E, </w:t>
      </w:r>
      <w:r w:rsidR="00F07D15">
        <w:t>Cal</w:t>
      </w:r>
      <w:r>
        <w:t xml:space="preserve">CCA, </w:t>
      </w:r>
      <w:r w:rsidR="00B97073">
        <w:t>A</w:t>
      </w:r>
      <w:r w:rsidR="004D4D3C">
        <w:t>EU</w:t>
      </w:r>
      <w:r>
        <w:t>, UCAN, SBUA, and Cal Advocates filed reply comments to the March 23 Ruling.</w:t>
      </w:r>
    </w:p>
    <w:p w:rsidR="4DC7A704" w:rsidP="57F0DFB8" w:rsidRDefault="57F0DFB8" w14:paraId="7F9B5E29" w14:textId="04DC3B08">
      <w:pPr>
        <w:pStyle w:val="Standard"/>
        <w:rPr>
          <w:rFonts w:eastAsia="Calibri" w:cs="Arial"/>
          <w:color w:val="000000" w:themeColor="text1"/>
          <w:szCs w:val="26"/>
        </w:rPr>
      </w:pPr>
      <w:r w:rsidRPr="57F0DFB8">
        <w:rPr>
          <w:rFonts w:eastAsia="Calibri" w:cs="Arial"/>
          <w:color w:val="000000" w:themeColor="text1"/>
        </w:rPr>
        <w:lastRenderedPageBreak/>
        <w:t xml:space="preserve">As directed in the March 23 </w:t>
      </w:r>
      <w:r w:rsidR="007E6214">
        <w:rPr>
          <w:rFonts w:eastAsia="Calibri" w:cs="Arial"/>
          <w:color w:val="000000" w:themeColor="text1"/>
        </w:rPr>
        <w:t>Ruling</w:t>
      </w:r>
      <w:r w:rsidRPr="57F0DFB8">
        <w:rPr>
          <w:rFonts w:eastAsia="Calibri" w:cs="Arial"/>
          <w:color w:val="000000" w:themeColor="text1"/>
        </w:rPr>
        <w:t>, the Energy Division</w:t>
      </w:r>
      <w:r w:rsidR="00717E44">
        <w:rPr>
          <w:rFonts w:eastAsia="Calibri" w:cs="Arial"/>
          <w:color w:val="000000" w:themeColor="text1"/>
        </w:rPr>
        <w:t xml:space="preserve"> staff</w:t>
      </w:r>
      <w:r w:rsidRPr="57F0DFB8">
        <w:rPr>
          <w:rFonts w:eastAsia="Calibri" w:cs="Arial"/>
          <w:color w:val="000000" w:themeColor="text1"/>
        </w:rPr>
        <w:t xml:space="preserve"> convened the first of two DER orchestration workshops on May 21, 2026.  </w:t>
      </w:r>
      <w:r w:rsidRPr="57F0DFB8">
        <w:rPr>
          <w:rFonts w:eastAsia="Calibri" w:cs="Arial"/>
          <w:color w:val="000000" w:themeColor="text1"/>
          <w:szCs w:val="26"/>
        </w:rPr>
        <w:t xml:space="preserve">The workshop was intended to provide a forum for stakeholders to discuss the foundational elements necessary to support a utility-led DER orchestration framework, including associated implementation challenges, operational requirements, and governance considerations. </w:t>
      </w:r>
      <w:r w:rsidR="007E6214">
        <w:rPr>
          <w:rFonts w:eastAsia="Calibri" w:cs="Arial"/>
          <w:color w:val="000000" w:themeColor="text1"/>
          <w:szCs w:val="26"/>
        </w:rPr>
        <w:t>The</w:t>
      </w:r>
      <w:r w:rsidRPr="57F0DFB8">
        <w:rPr>
          <w:rFonts w:eastAsia="Calibri" w:cs="Arial"/>
          <w:color w:val="000000" w:themeColor="text1"/>
          <w:szCs w:val="26"/>
        </w:rPr>
        <w:t xml:space="preserve"> workshop also sought stakeholder input on the potential application process for DER orchestration, including guiding principles, technical requirements, and other foundational framework elements.</w:t>
      </w:r>
    </w:p>
    <w:p w:rsidR="6CFF36B5" w:rsidP="12F802B4" w:rsidRDefault="007E6214" w14:paraId="1957A0CF" w14:textId="26395F57">
      <w:pPr>
        <w:pStyle w:val="Standard"/>
      </w:pPr>
      <w:r>
        <w:t xml:space="preserve">On June 5, 2026, </w:t>
      </w:r>
      <w:r w:rsidR="57F0DFB8">
        <w:t xml:space="preserve">Energy Division staff convened the second </w:t>
      </w:r>
      <w:r w:rsidRPr="12F802B4" w:rsidR="6CFF36B5">
        <w:t xml:space="preserve">workshop </w:t>
      </w:r>
      <w:r w:rsidR="57F0DFB8">
        <w:t>focusing on TSO-DSO Coordination</w:t>
      </w:r>
      <w:r w:rsidRPr="12F802B4" w:rsidR="6CFF36B5">
        <w:t xml:space="preserve"> </w:t>
      </w:r>
      <w:r w:rsidRPr="12F802B4" w:rsidR="509FBA80">
        <w:t xml:space="preserve">to </w:t>
      </w:r>
      <w:r w:rsidR="00AC3E07">
        <w:t>discuss</w:t>
      </w:r>
      <w:r w:rsidRPr="12F802B4" w:rsidR="509FBA80">
        <w:t xml:space="preserve"> topics identified in the March 23 </w:t>
      </w:r>
      <w:r>
        <w:t>R</w:t>
      </w:r>
      <w:r w:rsidRPr="12F802B4" w:rsidR="509FBA80">
        <w:t xml:space="preserve">uling related to enhancing CAISO DER visibility, strengthening TSO-DSO coordination, </w:t>
      </w:r>
      <w:r w:rsidRPr="12F802B4" w:rsidR="624F3A9F">
        <w:t>and aligning responsible entities on shared priorities for DER integration and grid operations in a high-DER future.</w:t>
      </w:r>
    </w:p>
    <w:p w:rsidR="0030423D" w:rsidP="0030423D" w:rsidRDefault="0030423D" w14:paraId="1045C636" w14:textId="614A7D7F">
      <w:pPr>
        <w:pStyle w:val="Standard"/>
        <w:rPr>
          <w:szCs w:val="26"/>
        </w:rPr>
      </w:pPr>
      <w:r w:rsidRPr="0030423D">
        <w:rPr>
          <w:szCs w:val="26"/>
        </w:rPr>
        <w:t xml:space="preserve">An </w:t>
      </w:r>
      <w:r w:rsidR="00EF288F">
        <w:rPr>
          <w:szCs w:val="26"/>
        </w:rPr>
        <w:t>A</w:t>
      </w:r>
      <w:r w:rsidR="009C6B01">
        <w:rPr>
          <w:szCs w:val="26"/>
        </w:rPr>
        <w:t xml:space="preserve">ssigned </w:t>
      </w:r>
      <w:r w:rsidR="00EF288F">
        <w:rPr>
          <w:szCs w:val="26"/>
        </w:rPr>
        <w:t>C</w:t>
      </w:r>
      <w:r w:rsidR="009C6B01">
        <w:rPr>
          <w:szCs w:val="26"/>
        </w:rPr>
        <w:t xml:space="preserve">ommissioner’s </w:t>
      </w:r>
      <w:r w:rsidR="00EF288F">
        <w:rPr>
          <w:szCs w:val="26"/>
        </w:rPr>
        <w:t>R</w:t>
      </w:r>
      <w:r w:rsidR="009C6B01">
        <w:rPr>
          <w:szCs w:val="26"/>
        </w:rPr>
        <w:t>uling</w:t>
      </w:r>
      <w:r w:rsidR="00EF288F">
        <w:rPr>
          <w:szCs w:val="26"/>
        </w:rPr>
        <w:t xml:space="preserve"> was</w:t>
      </w:r>
      <w:r w:rsidRPr="0030423D">
        <w:rPr>
          <w:szCs w:val="26"/>
        </w:rPr>
        <w:t xml:space="preserve"> </w:t>
      </w:r>
      <w:r w:rsidR="00D51A1D">
        <w:rPr>
          <w:szCs w:val="26"/>
        </w:rPr>
        <w:t xml:space="preserve">issued on July 9, 2026 </w:t>
      </w:r>
      <w:r w:rsidR="00674AD5">
        <w:rPr>
          <w:szCs w:val="26"/>
        </w:rPr>
        <w:t xml:space="preserve">(July 9 Ruling) </w:t>
      </w:r>
      <w:r w:rsidR="00AC3E07">
        <w:rPr>
          <w:szCs w:val="26"/>
        </w:rPr>
        <w:t xml:space="preserve">publishing reports summarizing discussion at both the May 21, 2026 and June 5, 2026 workshops and </w:t>
      </w:r>
      <w:r w:rsidRPr="0030423D">
        <w:rPr>
          <w:szCs w:val="26"/>
        </w:rPr>
        <w:t>reques</w:t>
      </w:r>
      <w:r w:rsidR="00EF288F">
        <w:rPr>
          <w:szCs w:val="26"/>
        </w:rPr>
        <w:t>ting</w:t>
      </w:r>
      <w:r w:rsidRPr="0030423D">
        <w:rPr>
          <w:szCs w:val="26"/>
        </w:rPr>
        <w:t xml:space="preserve"> comments on </w:t>
      </w:r>
      <w:r w:rsidR="00AC3E07">
        <w:rPr>
          <w:szCs w:val="26"/>
        </w:rPr>
        <w:t xml:space="preserve">the </w:t>
      </w:r>
      <w:r w:rsidRPr="0030423D">
        <w:rPr>
          <w:szCs w:val="26"/>
        </w:rPr>
        <w:t>workshop report</w:t>
      </w:r>
      <w:r w:rsidR="00143237">
        <w:rPr>
          <w:szCs w:val="26"/>
        </w:rPr>
        <w:t>s</w:t>
      </w:r>
      <w:r w:rsidR="00AC3E07">
        <w:rPr>
          <w:szCs w:val="26"/>
        </w:rPr>
        <w:t>.</w:t>
      </w:r>
      <w:r w:rsidRPr="0030423D">
        <w:rPr>
          <w:szCs w:val="26"/>
        </w:rPr>
        <w:t xml:space="preserve"> </w:t>
      </w:r>
    </w:p>
    <w:p w:rsidR="007D45D3" w:rsidP="00144B30" w:rsidRDefault="25818ADE" w14:paraId="25037C54" w14:textId="68AFCBEF">
      <w:pPr>
        <w:pStyle w:val="Standard"/>
      </w:pPr>
      <w:r w:rsidRPr="00BB3155">
        <w:t xml:space="preserve">On July 27, 2026, </w:t>
      </w:r>
      <w:r w:rsidRPr="00BB3155" w:rsidR="7BD32A79">
        <w:t>PG&amp;E</w:t>
      </w:r>
      <w:r w:rsidR="00B9019D">
        <w:t>,</w:t>
      </w:r>
      <w:r w:rsidRPr="00BB3155" w:rsidR="7BD32A79">
        <w:t xml:space="preserve"> CalCCA</w:t>
      </w:r>
      <w:r w:rsidR="00B9019D">
        <w:t>,</w:t>
      </w:r>
      <w:r w:rsidRPr="00BB3155" w:rsidR="7BD32A79">
        <w:t xml:space="preserve"> CAISO</w:t>
      </w:r>
      <w:r w:rsidR="00B9019D">
        <w:t>,</w:t>
      </w:r>
      <w:r w:rsidRPr="00BB3155" w:rsidR="7BD32A79">
        <w:t xml:space="preserve"> SDG&amp;E</w:t>
      </w:r>
      <w:r w:rsidR="00B9019D">
        <w:t>,</w:t>
      </w:r>
      <w:r w:rsidRPr="00BB3155" w:rsidR="7BD32A79">
        <w:t xml:space="preserve"> </w:t>
      </w:r>
      <w:r w:rsidRPr="00BB3155" w:rsidR="3D9A5270">
        <w:t>EDF</w:t>
      </w:r>
      <w:r w:rsidR="00B9019D">
        <w:t>,</w:t>
      </w:r>
      <w:r w:rsidRPr="00BB3155" w:rsidR="3D9A5270">
        <w:t xml:space="preserve"> CALSSA</w:t>
      </w:r>
      <w:r w:rsidR="00B9019D">
        <w:t>,</w:t>
      </w:r>
      <w:r w:rsidRPr="00BB3155" w:rsidR="3D9A5270">
        <w:t xml:space="preserve"> Clean Coalition</w:t>
      </w:r>
      <w:r w:rsidR="00B9019D">
        <w:t>,</w:t>
      </w:r>
      <w:r w:rsidRPr="00BB3155" w:rsidR="3D9A5270">
        <w:t xml:space="preserve"> SCE</w:t>
      </w:r>
      <w:r w:rsidR="00B9019D">
        <w:t>,</w:t>
      </w:r>
      <w:r w:rsidRPr="00BB3155" w:rsidR="3D9A5270">
        <w:t xml:space="preserve"> CBD</w:t>
      </w:r>
      <w:r w:rsidR="00B9019D">
        <w:t>,</w:t>
      </w:r>
      <w:r w:rsidRPr="00BB3155" w:rsidR="3D9A5270">
        <w:t xml:space="preserve"> Weave Grid</w:t>
      </w:r>
      <w:r w:rsidR="00B9019D">
        <w:t>,</w:t>
      </w:r>
      <w:r w:rsidRPr="00BB3155" w:rsidR="3D9A5270">
        <w:t xml:space="preserve"> Universal Devices</w:t>
      </w:r>
      <w:r w:rsidR="00B9019D">
        <w:t>,</w:t>
      </w:r>
      <w:r w:rsidRPr="00BB3155" w:rsidR="3D9A5270">
        <w:t xml:space="preserve"> </w:t>
      </w:r>
      <w:r w:rsidRPr="00BB3155" w:rsidR="7FA3EABC">
        <w:t>California Energy Storage Alliance (CESA)</w:t>
      </w:r>
      <w:r w:rsidR="00B9019D">
        <w:t>,</w:t>
      </w:r>
      <w:r w:rsidRPr="00BB3155" w:rsidR="7FA3EABC">
        <w:t xml:space="preserve"> </w:t>
      </w:r>
      <w:r w:rsidRPr="00BB3155" w:rsidR="76F88F0E">
        <w:t>A</w:t>
      </w:r>
      <w:r w:rsidR="008A7AC3">
        <w:t>EU</w:t>
      </w:r>
      <w:r w:rsidR="00B9019D">
        <w:t>,</w:t>
      </w:r>
      <w:r w:rsidRPr="00BB3155" w:rsidR="76F88F0E">
        <w:t xml:space="preserve"> UCAN</w:t>
      </w:r>
      <w:r w:rsidR="00B9019D">
        <w:t>,</w:t>
      </w:r>
      <w:r w:rsidRPr="00BB3155" w:rsidR="76F88F0E">
        <w:t xml:space="preserve"> </w:t>
      </w:r>
      <w:r w:rsidRPr="00BB3155" w:rsidR="01C64CDE">
        <w:t xml:space="preserve">and </w:t>
      </w:r>
      <w:r w:rsidRPr="00BB3155" w:rsidR="7C499059">
        <w:t>Cal Advocates</w:t>
      </w:r>
      <w:r w:rsidRPr="00BB3155" w:rsidR="3D9A5270">
        <w:t xml:space="preserve"> </w:t>
      </w:r>
      <w:r w:rsidRPr="00BB3155">
        <w:t>filed opening comments in response to the July 9 Ruling.</w:t>
      </w:r>
      <w:r w:rsidR="00650B02">
        <w:t xml:space="preserve"> On July 31, 2026, </w:t>
      </w:r>
      <w:r w:rsidR="008E360B">
        <w:t>SBUA</w:t>
      </w:r>
      <w:r w:rsidR="00B9019D">
        <w:t>,</w:t>
      </w:r>
      <w:r w:rsidR="008E360B">
        <w:t xml:space="preserve"> SCE</w:t>
      </w:r>
      <w:r w:rsidR="00B9019D">
        <w:t>,</w:t>
      </w:r>
      <w:r w:rsidR="008E360B">
        <w:t xml:space="preserve"> CA Efficiency + Demand Management Council</w:t>
      </w:r>
      <w:r w:rsidR="00B9019D">
        <w:t>,</w:t>
      </w:r>
      <w:r w:rsidR="008E360B">
        <w:t xml:space="preserve"> EDF</w:t>
      </w:r>
      <w:r w:rsidR="00B9019D">
        <w:t>,</w:t>
      </w:r>
      <w:r w:rsidR="008E360B">
        <w:t xml:space="preserve"> Weave Grid</w:t>
      </w:r>
      <w:r w:rsidR="00B9019D">
        <w:t>,</w:t>
      </w:r>
      <w:r w:rsidR="008E360B">
        <w:t xml:space="preserve"> CBD</w:t>
      </w:r>
      <w:r w:rsidR="00B9019D">
        <w:t>,</w:t>
      </w:r>
      <w:r w:rsidR="008E360B">
        <w:t xml:space="preserve"> SDG&amp;E</w:t>
      </w:r>
      <w:r w:rsidR="00B9019D">
        <w:t>,</w:t>
      </w:r>
      <w:r w:rsidR="008E360B">
        <w:t xml:space="preserve"> Clean Coalition</w:t>
      </w:r>
      <w:r w:rsidR="00B9019D">
        <w:t>,</w:t>
      </w:r>
      <w:r w:rsidR="008E360B">
        <w:t xml:space="preserve"> CalCCA</w:t>
      </w:r>
      <w:r w:rsidR="00B9019D">
        <w:t>,</w:t>
      </w:r>
      <w:r w:rsidR="008E360B">
        <w:t xml:space="preserve"> </w:t>
      </w:r>
      <w:r w:rsidR="004840AE">
        <w:t>CALSSA</w:t>
      </w:r>
      <w:r w:rsidR="00B9019D">
        <w:t>,</w:t>
      </w:r>
      <w:r w:rsidR="004840AE">
        <w:t xml:space="preserve"> </w:t>
      </w:r>
      <w:r w:rsidR="008201F4">
        <w:t xml:space="preserve">and </w:t>
      </w:r>
      <w:r w:rsidR="004840AE">
        <w:t>PG&amp;E</w:t>
      </w:r>
      <w:r w:rsidR="00940F72">
        <w:t xml:space="preserve"> filed reply comments </w:t>
      </w:r>
      <w:r w:rsidR="00E66D45">
        <w:t>in response to the July 9 Ruling.</w:t>
      </w:r>
    </w:p>
    <w:p w:rsidR="00683B2C" w:rsidP="0059657A" w:rsidRDefault="00FF370B" w14:paraId="67A6A137" w14:textId="5B9FBBB4">
      <w:pPr>
        <w:pStyle w:val="Heading2"/>
      </w:pPr>
      <w:r>
        <w:lastRenderedPageBreak/>
        <w:t xml:space="preserve">A procedural email sent by the assigned ALJ on September 28, </w:t>
      </w:r>
      <w:proofErr w:type="gramStart"/>
      <w:r>
        <w:t>2026</w:t>
      </w:r>
      <w:proofErr w:type="gramEnd"/>
      <w:r>
        <w:t xml:space="preserve"> set a due date for opening comments on the proposed decision for October 19, </w:t>
      </w:r>
      <w:proofErr w:type="gramStart"/>
      <w:r>
        <w:t>2026</w:t>
      </w:r>
      <w:proofErr w:type="gramEnd"/>
      <w:r>
        <w:t xml:space="preserve"> and set a due date for </w:t>
      </w:r>
      <w:proofErr w:type="gramStart"/>
      <w:r>
        <w:t>reply</w:t>
      </w:r>
      <w:proofErr w:type="gramEnd"/>
      <w:r>
        <w:t xml:space="preserve"> comments on the proposed decision for October 26, 2026. </w:t>
      </w:r>
      <w:bookmarkStart w:name="_Toc1411152916" w:id="17"/>
      <w:bookmarkStart w:name="_Toc243991434" w:id="18"/>
      <w:r w:rsidR="00683B2C">
        <w:t>Submission Date</w:t>
      </w:r>
      <w:bookmarkEnd w:id="17"/>
      <w:bookmarkEnd w:id="18"/>
    </w:p>
    <w:p w:rsidR="000A7CD7" w:rsidP="00E44872" w:rsidRDefault="000A7CD7" w14:paraId="504E2B09" w14:textId="64C50434">
      <w:pPr>
        <w:pStyle w:val="Standard"/>
      </w:pPr>
      <w:r w:rsidRPr="000A7CD7">
        <w:t>Th</w:t>
      </w:r>
      <w:r w:rsidR="001E4F47">
        <w:t>e</w:t>
      </w:r>
      <w:r w:rsidRPr="000A7CD7">
        <w:t xml:space="preserve"> matter </w:t>
      </w:r>
      <w:r w:rsidR="001E4F47">
        <w:t xml:space="preserve">on Track </w:t>
      </w:r>
      <w:r w:rsidR="00AC039E">
        <w:t xml:space="preserve">1 and </w:t>
      </w:r>
      <w:r w:rsidR="001E4F47">
        <w:t xml:space="preserve">2 issues </w:t>
      </w:r>
      <w:r w:rsidRPr="000A7CD7">
        <w:t>was submitted on </w:t>
      </w:r>
      <w:r w:rsidR="009C6B01">
        <w:t xml:space="preserve">July 31, 2026 </w:t>
      </w:r>
      <w:r w:rsidRPr="000A7CD7">
        <w:t xml:space="preserve">upon receipt </w:t>
      </w:r>
      <w:r w:rsidR="00E44872">
        <w:t>o</w:t>
      </w:r>
      <w:r w:rsidRPr="000A7CD7">
        <w:t>f reply </w:t>
      </w:r>
      <w:r w:rsidR="009C6B01">
        <w:t>comments in response to the July 9 Ruling</w:t>
      </w:r>
      <w:r w:rsidRPr="000A7CD7">
        <w:t>.</w:t>
      </w:r>
    </w:p>
    <w:p w:rsidR="005A148C" w:rsidP="0059657A" w:rsidRDefault="005939A5" w14:paraId="4897524E" w14:textId="77777777">
      <w:pPr>
        <w:pStyle w:val="Heading1"/>
      </w:pPr>
      <w:bookmarkStart w:name="_Toc8123719" w:id="19"/>
      <w:bookmarkStart w:name="_Toc161207529" w:id="20"/>
      <w:bookmarkStart w:name="_Toc243991435" w:id="21"/>
      <w:r>
        <w:t xml:space="preserve">Issues Before the </w:t>
      </w:r>
      <w:bookmarkEnd w:id="19"/>
      <w:r w:rsidR="008A08BF">
        <w:t>Commission</w:t>
      </w:r>
      <w:bookmarkEnd w:id="20"/>
      <w:bookmarkEnd w:id="21"/>
    </w:p>
    <w:p w:rsidR="005A7A3D" w:rsidP="00CE3C85" w:rsidRDefault="000C05A3" w14:paraId="77C328EB" w14:textId="0A0D51D4">
      <w:pPr>
        <w:pStyle w:val="Standard"/>
        <w:rPr>
          <w:szCs w:val="26"/>
        </w:rPr>
      </w:pPr>
      <w:bookmarkStart w:name="_Toc8123720" w:id="22"/>
      <w:r>
        <w:rPr>
          <w:szCs w:val="26"/>
        </w:rPr>
        <w:t>The Track 2 issues</w:t>
      </w:r>
      <w:r w:rsidR="00CE3C85">
        <w:rPr>
          <w:szCs w:val="26"/>
        </w:rPr>
        <w:t xml:space="preserve"> </w:t>
      </w:r>
      <w:r w:rsidR="00EF310A">
        <w:rPr>
          <w:szCs w:val="26"/>
        </w:rPr>
        <w:t>before the Commission</w:t>
      </w:r>
      <w:r w:rsidR="000F0926">
        <w:rPr>
          <w:szCs w:val="26"/>
        </w:rPr>
        <w:t xml:space="preserve"> </w:t>
      </w:r>
      <w:r w:rsidR="00EF310A">
        <w:rPr>
          <w:szCs w:val="26"/>
        </w:rPr>
        <w:t>are as follows</w:t>
      </w:r>
      <w:r w:rsidR="0010078B">
        <w:rPr>
          <w:szCs w:val="26"/>
        </w:rPr>
        <w:t>:</w:t>
      </w:r>
    </w:p>
    <w:p w:rsidRPr="0059657A" w:rsidR="00FB10AE" w:rsidP="0059657A" w:rsidRDefault="000763CC" w14:paraId="40F76CCA" w14:textId="242292BD">
      <w:pPr>
        <w:pStyle w:val="Standard"/>
        <w:numPr>
          <w:ilvl w:val="0"/>
          <w:numId w:val="28"/>
        </w:numPr>
        <w:spacing w:after="120" w:line="240" w:lineRule="auto"/>
        <w:ind w:left="1080" w:right="1440"/>
        <w:rPr>
          <w:szCs w:val="26"/>
        </w:rPr>
      </w:pPr>
      <w:r w:rsidRPr="000763CC">
        <w:rPr>
          <w:szCs w:val="26"/>
        </w:rPr>
        <w:t xml:space="preserve">What are the operational needs necessary to efficiently operate a high DER grid, unlock economic opportunities for DERs to provide grid services, limit market power, reduce ratepayer costs, increase equity, support grid resiliency, and meet State policy objectives? </w:t>
      </w:r>
    </w:p>
    <w:p w:rsidRPr="00614F00" w:rsidR="000763CC" w:rsidP="00923DDB" w:rsidRDefault="000763CC" w14:paraId="1A7BDE3A" w14:textId="263D65AC">
      <w:pPr>
        <w:pStyle w:val="Standard"/>
        <w:numPr>
          <w:ilvl w:val="0"/>
          <w:numId w:val="28"/>
        </w:numPr>
        <w:spacing w:after="120" w:line="240" w:lineRule="auto"/>
        <w:ind w:left="1080" w:right="1440"/>
        <w:rPr>
          <w:szCs w:val="26"/>
        </w:rPr>
      </w:pPr>
      <w:r w:rsidRPr="000763CC">
        <w:rPr>
          <w:szCs w:val="26"/>
        </w:rPr>
        <w:t>What are the existing gaps and barriers in achieving the needs identified above within our current Distribution System Operator</w:t>
      </w:r>
      <w:r w:rsidR="008A6506">
        <w:rPr>
          <w:szCs w:val="26"/>
        </w:rPr>
        <w:t>s</w:t>
      </w:r>
      <w:r w:rsidRPr="000763CC">
        <w:rPr>
          <w:szCs w:val="26"/>
        </w:rPr>
        <w:t>? What are the potential solutions in overcoming these barriers?</w:t>
      </w:r>
    </w:p>
    <w:p w:rsidR="00AA68E5" w:rsidP="00D55B4C" w:rsidRDefault="00494B2C" w14:paraId="5B323EAE" w14:textId="452719CB">
      <w:pPr>
        <w:pStyle w:val="Standard"/>
      </w:pPr>
      <w:r>
        <w:t xml:space="preserve">The </w:t>
      </w:r>
      <w:r w:rsidR="006B0DA8">
        <w:t xml:space="preserve">Track 1 issue </w:t>
      </w:r>
      <w:r w:rsidR="00D66FA8">
        <w:t>addressed in this decision is</w:t>
      </w:r>
      <w:r w:rsidR="002A5AC5">
        <w:t xml:space="preserve"> the</w:t>
      </w:r>
      <w:r w:rsidR="00D66FA8">
        <w:t xml:space="preserve"> follow</w:t>
      </w:r>
      <w:r w:rsidR="002A5AC5">
        <w:t>ing</w:t>
      </w:r>
      <w:r w:rsidR="00B14383">
        <w:t>:</w:t>
      </w:r>
    </w:p>
    <w:p w:rsidRPr="0091260B" w:rsidR="004D0658" w:rsidP="00923DDB" w:rsidRDefault="00CC1DE3" w14:paraId="12205384" w14:textId="7E83EE29">
      <w:pPr>
        <w:pStyle w:val="Standard"/>
        <w:numPr>
          <w:ilvl w:val="0"/>
          <w:numId w:val="69"/>
        </w:numPr>
        <w:spacing w:after="120" w:line="240" w:lineRule="auto"/>
        <w:ind w:left="1080" w:right="1440"/>
        <w:rPr>
          <w:szCs w:val="26"/>
        </w:rPr>
      </w:pPr>
      <w:r w:rsidRPr="00CC1DE3">
        <w:rPr>
          <w:szCs w:val="26"/>
        </w:rPr>
        <w:t>Track 1, Phase 2, Issue 1</w:t>
      </w:r>
      <w:r>
        <w:rPr>
          <w:szCs w:val="26"/>
        </w:rPr>
        <w:t xml:space="preserve">: </w:t>
      </w:r>
      <w:r w:rsidR="00D06DC3">
        <w:t>How should Utilities better integrate DERs into their standard annual DP</w:t>
      </w:r>
      <w:r w:rsidR="00A14929">
        <w:t>E</w:t>
      </w:r>
      <w:r w:rsidR="00D06DC3">
        <w:t>P? How should the Utility DP</w:t>
      </w:r>
      <w:r w:rsidR="00A14929">
        <w:t>E</w:t>
      </w:r>
      <w:r w:rsidR="00D06DC3">
        <w:t>Ps improve to provide transparency, capture additional value from DERs, and optimize DER siting?</w:t>
      </w:r>
    </w:p>
    <w:p w:rsidRPr="0091260B" w:rsidR="0091260B" w:rsidP="0059657A" w:rsidRDefault="0091260B" w14:paraId="00C65212" w14:textId="33DD3FA4">
      <w:pPr>
        <w:pStyle w:val="Standard"/>
      </w:pPr>
      <w:r>
        <w:t xml:space="preserve">This decision addresses </w:t>
      </w:r>
      <w:r w:rsidR="008B5927">
        <w:t xml:space="preserve">the </w:t>
      </w:r>
      <w:r>
        <w:t>Track 1 and Track 2 issues</w:t>
      </w:r>
      <w:r w:rsidR="001401EB">
        <w:t xml:space="preserve"> listed above</w:t>
      </w:r>
      <w:r>
        <w:t>. This proceeding remains open to address</w:t>
      </w:r>
      <w:r w:rsidR="00A16D5E">
        <w:t xml:space="preserve"> </w:t>
      </w:r>
      <w:r>
        <w:t>Track 3 issues.</w:t>
      </w:r>
    </w:p>
    <w:p w:rsidR="005939A5" w:rsidP="0059657A" w:rsidRDefault="00361AFA" w14:paraId="7ED2917C" w14:textId="5C3F8A17">
      <w:pPr>
        <w:pStyle w:val="Heading1"/>
      </w:pPr>
      <w:bookmarkStart w:name="_Toc1210149806" w:id="23"/>
      <w:bookmarkStart w:name="_Toc243991436" w:id="24"/>
      <w:bookmarkEnd w:id="22"/>
      <w:r>
        <w:t>Primary Grid Constraints and Objectives</w:t>
      </w:r>
      <w:r w:rsidR="001D2A0A">
        <w:t xml:space="preserve"> of DER Orchestration</w:t>
      </w:r>
      <w:bookmarkEnd w:id="23"/>
      <w:bookmarkEnd w:id="24"/>
    </w:p>
    <w:p w:rsidR="0424C190" w:rsidP="5254A401" w:rsidRDefault="0424C190" w14:paraId="714B0979" w14:textId="218ED62B">
      <w:pPr>
        <w:pStyle w:val="Standard"/>
      </w:pPr>
      <w:r w:rsidRPr="00FC3594">
        <w:t xml:space="preserve">The March 23 Ruling asked parties </w:t>
      </w:r>
      <w:r w:rsidR="000E1250">
        <w:t xml:space="preserve">to comment on </w:t>
      </w:r>
      <w:r w:rsidRPr="00FC3594">
        <w:t>what the primary objectives of IOU DSO-led DER orchestration should be, wh</w:t>
      </w:r>
      <w:r w:rsidR="006B0DA8">
        <w:t>ich</w:t>
      </w:r>
      <w:r w:rsidRPr="00FC3594">
        <w:t xml:space="preserve"> primary grid constraints could be solved</w:t>
      </w:r>
      <w:r w:rsidRPr="00FC3594" w:rsidR="555E1331">
        <w:t>, and wh</w:t>
      </w:r>
      <w:r w:rsidR="006B0DA8">
        <w:t>ich</w:t>
      </w:r>
      <w:r w:rsidRPr="00FC3594" w:rsidR="555E1331">
        <w:t xml:space="preserve"> operational improvements could be created through a utility DSO-led DER orchestration framework</w:t>
      </w:r>
      <w:r w:rsidR="00E54263">
        <w:t>.</w:t>
      </w:r>
      <w:r w:rsidR="00C41678">
        <w:t xml:space="preserve"> The purpose of </w:t>
      </w:r>
      <w:r w:rsidR="00C41678">
        <w:lastRenderedPageBreak/>
        <w:t xml:space="preserve">these questions is to create early alignment between parties on the goals of DER orchestration before IOUs prepare </w:t>
      </w:r>
      <w:r w:rsidR="00907387">
        <w:t>formal applications.</w:t>
      </w:r>
    </w:p>
    <w:p w:rsidRPr="00D20967" w:rsidR="00FB10AE" w:rsidP="00FB10AE" w:rsidRDefault="00FB10AE" w14:paraId="4D1AF38B" w14:textId="77777777">
      <w:pPr>
        <w:pStyle w:val="Heading2"/>
      </w:pPr>
      <w:bookmarkStart w:name="_Toc1826160172" w:id="25"/>
      <w:bookmarkStart w:name="_Toc243991437" w:id="26"/>
      <w:r>
        <w:t>Primary Objectives</w:t>
      </w:r>
      <w:bookmarkEnd w:id="25"/>
      <w:bookmarkEnd w:id="26"/>
    </w:p>
    <w:p w:rsidRPr="00FC3594" w:rsidR="00DD5C53" w:rsidP="009021FD" w:rsidRDefault="00FB10AE" w14:paraId="185C6AB7" w14:textId="1381517A">
      <w:pPr>
        <w:pStyle w:val="Standard"/>
      </w:pPr>
      <w:r w:rsidRPr="00FC3594">
        <w:t>Numerous parties urged that ratepayer benefits and affordability should be primary objectives of DER orchestration.</w:t>
      </w:r>
      <w:r w:rsidRPr="00FC3594">
        <w:rPr>
          <w:rStyle w:val="FootnoteReference"/>
        </w:rPr>
        <w:footnoteReference w:id="20"/>
      </w:r>
      <w:r w:rsidRPr="00FC3594">
        <w:t xml:space="preserve"> PG&amp;E and EDF state that DER orchestration should enable DERs to put downward pressure on electric utility rates.</w:t>
      </w:r>
      <w:r w:rsidRPr="00FC3594">
        <w:rPr>
          <w:rStyle w:val="FootnoteReference"/>
        </w:rPr>
        <w:footnoteReference w:id="21"/>
      </w:r>
      <w:r>
        <w:t xml:space="preserve"> </w:t>
      </w:r>
      <w:r w:rsidRPr="00FC3594" w:rsidR="00C96F3A">
        <w:t xml:space="preserve">CalCCA includes societal and equity </w:t>
      </w:r>
      <w:r w:rsidRPr="00FC3594" w:rsidR="002A1563">
        <w:t>benefits for ratepayers</w:t>
      </w:r>
      <w:r w:rsidRPr="00FC3594" w:rsidR="007E7B49">
        <w:t xml:space="preserve"> as primary objectives</w:t>
      </w:r>
      <w:r w:rsidRPr="00FC3594" w:rsidR="00A90683">
        <w:t xml:space="preserve"> </w:t>
      </w:r>
      <w:r w:rsidR="00104CCE">
        <w:t xml:space="preserve">of DER orchestration </w:t>
      </w:r>
      <w:r w:rsidRPr="00FC3594" w:rsidR="00A90683">
        <w:t>alongside economic benefits</w:t>
      </w:r>
      <w:r w:rsidRPr="00FC3594" w:rsidR="007E7B49">
        <w:t>.</w:t>
      </w:r>
      <w:r w:rsidRPr="00FC3594" w:rsidR="009B69ED">
        <w:rPr>
          <w:rStyle w:val="FootnoteReference"/>
        </w:rPr>
        <w:footnoteReference w:id="22"/>
      </w:r>
      <w:r w:rsidRPr="00FC3594" w:rsidR="009B69ED">
        <w:t xml:space="preserve"> </w:t>
      </w:r>
      <w:r w:rsidRPr="00FC3594" w:rsidR="004B49E3">
        <w:t>C</w:t>
      </w:r>
      <w:r w:rsidRPr="00FC3594" w:rsidR="00CD0F4B">
        <w:t>al Advocates</w:t>
      </w:r>
      <w:r w:rsidR="00B9019D">
        <w:t>,</w:t>
      </w:r>
      <w:r w:rsidRPr="00FC3594" w:rsidR="00D972D1">
        <w:t xml:space="preserve"> A</w:t>
      </w:r>
      <w:r w:rsidR="00F23F86">
        <w:t>EU</w:t>
      </w:r>
      <w:r w:rsidR="00B9019D">
        <w:t>,</w:t>
      </w:r>
      <w:r w:rsidRPr="00FC3594" w:rsidR="00D972D1">
        <w:t xml:space="preserve"> </w:t>
      </w:r>
      <w:r w:rsidRPr="00FC3594" w:rsidR="00850AF8">
        <w:t>PG&amp;E</w:t>
      </w:r>
      <w:r w:rsidR="00B9019D">
        <w:t>,</w:t>
      </w:r>
      <w:r w:rsidRPr="00FC3594" w:rsidR="00850AF8">
        <w:t xml:space="preserve"> </w:t>
      </w:r>
      <w:r w:rsidRPr="00FC3594" w:rsidR="00447292">
        <w:t>CAISO</w:t>
      </w:r>
      <w:r w:rsidR="008B2D32">
        <w:t>,</w:t>
      </w:r>
      <w:r w:rsidRPr="00FC3594" w:rsidR="00447292">
        <w:t xml:space="preserve"> and Universal Devices </w:t>
      </w:r>
      <w:r w:rsidRPr="00FC3594" w:rsidR="00B8476C">
        <w:t>support operational cost reductions</w:t>
      </w:r>
      <w:r w:rsidRPr="00FC3594" w:rsidR="00902843">
        <w:t xml:space="preserve"> </w:t>
      </w:r>
      <w:r w:rsidRPr="00FC3594" w:rsidR="0083246C">
        <w:t>as a goal of DER orchestration.</w:t>
      </w:r>
      <w:r w:rsidRPr="00FC3594" w:rsidR="00793682">
        <w:rPr>
          <w:rStyle w:val="FootnoteReference"/>
        </w:rPr>
        <w:footnoteReference w:id="23"/>
      </w:r>
      <w:r w:rsidRPr="00FC3594" w:rsidR="00B53F9B">
        <w:t xml:space="preserve"> </w:t>
      </w:r>
      <w:r w:rsidRPr="00FC3594" w:rsidR="00D73D6A">
        <w:t xml:space="preserve">For example, </w:t>
      </w:r>
      <w:r w:rsidRPr="00FC3594" w:rsidR="00933E5C">
        <w:t xml:space="preserve">Cal Advocates </w:t>
      </w:r>
      <w:r w:rsidR="0069652E">
        <w:t>explains that DER orchestration could reduce operational costs through increased utilization of existing distribution capacity and deferral of traditional infrastructure upgrades.</w:t>
      </w:r>
      <w:r w:rsidRPr="00FC3594" w:rsidR="00700FAE">
        <w:rPr>
          <w:rStyle w:val="FootnoteReference"/>
        </w:rPr>
        <w:footnoteReference w:id="24"/>
      </w:r>
    </w:p>
    <w:p w:rsidRPr="00FC3594" w:rsidR="00DD5C53" w:rsidP="00734A31" w:rsidRDefault="00DD5C53" w14:paraId="20B1E158" w14:textId="0FC6AC66">
      <w:pPr>
        <w:pStyle w:val="Standard"/>
      </w:pPr>
      <w:r w:rsidRPr="00FC3594">
        <w:lastRenderedPageBreak/>
        <w:t>PG&amp;E</w:t>
      </w:r>
      <w:r w:rsidR="00B9019D">
        <w:t>,</w:t>
      </w:r>
      <w:r w:rsidRPr="00FC3594" w:rsidR="002B513B">
        <w:t xml:space="preserve"> SCE</w:t>
      </w:r>
      <w:r w:rsidR="00B9019D">
        <w:t>,</w:t>
      </w:r>
      <w:r w:rsidRPr="00FC3594" w:rsidR="00EE3F31">
        <w:t xml:space="preserve"> SDG&amp;E</w:t>
      </w:r>
      <w:r w:rsidR="00B9019D">
        <w:t>,</w:t>
      </w:r>
      <w:r w:rsidRPr="00FC3594" w:rsidR="00FB592A">
        <w:t xml:space="preserve"> CAISO</w:t>
      </w:r>
      <w:r w:rsidR="00B9019D">
        <w:t>,</w:t>
      </w:r>
      <w:r w:rsidRPr="00FC3594" w:rsidR="1842FA4D">
        <w:t xml:space="preserve"> </w:t>
      </w:r>
      <w:r w:rsidR="0014356E">
        <w:t>Weave</w:t>
      </w:r>
      <w:r w:rsidR="00FA104F">
        <w:t xml:space="preserve"> </w:t>
      </w:r>
      <w:r w:rsidR="0014356E">
        <w:t>Grid</w:t>
      </w:r>
      <w:r w:rsidR="00B9019D">
        <w:t>,</w:t>
      </w:r>
      <w:r w:rsidR="0014356E">
        <w:t xml:space="preserve"> </w:t>
      </w:r>
      <w:r w:rsidRPr="00FC3594" w:rsidR="00734A31">
        <w:t xml:space="preserve">and </w:t>
      </w:r>
      <w:r w:rsidRPr="00FC3594" w:rsidR="1842FA4D">
        <w:t>EDF</w:t>
      </w:r>
      <w:r w:rsidRPr="00FC3594" w:rsidR="00734A31">
        <w:t xml:space="preserve"> support reliability as a primary goal of IOU-led DER orchestration.</w:t>
      </w:r>
      <w:r w:rsidRPr="00FC3594" w:rsidR="00734A31">
        <w:rPr>
          <w:rStyle w:val="FootnoteReference"/>
        </w:rPr>
        <w:footnoteReference w:id="25"/>
      </w:r>
      <w:r w:rsidRPr="00FC3594" w:rsidR="00734A31">
        <w:t xml:space="preserve"> SCE includes safety </w:t>
      </w:r>
      <w:r w:rsidRPr="00FC3594" w:rsidR="001F5E34">
        <w:t>through operational visibility as a goal</w:t>
      </w:r>
      <w:r w:rsidRPr="00FC3594" w:rsidR="00570AEF">
        <w:t>.</w:t>
      </w:r>
      <w:r w:rsidRPr="00FC3594" w:rsidR="004C00B6">
        <w:rPr>
          <w:rStyle w:val="FootnoteReference"/>
        </w:rPr>
        <w:footnoteReference w:id="26"/>
      </w:r>
      <w:r w:rsidRPr="00FC3594" w:rsidR="00FC6A20">
        <w:t xml:space="preserve"> PG&amp;E</w:t>
      </w:r>
      <w:r w:rsidR="00B9019D">
        <w:t>,</w:t>
      </w:r>
      <w:r w:rsidRPr="00FC3594" w:rsidR="00FC6A20">
        <w:t xml:space="preserve"> SCE</w:t>
      </w:r>
      <w:r w:rsidR="00B9019D">
        <w:t>,</w:t>
      </w:r>
      <w:r w:rsidRPr="00FC3594" w:rsidR="00FC6A20">
        <w:t xml:space="preserve"> CalCCA</w:t>
      </w:r>
      <w:r w:rsidR="00B9019D">
        <w:t>,</w:t>
      </w:r>
      <w:r w:rsidRPr="00FC3594" w:rsidR="00FC6A20">
        <w:t xml:space="preserve"> and </w:t>
      </w:r>
      <w:proofErr w:type="spellStart"/>
      <w:r w:rsidRPr="00FC3594" w:rsidR="00FC6A20">
        <w:t>Nexamp</w:t>
      </w:r>
      <w:proofErr w:type="spellEnd"/>
      <w:r w:rsidRPr="00FC3594" w:rsidR="000F12E0">
        <w:t xml:space="preserve"> </w:t>
      </w:r>
      <w:r w:rsidR="00A139EE">
        <w:t>list</w:t>
      </w:r>
      <w:r w:rsidRPr="00FC3594" w:rsidR="008D0A0C">
        <w:t xml:space="preserve"> accelerating customer energization</w:t>
      </w:r>
      <w:r w:rsidR="0036752C">
        <w:t xml:space="preserve">, </w:t>
      </w:r>
      <w:r w:rsidRPr="00FC3594" w:rsidR="008D0A0C">
        <w:t>or “speed to power</w:t>
      </w:r>
      <w:r w:rsidRPr="00FC3594" w:rsidR="008F6F46">
        <w:t>,”</w:t>
      </w:r>
      <w:r w:rsidRPr="00FC3594" w:rsidR="009F3C55">
        <w:t xml:space="preserve"> as another </w:t>
      </w:r>
      <w:r w:rsidRPr="00FC3594" w:rsidR="008F2671">
        <w:t xml:space="preserve">primary </w:t>
      </w:r>
      <w:r w:rsidRPr="00FC3594" w:rsidR="009F3C55">
        <w:t>goal</w:t>
      </w:r>
      <w:r w:rsidRPr="00FC3594" w:rsidR="008F2671">
        <w:t>.</w:t>
      </w:r>
      <w:r w:rsidRPr="00FC3594" w:rsidR="00FD1181">
        <w:rPr>
          <w:rStyle w:val="FootnoteReference"/>
        </w:rPr>
        <w:footnoteReference w:id="27"/>
      </w:r>
      <w:r w:rsidRPr="00FC3594" w:rsidR="00FD1181">
        <w:t xml:space="preserve"> </w:t>
      </w:r>
    </w:p>
    <w:p w:rsidRPr="00FC3594" w:rsidR="00FA226D" w:rsidP="00734A31" w:rsidRDefault="00663417" w14:paraId="71F6D070" w14:textId="12A27997">
      <w:pPr>
        <w:pStyle w:val="Standard"/>
      </w:pPr>
      <w:r w:rsidRPr="00FC3594">
        <w:t>SDG&amp;E</w:t>
      </w:r>
      <w:r w:rsidR="00B9019D">
        <w:t>,</w:t>
      </w:r>
      <w:r w:rsidRPr="00FC3594">
        <w:t xml:space="preserve"> CalCCA</w:t>
      </w:r>
      <w:r w:rsidR="00B9019D">
        <w:t>,</w:t>
      </w:r>
      <w:r w:rsidRPr="00FC3594">
        <w:t xml:space="preserve"> and 350 Bay Area state that DER orchestration should create </w:t>
      </w:r>
      <w:r w:rsidRPr="00FC3594" w:rsidR="00385F26">
        <w:t>customer and aggregator participation pathways</w:t>
      </w:r>
      <w:r w:rsidRPr="00FC3594" w:rsidR="00D034DC">
        <w:t>.</w:t>
      </w:r>
      <w:r w:rsidRPr="00FC3594" w:rsidR="00D034DC">
        <w:rPr>
          <w:rStyle w:val="FootnoteReference"/>
        </w:rPr>
        <w:footnoteReference w:id="28"/>
      </w:r>
      <w:r w:rsidRPr="00FC3594" w:rsidR="00D034DC">
        <w:t xml:space="preserve"> 350 Bay Area and </w:t>
      </w:r>
      <w:proofErr w:type="spellStart"/>
      <w:r w:rsidRPr="00FC3594" w:rsidR="00D034DC">
        <w:t>Nexamp</w:t>
      </w:r>
      <w:proofErr w:type="spellEnd"/>
      <w:r w:rsidRPr="00FC3594" w:rsidR="00D034DC">
        <w:t xml:space="preserve"> note that transparent, bankable compensation for distribution-level services </w:t>
      </w:r>
      <w:r w:rsidRPr="00FC3594" w:rsidR="00B81DB2">
        <w:t>should be a method for increasing participation.</w:t>
      </w:r>
      <w:r w:rsidRPr="00FC3594" w:rsidR="00B81DB2">
        <w:rPr>
          <w:rStyle w:val="FootnoteReference"/>
        </w:rPr>
        <w:footnoteReference w:id="29"/>
      </w:r>
      <w:r w:rsidRPr="00FC3594" w:rsidR="00B81DB2">
        <w:t xml:space="preserve"> A</w:t>
      </w:r>
      <w:r w:rsidR="00F23F86">
        <w:t>EU</w:t>
      </w:r>
      <w:r w:rsidRPr="00FC3594" w:rsidR="00B81DB2">
        <w:t xml:space="preserve"> highlights open access </w:t>
      </w:r>
      <w:r w:rsidRPr="00FC3594" w:rsidR="00B05293">
        <w:t xml:space="preserve">to the grid </w:t>
      </w:r>
      <w:r w:rsidRPr="00FC3594" w:rsidR="001A21DA">
        <w:t>to</w:t>
      </w:r>
      <w:r w:rsidRPr="00FC3594" w:rsidR="009168AB">
        <w:t xml:space="preserve"> facilitate </w:t>
      </w:r>
      <w:r w:rsidRPr="00FC3594" w:rsidR="00CE6473">
        <w:t>solutions to low-cost grid services.</w:t>
      </w:r>
      <w:r w:rsidRPr="00FC3594" w:rsidR="00CE6473">
        <w:rPr>
          <w:rStyle w:val="FootnoteReference"/>
        </w:rPr>
        <w:footnoteReference w:id="30"/>
      </w:r>
    </w:p>
    <w:p w:rsidRPr="00707C17" w:rsidR="00C925F4" w:rsidP="00707C17" w:rsidRDefault="005E0E9D" w14:paraId="7FE8E5B7" w14:textId="38EBB39F">
      <w:pPr>
        <w:pStyle w:val="Standard"/>
      </w:pPr>
      <w:r w:rsidRPr="00FC3594">
        <w:t>SDG&amp;E</w:t>
      </w:r>
      <w:r w:rsidR="00B9019D">
        <w:t>,</w:t>
      </w:r>
      <w:r w:rsidRPr="00FC3594">
        <w:t xml:space="preserve"> Universal Devices</w:t>
      </w:r>
      <w:r w:rsidR="00B9019D">
        <w:t>,</w:t>
      </w:r>
      <w:r w:rsidRPr="00FC3594">
        <w:t xml:space="preserve"> and </w:t>
      </w:r>
      <w:proofErr w:type="spellStart"/>
      <w:r w:rsidRPr="00FC3594">
        <w:t>Nexamp</w:t>
      </w:r>
      <w:proofErr w:type="spellEnd"/>
      <w:r w:rsidRPr="00FC3594">
        <w:t xml:space="preserve"> </w:t>
      </w:r>
      <w:r w:rsidRPr="00FC3594" w:rsidR="00301023">
        <w:t>support DER visibility and coordination for the DSO as a primary objective.</w:t>
      </w:r>
      <w:r w:rsidRPr="00FC3594" w:rsidR="00301023">
        <w:rPr>
          <w:rStyle w:val="FootnoteReference"/>
        </w:rPr>
        <w:footnoteReference w:id="31"/>
      </w:r>
      <w:r w:rsidRPr="00FC3594" w:rsidR="00301023">
        <w:t xml:space="preserve"> </w:t>
      </w:r>
      <w:r w:rsidRPr="00FC3594" w:rsidR="007337CA">
        <w:t xml:space="preserve">EDF and </w:t>
      </w:r>
      <w:r w:rsidRPr="00FC3594" w:rsidR="00216DE5">
        <w:t xml:space="preserve">350 Bay Area list </w:t>
      </w:r>
      <w:r w:rsidRPr="00FC3594" w:rsidR="00E15500">
        <w:t>climate goals such as sustainability and emissions reduction as primary goals.</w:t>
      </w:r>
      <w:r w:rsidRPr="00FC3594" w:rsidR="00E15500">
        <w:rPr>
          <w:rStyle w:val="FootnoteReference"/>
        </w:rPr>
        <w:footnoteReference w:id="32"/>
      </w:r>
      <w:r w:rsidRPr="00FC3594" w:rsidR="005D29A8">
        <w:t xml:space="preserve"> </w:t>
      </w:r>
      <w:r w:rsidRPr="00FC3594" w:rsidR="009B69ED">
        <w:lastRenderedPageBreak/>
        <w:t xml:space="preserve">The California Efficiency + Demand Management Council emphasizes </w:t>
      </w:r>
      <w:r w:rsidR="00073DCE">
        <w:t xml:space="preserve">that the Commission should aim </w:t>
      </w:r>
      <w:r w:rsidR="00DE0D48">
        <w:t>to coordinate</w:t>
      </w:r>
      <w:r w:rsidRPr="00FC3594" w:rsidR="00F36549">
        <w:t xml:space="preserve"> </w:t>
      </w:r>
      <w:r w:rsidRPr="00FC3594" w:rsidR="00266631">
        <w:t>related proceedings</w:t>
      </w:r>
      <w:r w:rsidRPr="00FC3594" w:rsidR="003622E0">
        <w:t xml:space="preserve">, including </w:t>
      </w:r>
      <w:r w:rsidR="000133FB">
        <w:t xml:space="preserve">those regarding </w:t>
      </w:r>
      <w:r w:rsidRPr="00FC3594" w:rsidR="00537967">
        <w:t>demand response, DER cost effectiveness, data access, and equipment performance standards.</w:t>
      </w:r>
      <w:r w:rsidRPr="00FC3594" w:rsidR="00537967">
        <w:rPr>
          <w:rStyle w:val="FootnoteReference"/>
        </w:rPr>
        <w:footnoteReference w:id="33"/>
      </w:r>
    </w:p>
    <w:p w:rsidRPr="00F677EB" w:rsidR="00353261" w:rsidP="000237D0" w:rsidRDefault="007C14EB" w14:paraId="35CC0E13" w14:textId="7625306E">
      <w:pPr>
        <w:pStyle w:val="Standard"/>
      </w:pPr>
      <w:r w:rsidRPr="00F677EB">
        <w:t xml:space="preserve">The Commission </w:t>
      </w:r>
      <w:r w:rsidRPr="00F677EB" w:rsidR="00452FD7">
        <w:t xml:space="preserve">agrees with </w:t>
      </w:r>
      <w:r w:rsidRPr="00F677EB" w:rsidR="00465076">
        <w:t xml:space="preserve">parties that </w:t>
      </w:r>
      <w:r w:rsidR="00497ECD">
        <w:t xml:space="preserve">net </w:t>
      </w:r>
      <w:r w:rsidR="00586208">
        <w:t>ratepayer</w:t>
      </w:r>
      <w:r w:rsidRPr="00F677EB" w:rsidR="00586208">
        <w:t xml:space="preserve"> benefits, operational cost reductions, </w:t>
      </w:r>
      <w:r w:rsidRPr="00F677EB" w:rsidR="008B042A">
        <w:t xml:space="preserve">reliability, </w:t>
      </w:r>
      <w:r w:rsidRPr="00F677EB" w:rsidR="00B0701B">
        <w:t>customer and aggregator participation</w:t>
      </w:r>
      <w:r w:rsidR="00F23F86">
        <w:t>,</w:t>
      </w:r>
      <w:r w:rsidRPr="00F677EB" w:rsidR="00B0701B">
        <w:t xml:space="preserve"> </w:t>
      </w:r>
      <w:r w:rsidRPr="00F677EB" w:rsidR="00183C8F">
        <w:t>and</w:t>
      </w:r>
      <w:r w:rsidRPr="00F677EB" w:rsidR="00A77266">
        <w:t xml:space="preserve"> </w:t>
      </w:r>
      <w:r w:rsidRPr="00F677EB" w:rsidR="0035706D">
        <w:t xml:space="preserve">emissions reduction </w:t>
      </w:r>
      <w:r w:rsidRPr="00F677EB" w:rsidR="003259B0">
        <w:t xml:space="preserve">should be </w:t>
      </w:r>
      <w:r w:rsidR="6D14CA01">
        <w:t>some of</w:t>
      </w:r>
      <w:r w:rsidR="003259B0">
        <w:t xml:space="preserve"> the</w:t>
      </w:r>
      <w:r w:rsidR="7E86B1EE">
        <w:t xml:space="preserve"> </w:t>
      </w:r>
      <w:r w:rsidRPr="00F677EB" w:rsidR="003259B0">
        <w:t>objectives of DER orchestration.</w:t>
      </w:r>
      <w:r w:rsidR="000237D0">
        <w:t xml:space="preserve"> </w:t>
      </w:r>
      <w:r w:rsidR="46E7A97F">
        <w:t>Speed</w:t>
      </w:r>
      <w:r w:rsidR="007A6563">
        <w:t>-</w:t>
      </w:r>
      <w:r w:rsidR="46E7A97F">
        <w:t>to</w:t>
      </w:r>
      <w:r w:rsidR="007A6563">
        <w:t>-</w:t>
      </w:r>
      <w:r w:rsidR="46E7A97F">
        <w:t xml:space="preserve">power issues are being addressed in Track </w:t>
      </w:r>
      <w:r w:rsidR="006646E0">
        <w:t>3</w:t>
      </w:r>
      <w:r w:rsidR="46E7A97F">
        <w:t xml:space="preserve"> on Flexible Connections and in the Energization proceeding</w:t>
      </w:r>
      <w:r w:rsidR="00F23F86">
        <w:t xml:space="preserve"> R.24-01-018</w:t>
      </w:r>
      <w:r w:rsidR="46E7A97F">
        <w:t xml:space="preserve">. </w:t>
      </w:r>
      <w:r w:rsidR="68ED5172">
        <w:t>Aggregator pathway objective</w:t>
      </w:r>
      <w:r w:rsidR="002D319E">
        <w:t>s</w:t>
      </w:r>
      <w:r w:rsidR="68ED5172">
        <w:t xml:space="preserve"> of DER Orchestration</w:t>
      </w:r>
      <w:r w:rsidR="002D319E">
        <w:t xml:space="preserve"> are intended to promote a</w:t>
      </w:r>
      <w:r w:rsidR="68ED5172">
        <w:t xml:space="preserve"> </w:t>
      </w:r>
      <w:r w:rsidR="01E10ECB">
        <w:t>means to support the objectives d</w:t>
      </w:r>
      <w:r w:rsidR="0956F187">
        <w:t>iscussed further in Section</w:t>
      </w:r>
      <w:r w:rsidR="3218D5B9">
        <w:t xml:space="preserve"> 6.2 </w:t>
      </w:r>
      <w:r w:rsidR="00904B9A">
        <w:t xml:space="preserve">below. </w:t>
      </w:r>
      <w:r w:rsidR="2951280E">
        <w:t>As</w:t>
      </w:r>
      <w:r w:rsidR="00E835FF">
        <w:t xml:space="preserve"> stated in the O</w:t>
      </w:r>
      <w:r w:rsidR="00A24902">
        <w:t>IR</w:t>
      </w:r>
      <w:r w:rsidR="00E835FF">
        <w:t xml:space="preserve"> of this proceeding, “a</w:t>
      </w:r>
      <w:r w:rsidRPr="00E835FF" w:rsidR="00E835FF">
        <w:t xml:space="preserve"> great deal of work remains to ensure the grid can efficiently and cost effectively support the growth of DERs</w:t>
      </w:r>
      <w:r w:rsidR="00E835FF">
        <w:t>.”</w:t>
      </w:r>
      <w:r w:rsidR="00E835FF">
        <w:rPr>
          <w:rStyle w:val="FootnoteReference"/>
        </w:rPr>
        <w:footnoteReference w:id="34"/>
      </w:r>
      <w:r w:rsidR="00E835FF">
        <w:t xml:space="preserve"> The identified objectives </w:t>
      </w:r>
      <w:r w:rsidR="00D344B6">
        <w:t xml:space="preserve">will </w:t>
      </w:r>
      <w:r w:rsidR="00E835FF">
        <w:t xml:space="preserve">advance efficiency and cost-effectiveness in integrating DERs into the overall electricity grid and will necessarily involve quicker energization and speed-to-power processes, as identified by </w:t>
      </w:r>
      <w:r w:rsidRPr="00FC3594" w:rsidR="00E835FF">
        <w:t>PG&amp;E</w:t>
      </w:r>
      <w:r w:rsidR="00E835FF">
        <w:t>,</w:t>
      </w:r>
      <w:r w:rsidRPr="00FC3594" w:rsidR="00E835FF">
        <w:t xml:space="preserve"> SCE</w:t>
      </w:r>
      <w:r w:rsidR="00E835FF">
        <w:t>,</w:t>
      </w:r>
      <w:r w:rsidRPr="00FC3594" w:rsidR="00E835FF">
        <w:t xml:space="preserve"> CalCCA</w:t>
      </w:r>
      <w:r w:rsidR="00E835FF">
        <w:t>,</w:t>
      </w:r>
      <w:r w:rsidRPr="00FC3594" w:rsidR="00E835FF">
        <w:t xml:space="preserve"> and </w:t>
      </w:r>
      <w:proofErr w:type="spellStart"/>
      <w:r w:rsidRPr="00FC3594" w:rsidR="00E835FF">
        <w:t>Nexamp</w:t>
      </w:r>
      <w:proofErr w:type="spellEnd"/>
      <w:r w:rsidR="00E835FF">
        <w:t xml:space="preserve">, as well as a more reliable grid, as highlighted by </w:t>
      </w:r>
      <w:r w:rsidRPr="00FC3594" w:rsidR="00E835FF">
        <w:t>PG&amp;E</w:t>
      </w:r>
      <w:r w:rsidR="00E835FF">
        <w:t>,</w:t>
      </w:r>
      <w:r w:rsidRPr="00FC3594" w:rsidR="00E835FF">
        <w:t xml:space="preserve"> SCE</w:t>
      </w:r>
      <w:r w:rsidR="00E835FF">
        <w:t>,</w:t>
      </w:r>
      <w:r w:rsidRPr="00FC3594" w:rsidR="00E835FF">
        <w:t xml:space="preserve"> SDG&amp;E</w:t>
      </w:r>
      <w:r w:rsidR="00E835FF">
        <w:t>,</w:t>
      </w:r>
      <w:r w:rsidRPr="00FC3594" w:rsidR="00E835FF">
        <w:t xml:space="preserve"> CAISO</w:t>
      </w:r>
      <w:r w:rsidR="00E835FF">
        <w:t>,</w:t>
      </w:r>
      <w:r w:rsidRPr="00FC3594" w:rsidR="00E835FF">
        <w:t xml:space="preserve"> </w:t>
      </w:r>
      <w:r w:rsidR="00E835FF">
        <w:t xml:space="preserve">Weave Grid, </w:t>
      </w:r>
      <w:r w:rsidRPr="00FC3594" w:rsidR="00E835FF">
        <w:t>and EDF</w:t>
      </w:r>
      <w:r w:rsidR="00E835FF">
        <w:t xml:space="preserve">. </w:t>
      </w:r>
      <w:r w:rsidR="00B10D48">
        <w:t xml:space="preserve">The </w:t>
      </w:r>
      <w:r w:rsidR="003225B0">
        <w:t>Commission agrees</w:t>
      </w:r>
      <w:r w:rsidR="00203BB8">
        <w:t xml:space="preserve"> with </w:t>
      </w:r>
      <w:r w:rsidR="00E835FF">
        <w:t xml:space="preserve">Cal Advocates’ </w:t>
      </w:r>
      <w:r w:rsidR="00203BB8">
        <w:t>position</w:t>
      </w:r>
      <w:r w:rsidR="004A7B7E">
        <w:t xml:space="preserve"> that </w:t>
      </w:r>
      <w:r w:rsidRPr="00F677EB" w:rsidR="00857E52">
        <w:t>DER orchestration should be pursued to the extent</w:t>
      </w:r>
      <w:r w:rsidR="00E835FF">
        <w:t xml:space="preserve"> that</w:t>
      </w:r>
      <w:r w:rsidRPr="00F677EB" w:rsidR="00857E52">
        <w:t xml:space="preserve"> it reduces ratepayer costs and its benefits can be measured and evaluated through successful interventions.</w:t>
      </w:r>
      <w:r w:rsidR="00E835FF">
        <w:rPr>
          <w:rStyle w:val="FootnoteReference"/>
        </w:rPr>
        <w:footnoteReference w:id="35"/>
      </w:r>
      <w:r w:rsidRPr="00F677EB" w:rsidR="00857E52">
        <w:t>  </w:t>
      </w:r>
    </w:p>
    <w:p w:rsidR="00EF4EA9" w:rsidP="0037319C" w:rsidRDefault="000A0B6B" w14:paraId="047A3697" w14:textId="5F43D960">
      <w:pPr>
        <w:pStyle w:val="Heading2"/>
      </w:pPr>
      <w:bookmarkStart w:name="_Toc911254899" w:id="27"/>
      <w:bookmarkStart w:name="_Toc243991438" w:id="28"/>
      <w:r>
        <w:lastRenderedPageBreak/>
        <w:t>Primary Grid Constraints and Operational Improvements</w:t>
      </w:r>
      <w:bookmarkEnd w:id="27"/>
      <w:bookmarkEnd w:id="28"/>
    </w:p>
    <w:p w:rsidR="0071655B" w:rsidP="00035002" w:rsidRDefault="0071655B" w14:paraId="168CC07F" w14:textId="2CE025F5">
      <w:pPr>
        <w:pStyle w:val="Standard"/>
      </w:pPr>
      <w:r>
        <w:t>The March 23 Ruling asked parties wh</w:t>
      </w:r>
      <w:r w:rsidR="008B2D32">
        <w:t>ich</w:t>
      </w:r>
      <w:r>
        <w:t xml:space="preserve"> primary grid constraints could be </w:t>
      </w:r>
      <w:r w:rsidR="001E7DCB">
        <w:t>solved,</w:t>
      </w:r>
      <w:r w:rsidR="00370EA0">
        <w:t xml:space="preserve"> and</w:t>
      </w:r>
      <w:r>
        <w:t xml:space="preserve"> </w:t>
      </w:r>
      <w:r w:rsidR="006B0B03">
        <w:t>wh</w:t>
      </w:r>
      <w:r w:rsidR="008B2D32">
        <w:t>ich</w:t>
      </w:r>
      <w:r w:rsidR="006B0B03">
        <w:t xml:space="preserve"> </w:t>
      </w:r>
      <w:r>
        <w:t xml:space="preserve">operational improvements </w:t>
      </w:r>
      <w:r w:rsidR="006B0B03">
        <w:t>could be created through implementation of a utility DSO-led DER orchestration</w:t>
      </w:r>
      <w:r w:rsidR="00620CB9">
        <w:t xml:space="preserve"> framework</w:t>
      </w:r>
      <w:r w:rsidR="006B0B03">
        <w:t>.</w:t>
      </w:r>
    </w:p>
    <w:p w:rsidR="00C52FC6" w:rsidP="00966BE5" w:rsidRDefault="0099522C" w14:paraId="54A465A4" w14:textId="51CE5631">
      <w:pPr>
        <w:pStyle w:val="Standard"/>
      </w:pPr>
      <w:r>
        <w:t xml:space="preserve">Multiple parties list overload mitigation as a primary grid constraint that could be addressed through </w:t>
      </w:r>
      <w:r w:rsidR="008B2D32">
        <w:t xml:space="preserve">DER </w:t>
      </w:r>
      <w:r>
        <w:t>orchestration.</w:t>
      </w:r>
      <w:r w:rsidR="008C6F19">
        <w:rPr>
          <w:rStyle w:val="FootnoteReference"/>
        </w:rPr>
        <w:footnoteReference w:id="36"/>
      </w:r>
      <w:r w:rsidR="00BC4C99">
        <w:t xml:space="preserve"> </w:t>
      </w:r>
      <w:r w:rsidR="00BE4973">
        <w:t xml:space="preserve">The IOUs list several distribution constraints that could be solved through DER orchestration, including </w:t>
      </w:r>
      <w:r w:rsidR="00731494">
        <w:t xml:space="preserve">thermal overloads, customer energization and interconnection delays, system peak loading, and voltage </w:t>
      </w:r>
      <w:r w:rsidR="00750052">
        <w:t>deviations.</w:t>
      </w:r>
      <w:r w:rsidR="00750052">
        <w:rPr>
          <w:rStyle w:val="FootnoteReference"/>
        </w:rPr>
        <w:footnoteReference w:id="37"/>
      </w:r>
      <w:r w:rsidR="008108CF">
        <w:t xml:space="preserve"> SCE and SDG&amp;E state that DER orchestration could help defer </w:t>
      </w:r>
      <w:r w:rsidR="00966BE5">
        <w:t>distribution investments</w:t>
      </w:r>
      <w:r w:rsidR="002C6D71">
        <w:t>.</w:t>
      </w:r>
      <w:r w:rsidR="006F0BA1">
        <w:rPr>
          <w:rStyle w:val="FootnoteReference"/>
        </w:rPr>
        <w:footnoteReference w:id="38"/>
      </w:r>
      <w:r w:rsidR="00412658">
        <w:t xml:space="preserve"> </w:t>
      </w:r>
      <w:r w:rsidR="00775A83">
        <w:t xml:space="preserve">Cal Advocates </w:t>
      </w:r>
      <w:r w:rsidR="00545E3A">
        <w:t>emphasizes</w:t>
      </w:r>
      <w:r w:rsidR="0014247D">
        <w:t xml:space="preserve"> that </w:t>
      </w:r>
      <w:r w:rsidR="00545E3A">
        <w:t xml:space="preserve">while </w:t>
      </w:r>
      <w:r w:rsidR="00A47A54">
        <w:t>D</w:t>
      </w:r>
      <w:r w:rsidR="00E415ED">
        <w:t xml:space="preserve">ER orchestration </w:t>
      </w:r>
      <w:r w:rsidR="00343D9A">
        <w:t xml:space="preserve">could help </w:t>
      </w:r>
      <w:r w:rsidR="005468CE">
        <w:t>address local distribution capacity</w:t>
      </w:r>
      <w:r w:rsidR="00D50547">
        <w:t xml:space="preserve"> constraints</w:t>
      </w:r>
      <w:r w:rsidR="00F10C77">
        <w:t>, the Commission should require proof of cost-effectiveness per use case.</w:t>
      </w:r>
      <w:r w:rsidR="00140C79">
        <w:rPr>
          <w:rStyle w:val="FootnoteReference"/>
        </w:rPr>
        <w:footnoteReference w:id="39"/>
      </w:r>
      <w:r w:rsidR="00962A8C">
        <w:t xml:space="preserve"> </w:t>
      </w:r>
      <w:r w:rsidR="00260A9A">
        <w:t xml:space="preserve">CAISO states that </w:t>
      </w:r>
      <w:r w:rsidR="0016679D">
        <w:t>DER orchestration combined with</w:t>
      </w:r>
      <w:r w:rsidR="00D156AC">
        <w:t xml:space="preserve"> CAISO coordination </w:t>
      </w:r>
      <w:r w:rsidR="00B02B33">
        <w:t xml:space="preserve">could support </w:t>
      </w:r>
      <w:r w:rsidR="007214E0">
        <w:t>enhanced demand forecasting and resilient, forward</w:t>
      </w:r>
      <w:r w:rsidR="008B2D32">
        <w:t>-</w:t>
      </w:r>
      <w:r w:rsidR="007214E0">
        <w:t>looking operations.</w:t>
      </w:r>
      <w:r w:rsidR="00FE06C2">
        <w:rPr>
          <w:rStyle w:val="FootnoteReference"/>
        </w:rPr>
        <w:footnoteReference w:id="40"/>
      </w:r>
      <w:r w:rsidR="00851F2F">
        <w:t xml:space="preserve"> Universal Devices </w:t>
      </w:r>
      <w:r w:rsidR="00897FBB">
        <w:t xml:space="preserve">highlights that </w:t>
      </w:r>
      <w:r w:rsidR="00ED1C9E">
        <w:t xml:space="preserve">constraints </w:t>
      </w:r>
      <w:r w:rsidR="00E835FF">
        <w:t>such as</w:t>
      </w:r>
      <w:r w:rsidR="00ED1C9E">
        <w:t xml:space="preserve"> </w:t>
      </w:r>
      <w:r w:rsidRPr="00DD5419" w:rsidR="00DD5419">
        <w:t>voltage deviations caused by high residential solar export</w:t>
      </w:r>
      <w:r w:rsidR="00ED1C9E">
        <w:t xml:space="preserve"> </w:t>
      </w:r>
      <w:r w:rsidR="003C7268">
        <w:t xml:space="preserve">can only be resolved if behind-the-meter (BTM) orchestration is within the </w:t>
      </w:r>
      <w:r w:rsidR="00CE10D3">
        <w:t>framework scope.</w:t>
      </w:r>
      <w:r w:rsidR="00CA440C">
        <w:rPr>
          <w:rStyle w:val="FootnoteReference"/>
        </w:rPr>
        <w:footnoteReference w:id="41"/>
      </w:r>
      <w:r w:rsidR="00F86144">
        <w:t xml:space="preserve"> </w:t>
      </w:r>
      <w:r w:rsidR="009D752F">
        <w:t>CALSSA</w:t>
      </w:r>
      <w:r w:rsidR="00885870">
        <w:t xml:space="preserve"> </w:t>
      </w:r>
      <w:r w:rsidR="00226854">
        <w:lastRenderedPageBreak/>
        <w:t>argues</w:t>
      </w:r>
      <w:r w:rsidR="001D6605">
        <w:t xml:space="preserve"> that </w:t>
      </w:r>
      <w:r w:rsidR="00226854">
        <w:t xml:space="preserve">grid construction will still need to be </w:t>
      </w:r>
      <w:r w:rsidR="00C52FC6">
        <w:t xml:space="preserve">done despite the potential of </w:t>
      </w:r>
      <w:r w:rsidR="001478AD">
        <w:t xml:space="preserve">DER orchestration </w:t>
      </w:r>
      <w:r w:rsidR="00C52FC6">
        <w:t xml:space="preserve">to </w:t>
      </w:r>
      <w:r w:rsidR="001478AD">
        <w:t xml:space="preserve">support </w:t>
      </w:r>
      <w:r w:rsidR="001D77B2">
        <w:t xml:space="preserve">thermal overload mitigation and </w:t>
      </w:r>
      <w:r w:rsidR="00FF0530">
        <w:t>reduce peak load</w:t>
      </w:r>
      <w:r w:rsidR="00510F43">
        <w:t xml:space="preserve"> growth</w:t>
      </w:r>
      <w:r w:rsidR="003B131D">
        <w:t>.</w:t>
      </w:r>
      <w:r w:rsidR="003B131D">
        <w:rPr>
          <w:rStyle w:val="FootnoteReference"/>
        </w:rPr>
        <w:footnoteReference w:id="42"/>
      </w:r>
      <w:r w:rsidR="0099179D">
        <w:t xml:space="preserve"> </w:t>
      </w:r>
    </w:p>
    <w:p w:rsidRPr="00E835FF" w:rsidR="00C94581" w:rsidP="00E835FF" w:rsidRDefault="00345F33" w14:paraId="694E6BBE" w14:textId="1ADA1FB6">
      <w:pPr>
        <w:pStyle w:val="Standard"/>
      </w:pPr>
      <w:r>
        <w:t>A</w:t>
      </w:r>
      <w:r w:rsidR="002E4F45">
        <w:t>EU</w:t>
      </w:r>
      <w:r>
        <w:t xml:space="preserve"> notes that </w:t>
      </w:r>
      <w:r w:rsidRPr="007A4559" w:rsidR="007A4559">
        <w:t xml:space="preserve">individual IOU DER </w:t>
      </w:r>
      <w:r w:rsidR="005C3154">
        <w:t>o</w:t>
      </w:r>
      <w:r w:rsidRPr="007A4559" w:rsidR="007A4559">
        <w:t xml:space="preserve">rchestration </w:t>
      </w:r>
      <w:r w:rsidR="005C3154">
        <w:t>f</w:t>
      </w:r>
      <w:r w:rsidRPr="007A4559" w:rsidR="007A4559">
        <w:t>rameworks without consistent infrastructure</w:t>
      </w:r>
      <w:r w:rsidR="00BC5F82">
        <w:t xml:space="preserve">, </w:t>
      </w:r>
      <w:r w:rsidRPr="007A4559" w:rsidR="007A4559">
        <w:t>systems, processes, and protocols threaten to limit</w:t>
      </w:r>
      <w:r w:rsidR="000665D3">
        <w:t xml:space="preserve"> </w:t>
      </w:r>
      <w:r w:rsidRPr="007A4559" w:rsidR="007A4559">
        <w:t xml:space="preserve">operational improvements and </w:t>
      </w:r>
      <w:r w:rsidR="000665D3">
        <w:t>grid</w:t>
      </w:r>
      <w:r w:rsidRPr="007A4559" w:rsidR="007A4559">
        <w:t xml:space="preserve"> constraints that may be addressed.</w:t>
      </w:r>
      <w:r w:rsidR="0097475D">
        <w:rPr>
          <w:rStyle w:val="FootnoteReference"/>
        </w:rPr>
        <w:footnoteReference w:id="43"/>
      </w:r>
    </w:p>
    <w:p w:rsidR="59AD307D" w:rsidP="59AD307D" w:rsidRDefault="459A9F22" w14:paraId="005DD80E" w14:textId="0BBFEAE5">
      <w:pPr>
        <w:pStyle w:val="Standard"/>
      </w:pPr>
      <w:r>
        <w:t>The Commission agrees with the IOUs</w:t>
      </w:r>
      <w:r w:rsidR="00CD1C46">
        <w:t xml:space="preserve">, </w:t>
      </w:r>
      <w:r>
        <w:t xml:space="preserve"> CALSSA</w:t>
      </w:r>
      <w:r w:rsidR="00CD1C46">
        <w:t xml:space="preserve">, </w:t>
      </w:r>
      <w:r w:rsidR="00553197">
        <w:t xml:space="preserve">and </w:t>
      </w:r>
      <w:proofErr w:type="spellStart"/>
      <w:r w:rsidR="00553197">
        <w:t>WeaveGrid</w:t>
      </w:r>
      <w:proofErr w:type="spellEnd"/>
      <w:r>
        <w:t xml:space="preserve"> that thermal overloads, customer energization and interconnection delays, system peak loading, </w:t>
      </w:r>
      <w:r w:rsidR="00A86C5B">
        <w:t xml:space="preserve">localized distribution-equipment loading, </w:t>
      </w:r>
      <w:r>
        <w:t xml:space="preserve">and voltage deviations </w:t>
      </w:r>
      <w:r w:rsidR="57F0DFB8">
        <w:t>are appropriate distribution-system</w:t>
      </w:r>
      <w:r>
        <w:t xml:space="preserve"> constraints </w:t>
      </w:r>
      <w:r w:rsidR="57F0DFB8">
        <w:t>for IOUs to consider addressing</w:t>
      </w:r>
      <w:r>
        <w:t xml:space="preserve"> through DER orchestration. The Commission also agrees </w:t>
      </w:r>
      <w:r w:rsidR="00884FEA">
        <w:t>with SCE and SDG&amp;E</w:t>
      </w:r>
      <w:r>
        <w:t xml:space="preserve"> that deferral</w:t>
      </w:r>
      <w:r w:rsidR="57F0DFB8">
        <w:t xml:space="preserve"> of distribution investments </w:t>
      </w:r>
      <w:r w:rsidR="00F01DCB">
        <w:t>is</w:t>
      </w:r>
      <w:r w:rsidDel="007678AE" w:rsidR="57F0DFB8">
        <w:t xml:space="preserve"> </w:t>
      </w:r>
      <w:r w:rsidR="57F0DFB8">
        <w:t>a potential operational benefit of DER orchestration</w:t>
      </w:r>
      <w:r w:rsidR="3BD4B394">
        <w:t>.</w:t>
      </w:r>
      <w:r>
        <w:t xml:space="preserve"> As discussed in more depth below, the Commission agrees with Cal Advocates that IOU DER orchestration applications should provide </w:t>
      </w:r>
      <w:r w:rsidR="0CF00392">
        <w:t xml:space="preserve">net </w:t>
      </w:r>
      <w:r w:rsidR="7EE152D6">
        <w:t>ratepayer benefits</w:t>
      </w:r>
      <w:r w:rsidR="0DFA1C2D">
        <w:t xml:space="preserve"> per use case.</w:t>
      </w:r>
    </w:p>
    <w:p w:rsidR="00335D87" w:rsidP="00335D87" w:rsidRDefault="00F76567" w14:paraId="30E54618" w14:textId="59A05004">
      <w:pPr>
        <w:pStyle w:val="Standard"/>
      </w:pPr>
      <w:r>
        <w:t xml:space="preserve">The Commission </w:t>
      </w:r>
      <w:r w:rsidR="00E835FF">
        <w:t>directs</w:t>
      </w:r>
      <w:r>
        <w:t xml:space="preserve"> </w:t>
      </w:r>
      <w:r w:rsidR="00D513EF">
        <w:t>the IOUs to</w:t>
      </w:r>
      <w:r w:rsidR="00880B7F">
        <w:t xml:space="preserve"> define</w:t>
      </w:r>
      <w:r w:rsidR="00AE51CA">
        <w:t xml:space="preserve"> </w:t>
      </w:r>
      <w:r w:rsidR="00880B7F">
        <w:t xml:space="preserve">and justify the grid services </w:t>
      </w:r>
      <w:r w:rsidR="00E835FF">
        <w:t xml:space="preserve">that </w:t>
      </w:r>
      <w:r w:rsidR="00880B7F">
        <w:t>DERs will provide</w:t>
      </w:r>
      <w:r w:rsidR="00E835FF">
        <w:t xml:space="preserve">, such as </w:t>
      </w:r>
      <w:r w:rsidR="00880B7F">
        <w:t xml:space="preserve">reliability, outage </w:t>
      </w:r>
      <w:r w:rsidR="0AFF794E">
        <w:t>mitigation</w:t>
      </w:r>
      <w:r w:rsidR="3239FDC8">
        <w:t>/avoidance</w:t>
      </w:r>
      <w:r w:rsidR="00880B7F">
        <w:t xml:space="preserve">, infrastructure deferral, </w:t>
      </w:r>
      <w:r w:rsidR="00E835FF">
        <w:t xml:space="preserve">and </w:t>
      </w:r>
      <w:r w:rsidR="00880B7F">
        <w:t>electrification support</w:t>
      </w:r>
      <w:r w:rsidR="00E835FF">
        <w:t>,</w:t>
      </w:r>
      <w:r w:rsidR="00D513EF">
        <w:t xml:space="preserve"> in </w:t>
      </w:r>
      <w:r w:rsidR="00F41DFB">
        <w:t>the</w:t>
      </w:r>
      <w:r w:rsidR="009F1722">
        <w:t xml:space="preserve"> </w:t>
      </w:r>
      <w:r w:rsidR="00D513EF">
        <w:t>formal application for DER orchestration</w:t>
      </w:r>
      <w:r w:rsidR="009F1722">
        <w:t xml:space="preserve"> this decision directs</w:t>
      </w:r>
      <w:r w:rsidR="00880B7F">
        <w:t xml:space="preserve">. </w:t>
      </w:r>
      <w:r w:rsidR="00A24902">
        <w:t xml:space="preserve">The </w:t>
      </w:r>
      <w:r w:rsidR="00880B7F">
        <w:t xml:space="preserve">IOUs must link each service </w:t>
      </w:r>
      <w:r w:rsidR="00D42D3D">
        <w:t>to specific system</w:t>
      </w:r>
      <w:r w:rsidR="1792662B">
        <w:t xml:space="preserve"> and/or</w:t>
      </w:r>
      <w:r w:rsidR="320DB04E">
        <w:t xml:space="preserve"> </w:t>
      </w:r>
      <w:r w:rsidR="5E5264C0">
        <w:t>distribution</w:t>
      </w:r>
      <w:r w:rsidR="00D42D3D">
        <w:t xml:space="preserve"> needs </w:t>
      </w:r>
      <w:r w:rsidR="54F2DB4C">
        <w:t xml:space="preserve">and provide </w:t>
      </w:r>
      <w:proofErr w:type="gramStart"/>
      <w:r w:rsidR="5D006BA2">
        <w:t xml:space="preserve">a </w:t>
      </w:r>
      <w:r w:rsidR="54F2DB4C">
        <w:t>justificatio</w:t>
      </w:r>
      <w:r w:rsidR="3912254C">
        <w:t>n</w:t>
      </w:r>
      <w:proofErr w:type="gramEnd"/>
      <w:r w:rsidR="54F2DB4C">
        <w:t xml:space="preserve"> </w:t>
      </w:r>
      <w:r w:rsidR="6EDFD691">
        <w:t>for</w:t>
      </w:r>
      <w:r w:rsidR="54F2DB4C">
        <w:t xml:space="preserve"> how these needs were identified.</w:t>
      </w:r>
      <w:r w:rsidR="00D513EF">
        <w:t xml:space="preserve"> </w:t>
      </w:r>
      <w:r w:rsidRPr="00A86C5B" w:rsidR="00A86C5B">
        <w:t xml:space="preserve">For use cases addressing localized distribution-equipment loading, the IOUs shall describe the relevant equipment constraints, including service transformers and secondary distribution assets where </w:t>
      </w:r>
      <w:r w:rsidRPr="00A86C5B" w:rsidR="00A86C5B">
        <w:lastRenderedPageBreak/>
        <w:t>applicable, and explain how the proposed DER response would address those constraints. The analysis shall consider the timing of equipment loading, which may differ from the overall system peak.</w:t>
      </w:r>
      <w:r w:rsidR="00A86C5B">
        <w:t xml:space="preserve"> </w:t>
      </w:r>
      <w:r w:rsidRPr="00A37163" w:rsidR="00A37163">
        <w:t>IOUs must</w:t>
      </w:r>
      <w:r w:rsidR="00AE51CA">
        <w:t xml:space="preserve"> also</w:t>
      </w:r>
      <w:r w:rsidRPr="00A37163" w:rsidR="00A37163">
        <w:t xml:space="preserve"> identify where DER flexibility can provide dependable distribution capacity and whether grid-utilization analysis can be used to identify locations where DER </w:t>
      </w:r>
      <w:r w:rsidR="00FC0603">
        <w:t>o</w:t>
      </w:r>
      <w:r w:rsidRPr="00A37163" w:rsidR="00A37163">
        <w:t>rchestration can effectively address distribution-system needs.</w:t>
      </w:r>
      <w:r w:rsidR="00A37163">
        <w:t xml:space="preserve"> </w:t>
      </w:r>
      <w:r w:rsidRPr="65412062" w:rsidR="703432BC">
        <w:t xml:space="preserve">Where an IOU proposes to rely on DER capacity for distribution planning, the application should identify the </w:t>
      </w:r>
      <w:proofErr w:type="gramStart"/>
      <w:r w:rsidRPr="65412062" w:rsidR="703432BC">
        <w:t>performance</w:t>
      </w:r>
      <w:proofErr w:type="gramEnd"/>
      <w:r w:rsidRPr="65412062" w:rsidR="703432BC">
        <w:t xml:space="preserve"> and reliability criteria DERs must satisfy and explain how dependable DER capacity would be represented in distribution planning. The IOUs should also explain how demonstrated DER capacity could affect the need, timing, or sizing of traditional distribution investments.</w:t>
      </w:r>
    </w:p>
    <w:p w:rsidR="1720D0AF" w:rsidP="00BD2743" w:rsidRDefault="703432BC" w14:paraId="12750991" w14:textId="6656F441">
      <w:pPr>
        <w:pStyle w:val="Heading1"/>
      </w:pPr>
      <w:r w:rsidRPr="65412062">
        <w:t xml:space="preserve"> </w:t>
      </w:r>
      <w:bookmarkStart w:name="_Toc793073840" w:id="29"/>
      <w:bookmarkStart w:name="_Toc243991439" w:id="30"/>
      <w:r w:rsidR="687219B7">
        <w:t xml:space="preserve">DER Orchestration Application </w:t>
      </w:r>
      <w:bookmarkEnd w:id="29"/>
      <w:r w:rsidR="687219B7">
        <w:t>Framework</w:t>
      </w:r>
      <w:bookmarkEnd w:id="30"/>
    </w:p>
    <w:p w:rsidR="00361AFA" w:rsidP="00BD2743" w:rsidRDefault="00361AFA" w14:paraId="4F9D2240" w14:textId="68C0A481">
      <w:pPr>
        <w:pStyle w:val="Heading2"/>
      </w:pPr>
      <w:bookmarkStart w:name="_Toc1333094176" w:id="31"/>
      <w:bookmarkStart w:name="_Toc243991440" w:id="32"/>
      <w:r>
        <w:t>Framework Guiding Principles</w:t>
      </w:r>
      <w:bookmarkEnd w:id="31"/>
      <w:bookmarkEnd w:id="32"/>
    </w:p>
    <w:p w:rsidRPr="00DF0DDD" w:rsidR="00EB2C37" w:rsidP="492B713F" w:rsidRDefault="00A468B6" w14:paraId="5B0F234C" w14:textId="553378E3">
      <w:pPr>
        <w:pStyle w:val="Standard"/>
        <w:rPr>
          <w:rFonts w:eastAsia="Calibri" w:cs="Arial"/>
          <w:szCs w:val="26"/>
        </w:rPr>
      </w:pPr>
      <w:r>
        <w:t>The March 23 Ruling asked parties w</w:t>
      </w:r>
      <w:r w:rsidR="00EB2C37">
        <w:t xml:space="preserve">hether the Commission should adopt </w:t>
      </w:r>
      <w:r w:rsidR="00E835FF">
        <w:t xml:space="preserve">specific </w:t>
      </w:r>
      <w:r w:rsidR="00CF58FD">
        <w:t>guiding principles</w:t>
      </w:r>
      <w:r w:rsidR="00CD04D0">
        <w:t xml:space="preserve">, whether any guiding principles should be added, removed, modified, or clarified, and </w:t>
      </w:r>
      <w:r w:rsidR="005E0C22">
        <w:t xml:space="preserve">whether there should be opportunities to refine the guiding principles </w:t>
      </w:r>
      <w:r w:rsidR="00B165ED">
        <w:t xml:space="preserve">in </w:t>
      </w:r>
      <w:r w:rsidR="006823CF">
        <w:t>subsequent proceedings reviewing IOU applications.</w:t>
      </w:r>
      <w:r w:rsidR="492B713F">
        <w:t xml:space="preserve"> </w:t>
      </w:r>
      <w:r w:rsidRPr="00DF0DDD" w:rsidR="492B713F">
        <w:rPr>
          <w:rFonts w:eastAsia="Calibri" w:cs="Arial"/>
          <w:szCs w:val="26"/>
        </w:rPr>
        <w:t>The March 23 Ruling proposed the following 10 guiding principles for IOU DSO-led DER orchestration:</w:t>
      </w:r>
    </w:p>
    <w:p w:rsidRPr="00DF0DDD" w:rsidR="00EB2C37" w:rsidP="007F5ABF" w:rsidRDefault="492B713F" w14:paraId="28BCB354" w14:textId="6BDB72D7">
      <w:pPr>
        <w:pStyle w:val="Standard"/>
        <w:numPr>
          <w:ilvl w:val="0"/>
          <w:numId w:val="84"/>
        </w:numPr>
        <w:tabs>
          <w:tab w:val="left" w:pos="1260"/>
        </w:tabs>
        <w:spacing w:after="120" w:line="240" w:lineRule="auto"/>
        <w:ind w:left="1080" w:right="1440"/>
        <w:rPr>
          <w:rFonts w:eastAsia="Calibri" w:cs="Arial"/>
        </w:rPr>
      </w:pPr>
      <w:r w:rsidRPr="1C196D11">
        <w:rPr>
          <w:rFonts w:eastAsia="Calibri" w:cs="Arial"/>
        </w:rPr>
        <w:t>Ratepayer</w:t>
      </w:r>
      <w:r w:rsidRPr="00DF0DDD">
        <w:rPr>
          <w:rFonts w:eastAsia="Calibri" w:cs="Arial"/>
        </w:rPr>
        <w:t xml:space="preserve"> benefit and protection</w:t>
      </w:r>
      <w:r w:rsidR="002A2D5B">
        <w:rPr>
          <w:rFonts w:eastAsia="Calibri" w:cs="Arial"/>
        </w:rPr>
        <w:t>;</w:t>
      </w:r>
    </w:p>
    <w:p w:rsidRPr="00DF0DDD" w:rsidR="00EB2C37" w:rsidP="007F5ABF" w:rsidRDefault="492B713F" w14:paraId="161E1818" w14:textId="212D00FF">
      <w:pPr>
        <w:pStyle w:val="Standard"/>
        <w:numPr>
          <w:ilvl w:val="0"/>
          <w:numId w:val="84"/>
        </w:numPr>
        <w:tabs>
          <w:tab w:val="left" w:pos="1260"/>
        </w:tabs>
        <w:spacing w:after="120" w:line="240" w:lineRule="auto"/>
        <w:ind w:left="1080" w:right="1440"/>
        <w:rPr>
          <w:rFonts w:eastAsia="Calibri" w:cs="Arial"/>
        </w:rPr>
      </w:pPr>
      <w:r w:rsidRPr="00DF0DDD">
        <w:rPr>
          <w:rFonts w:eastAsia="Calibri" w:cs="Arial"/>
        </w:rPr>
        <w:t>Technology-neutral, performance-based</w:t>
      </w:r>
      <w:r w:rsidR="002A2D5B">
        <w:rPr>
          <w:rFonts w:eastAsia="Calibri" w:cs="Arial"/>
        </w:rPr>
        <w:t>;</w:t>
      </w:r>
    </w:p>
    <w:p w:rsidRPr="00DF0DDD" w:rsidR="00EB2C37" w:rsidP="007F5ABF" w:rsidRDefault="492B713F" w14:paraId="7303D790" w14:textId="12D9FC25">
      <w:pPr>
        <w:pStyle w:val="Standard"/>
        <w:numPr>
          <w:ilvl w:val="0"/>
          <w:numId w:val="84"/>
        </w:numPr>
        <w:tabs>
          <w:tab w:val="left" w:pos="1260"/>
        </w:tabs>
        <w:spacing w:after="120" w:line="240" w:lineRule="auto"/>
        <w:ind w:left="1080" w:right="1440"/>
        <w:rPr>
          <w:rFonts w:eastAsia="Calibri" w:cs="Arial"/>
        </w:rPr>
      </w:pPr>
      <w:r w:rsidRPr="00DF0DDD">
        <w:rPr>
          <w:rFonts w:eastAsia="Calibri" w:cs="Arial"/>
        </w:rPr>
        <w:t>Locational and temporal value recognition</w:t>
      </w:r>
      <w:r w:rsidR="002A2D5B">
        <w:rPr>
          <w:rFonts w:eastAsia="Calibri" w:cs="Arial"/>
        </w:rPr>
        <w:t>;</w:t>
      </w:r>
    </w:p>
    <w:p w:rsidRPr="00DF0DDD" w:rsidR="00EB2C37" w:rsidP="007F5ABF" w:rsidRDefault="492B713F" w14:paraId="56AB1883" w14:textId="14D9F2DC">
      <w:pPr>
        <w:pStyle w:val="Standard"/>
        <w:numPr>
          <w:ilvl w:val="0"/>
          <w:numId w:val="84"/>
        </w:numPr>
        <w:tabs>
          <w:tab w:val="left" w:pos="1260"/>
        </w:tabs>
        <w:spacing w:after="120" w:line="240" w:lineRule="auto"/>
        <w:ind w:left="1080" w:right="1440"/>
        <w:rPr>
          <w:rFonts w:eastAsia="Calibri" w:cs="Arial"/>
        </w:rPr>
      </w:pPr>
      <w:r w:rsidRPr="00DF0DDD">
        <w:rPr>
          <w:rFonts w:eastAsia="Calibri" w:cs="Arial"/>
        </w:rPr>
        <w:t>Efficient operation of the grid</w:t>
      </w:r>
      <w:r w:rsidR="002A2D5B">
        <w:rPr>
          <w:rFonts w:eastAsia="Calibri" w:cs="Arial"/>
        </w:rPr>
        <w:t>;</w:t>
      </w:r>
    </w:p>
    <w:p w:rsidRPr="00DF0DDD" w:rsidR="00EB2C37" w:rsidP="007F5ABF" w:rsidRDefault="492B713F" w14:paraId="3797C83B" w14:textId="0B493676">
      <w:pPr>
        <w:pStyle w:val="Standard"/>
        <w:numPr>
          <w:ilvl w:val="0"/>
          <w:numId w:val="84"/>
        </w:numPr>
        <w:tabs>
          <w:tab w:val="left" w:pos="1260"/>
        </w:tabs>
        <w:spacing w:after="120" w:line="240" w:lineRule="auto"/>
        <w:ind w:left="1080" w:right="1440"/>
        <w:rPr>
          <w:rFonts w:eastAsia="Calibri" w:cs="Arial"/>
        </w:rPr>
      </w:pPr>
      <w:r w:rsidRPr="00DF0DDD">
        <w:rPr>
          <w:rFonts w:eastAsia="Calibri" w:cs="Arial"/>
        </w:rPr>
        <w:t>Open access and interoperability</w:t>
      </w:r>
      <w:r w:rsidR="002A2D5B">
        <w:rPr>
          <w:rFonts w:eastAsia="Calibri" w:cs="Arial"/>
        </w:rPr>
        <w:t>;</w:t>
      </w:r>
    </w:p>
    <w:p w:rsidRPr="00DF0DDD" w:rsidR="00EB2C37" w:rsidP="007F5ABF" w:rsidRDefault="492B713F" w14:paraId="7D6C304C" w14:textId="2AE7334D">
      <w:pPr>
        <w:pStyle w:val="Standard"/>
        <w:numPr>
          <w:ilvl w:val="0"/>
          <w:numId w:val="84"/>
        </w:numPr>
        <w:tabs>
          <w:tab w:val="left" w:pos="1260"/>
        </w:tabs>
        <w:spacing w:after="120" w:line="240" w:lineRule="auto"/>
        <w:ind w:left="1080" w:right="1440"/>
        <w:rPr>
          <w:rFonts w:eastAsia="Calibri" w:cs="Arial"/>
        </w:rPr>
      </w:pPr>
      <w:r w:rsidRPr="00DF0DDD">
        <w:rPr>
          <w:rFonts w:eastAsia="Calibri" w:cs="Arial"/>
        </w:rPr>
        <w:t>Transparent participation pathways and compensation</w:t>
      </w:r>
      <w:r w:rsidR="002A2D5B">
        <w:rPr>
          <w:rFonts w:eastAsia="Calibri" w:cs="Arial"/>
        </w:rPr>
        <w:t>;</w:t>
      </w:r>
    </w:p>
    <w:p w:rsidRPr="00DF0DDD" w:rsidR="00EB2C37" w:rsidP="007F5ABF" w:rsidRDefault="492B713F" w14:paraId="5B88C3EF" w14:textId="7CEE78CC">
      <w:pPr>
        <w:pStyle w:val="Standard"/>
        <w:numPr>
          <w:ilvl w:val="0"/>
          <w:numId w:val="84"/>
        </w:numPr>
        <w:tabs>
          <w:tab w:val="left" w:pos="1260"/>
        </w:tabs>
        <w:spacing w:after="120" w:line="240" w:lineRule="auto"/>
        <w:ind w:left="1080" w:right="1440"/>
        <w:rPr>
          <w:rFonts w:eastAsia="Calibri" w:cs="Arial"/>
        </w:rPr>
      </w:pPr>
      <w:r w:rsidRPr="00DF0DDD">
        <w:rPr>
          <w:rFonts w:eastAsia="Calibri" w:cs="Arial"/>
        </w:rPr>
        <w:t>Incremental, evidence-based implementation</w:t>
      </w:r>
      <w:r w:rsidR="002A2D5B">
        <w:rPr>
          <w:rFonts w:eastAsia="Calibri" w:cs="Arial"/>
        </w:rPr>
        <w:t>;</w:t>
      </w:r>
    </w:p>
    <w:p w:rsidRPr="00DF0DDD" w:rsidR="00EB2C37" w:rsidP="007F5ABF" w:rsidRDefault="492B713F" w14:paraId="40BA9A07" w14:textId="2417F907">
      <w:pPr>
        <w:pStyle w:val="Standard"/>
        <w:numPr>
          <w:ilvl w:val="0"/>
          <w:numId w:val="84"/>
        </w:numPr>
        <w:tabs>
          <w:tab w:val="left" w:pos="1260"/>
        </w:tabs>
        <w:spacing w:after="120" w:line="240" w:lineRule="auto"/>
        <w:ind w:left="1080" w:right="1440"/>
        <w:rPr>
          <w:rFonts w:eastAsia="Calibri" w:cs="Arial"/>
        </w:rPr>
      </w:pPr>
      <w:r w:rsidRPr="00DF0DDD">
        <w:rPr>
          <w:rFonts w:eastAsia="Calibri" w:cs="Arial"/>
        </w:rPr>
        <w:t>Equity and customer protection</w:t>
      </w:r>
      <w:r w:rsidR="002A2D5B">
        <w:rPr>
          <w:rFonts w:eastAsia="Calibri" w:cs="Arial"/>
        </w:rPr>
        <w:t>;</w:t>
      </w:r>
    </w:p>
    <w:p w:rsidRPr="00DF0DDD" w:rsidR="00EB2C37" w:rsidP="007F5ABF" w:rsidRDefault="492B713F" w14:paraId="74D01013" w14:textId="5AC70CA3">
      <w:pPr>
        <w:pStyle w:val="Standard"/>
        <w:numPr>
          <w:ilvl w:val="0"/>
          <w:numId w:val="84"/>
        </w:numPr>
        <w:tabs>
          <w:tab w:val="left" w:pos="1260"/>
        </w:tabs>
        <w:spacing w:after="120" w:line="240" w:lineRule="auto"/>
        <w:ind w:left="1080" w:right="1440"/>
        <w:rPr>
          <w:rFonts w:eastAsia="Calibri" w:cs="Arial"/>
        </w:rPr>
      </w:pPr>
      <w:r w:rsidRPr="00DF0DDD">
        <w:rPr>
          <w:rFonts w:eastAsia="Calibri" w:cs="Arial"/>
        </w:rPr>
        <w:lastRenderedPageBreak/>
        <w:t>Cyber-secure and resilient</w:t>
      </w:r>
      <w:r w:rsidR="002A2D5B">
        <w:rPr>
          <w:rFonts w:eastAsia="Calibri" w:cs="Arial"/>
        </w:rPr>
        <w:t>; and</w:t>
      </w:r>
    </w:p>
    <w:p w:rsidR="00EB2C37" w:rsidP="007F5ABF" w:rsidRDefault="492B713F" w14:paraId="4B99B4AD" w14:textId="12702CC5">
      <w:pPr>
        <w:pStyle w:val="Standard"/>
        <w:numPr>
          <w:ilvl w:val="0"/>
          <w:numId w:val="84"/>
        </w:numPr>
        <w:tabs>
          <w:tab w:val="left" w:pos="1260"/>
        </w:tabs>
        <w:spacing w:after="120" w:line="240" w:lineRule="auto"/>
        <w:ind w:left="1080" w:right="1440"/>
        <w:rPr>
          <w:rFonts w:eastAsia="Calibri" w:cs="Arial"/>
        </w:rPr>
      </w:pPr>
      <w:r w:rsidRPr="00DF0DDD">
        <w:rPr>
          <w:rFonts w:eastAsia="Calibri" w:cs="Arial"/>
        </w:rPr>
        <w:t>Preventing double compensation</w:t>
      </w:r>
      <w:r w:rsidR="002A2D5B">
        <w:rPr>
          <w:rFonts w:eastAsia="Calibri" w:cs="Arial"/>
        </w:rPr>
        <w:t>.</w:t>
      </w:r>
    </w:p>
    <w:p w:rsidR="002F4E45" w:rsidP="006823CF" w:rsidRDefault="00AF2F4E" w14:paraId="69D38C74" w14:textId="326764A1">
      <w:pPr>
        <w:pStyle w:val="Standard"/>
      </w:pPr>
      <w:r>
        <w:t>SDG&amp;E</w:t>
      </w:r>
      <w:r w:rsidR="00B9019D">
        <w:t>,</w:t>
      </w:r>
      <w:r>
        <w:t xml:space="preserve"> </w:t>
      </w:r>
      <w:r w:rsidR="001B472A">
        <w:t>CalCCA</w:t>
      </w:r>
      <w:r w:rsidR="00B9019D">
        <w:t>,</w:t>
      </w:r>
      <w:r w:rsidR="001B472A">
        <w:t xml:space="preserve"> </w:t>
      </w:r>
      <w:r w:rsidR="00851D30">
        <w:t>CAISO</w:t>
      </w:r>
      <w:r w:rsidR="00B9019D">
        <w:t>,</w:t>
      </w:r>
      <w:r w:rsidR="00294BC2">
        <w:t xml:space="preserve"> </w:t>
      </w:r>
      <w:proofErr w:type="spellStart"/>
      <w:r w:rsidR="005E16A1">
        <w:t>Nexamp</w:t>
      </w:r>
      <w:proofErr w:type="spellEnd"/>
      <w:r w:rsidR="00B9019D">
        <w:t>,</w:t>
      </w:r>
      <w:r w:rsidR="005E16A1">
        <w:t xml:space="preserve"> </w:t>
      </w:r>
      <w:proofErr w:type="spellStart"/>
      <w:r w:rsidR="00DE00CF">
        <w:t>EnergyHub</w:t>
      </w:r>
      <w:proofErr w:type="spellEnd"/>
      <w:r w:rsidR="00B9019D">
        <w:t>,</w:t>
      </w:r>
      <w:r w:rsidR="00DE00CF">
        <w:t xml:space="preserve"> </w:t>
      </w:r>
      <w:r w:rsidR="009D752F">
        <w:t>CALSSA</w:t>
      </w:r>
      <w:r w:rsidR="00B9019D">
        <w:t>,</w:t>
      </w:r>
      <w:r w:rsidR="00AE559C">
        <w:t xml:space="preserve"> </w:t>
      </w:r>
      <w:r w:rsidR="00B26982">
        <w:t>UCAN</w:t>
      </w:r>
      <w:r w:rsidR="00B9019D">
        <w:t>,</w:t>
      </w:r>
      <w:r w:rsidR="00B26982">
        <w:t xml:space="preserve"> Universal Devices</w:t>
      </w:r>
      <w:r w:rsidR="00B9019D">
        <w:t>,</w:t>
      </w:r>
      <w:r w:rsidR="00B26982">
        <w:t xml:space="preserve"> </w:t>
      </w:r>
      <w:r w:rsidR="005F1B8C">
        <w:t>EDF</w:t>
      </w:r>
      <w:r w:rsidR="00B9019D">
        <w:t>,</w:t>
      </w:r>
      <w:r w:rsidR="005F1B8C">
        <w:t xml:space="preserve"> </w:t>
      </w:r>
      <w:r w:rsidR="008515AC">
        <w:t xml:space="preserve">and </w:t>
      </w:r>
      <w:r w:rsidR="00AF33E5">
        <w:t>CA Efficienc</w:t>
      </w:r>
      <w:r w:rsidR="007469DB">
        <w:t xml:space="preserve">y + </w:t>
      </w:r>
      <w:r w:rsidR="00AF33E5">
        <w:t>Demand Management Council</w:t>
      </w:r>
      <w:r w:rsidR="008515AC">
        <w:t xml:space="preserve"> </w:t>
      </w:r>
      <w:r w:rsidR="006F27B2">
        <w:t>generally support the proposed guiding principles</w:t>
      </w:r>
      <w:r w:rsidR="00CB5A52">
        <w:t xml:space="preserve"> with </w:t>
      </w:r>
      <w:r w:rsidR="008515AC">
        <w:t>modifications or additions.</w:t>
      </w:r>
      <w:r w:rsidR="00472AA1">
        <w:rPr>
          <w:rStyle w:val="FootnoteReference"/>
        </w:rPr>
        <w:footnoteReference w:id="44"/>
      </w:r>
    </w:p>
    <w:p w:rsidR="00D13291" w:rsidP="00C40184" w:rsidRDefault="004C6C34" w14:paraId="3F64C5FA" w14:textId="4AB72D80">
      <w:pPr>
        <w:pStyle w:val="Standard"/>
      </w:pPr>
      <w:r>
        <w:t>CAISO</w:t>
      </w:r>
      <w:r w:rsidR="00B9019D">
        <w:t>,</w:t>
      </w:r>
      <w:r>
        <w:t xml:space="preserve"> PG&amp;E</w:t>
      </w:r>
      <w:r w:rsidR="00B9019D">
        <w:t>,</w:t>
      </w:r>
      <w:r>
        <w:t xml:space="preserve"> </w:t>
      </w:r>
      <w:r w:rsidR="007B7751">
        <w:t xml:space="preserve">and </w:t>
      </w:r>
      <w:r>
        <w:t>SDG&amp;E</w:t>
      </w:r>
      <w:r w:rsidR="00410B39">
        <w:t xml:space="preserve"> </w:t>
      </w:r>
      <w:r>
        <w:t>support adding reliability as a new guiding principle or modification to one of the listed guiding principles.</w:t>
      </w:r>
      <w:r w:rsidR="006C444D">
        <w:rPr>
          <w:rStyle w:val="FootnoteReference"/>
        </w:rPr>
        <w:footnoteReference w:id="45"/>
      </w:r>
      <w:r w:rsidR="001A5FC7">
        <w:t xml:space="preserve"> </w:t>
      </w:r>
      <w:r w:rsidR="00D13291">
        <w:t>CalCCA recommends the addition of six guiding</w:t>
      </w:r>
      <w:r w:rsidR="00C40184">
        <w:t xml:space="preserve"> principles</w:t>
      </w:r>
      <w:r w:rsidR="00310733">
        <w:t>: “n</w:t>
      </w:r>
      <w:r w:rsidRPr="00C1487B" w:rsidR="00310733">
        <w:t>ondiscriminatory market access, operations, and dispatch</w:t>
      </w:r>
      <w:r w:rsidR="00310733">
        <w:t>,” “</w:t>
      </w:r>
      <w:r w:rsidR="00DF5DBC">
        <w:t>i</w:t>
      </w:r>
      <w:r w:rsidRPr="00C1487B" w:rsidR="00310733">
        <w:t>ndependent monitoring and oversight of DSO and market functions</w:t>
      </w:r>
      <w:r w:rsidR="00310733">
        <w:t>,” “</w:t>
      </w:r>
      <w:r w:rsidR="00DF5DBC">
        <w:t>o</w:t>
      </w:r>
      <w:r w:rsidRPr="00C1487B" w:rsidR="00310733">
        <w:t>ptimization of existing grid capacity before authorization of capital investments</w:t>
      </w:r>
      <w:r w:rsidR="00310733">
        <w:t>,” “</w:t>
      </w:r>
      <w:r w:rsidR="00DF5DBC">
        <w:t>c</w:t>
      </w:r>
      <w:r w:rsidRPr="00C1487B" w:rsidR="00310733">
        <w:t>ompetitive neutrality of DSO and marketplace operator</w:t>
      </w:r>
      <w:r w:rsidR="00310733">
        <w:t>,” “</w:t>
      </w:r>
      <w:r w:rsidR="00DF5DBC">
        <w:t>f</w:t>
      </w:r>
      <w:r w:rsidRPr="00C1487B" w:rsidR="00310733">
        <w:t>air compensation for flexibility services</w:t>
      </w:r>
      <w:r w:rsidR="00310733">
        <w:t>,” and “</w:t>
      </w:r>
      <w:r w:rsidR="00DF5DBC">
        <w:t>t</w:t>
      </w:r>
      <w:r w:rsidRPr="00C1487B" w:rsidR="00310733">
        <w:t>imely access to accurate customer usage, DER, ICA, and grid data</w:t>
      </w:r>
      <w:r w:rsidR="00310733">
        <w:t>.”</w:t>
      </w:r>
      <w:r w:rsidR="00494B63">
        <w:rPr>
          <w:rStyle w:val="FootnoteReference"/>
        </w:rPr>
        <w:footnoteReference w:id="46"/>
      </w:r>
      <w:r w:rsidR="00C40184">
        <w:t xml:space="preserve"> </w:t>
      </w:r>
      <w:r w:rsidR="00D13291">
        <w:t>UCAN recommends the addition of “fostering third-party competition and market access” and “protocol neutrality and scalability</w:t>
      </w:r>
      <w:r w:rsidR="00A2320F">
        <w:t>.</w:t>
      </w:r>
      <w:r w:rsidR="00D13291">
        <w:t>”</w:t>
      </w:r>
      <w:r w:rsidR="00494B63">
        <w:rPr>
          <w:rStyle w:val="FootnoteReference"/>
        </w:rPr>
        <w:footnoteReference w:id="47"/>
      </w:r>
      <w:r w:rsidR="00494B63">
        <w:t xml:space="preserve"> </w:t>
      </w:r>
      <w:r w:rsidR="00D13291">
        <w:t xml:space="preserve">Universal </w:t>
      </w:r>
      <w:r w:rsidR="00494B63">
        <w:t xml:space="preserve">Devices </w:t>
      </w:r>
      <w:r w:rsidR="00D13291">
        <w:t>recommends the addition of “local resilience and edge operability”</w:t>
      </w:r>
      <w:r w:rsidR="008471A0">
        <w:t xml:space="preserve"> and</w:t>
      </w:r>
      <w:r w:rsidR="00D13291">
        <w:t xml:space="preserve"> notes that “technology-neutral, performance based” should be explicitly extended to </w:t>
      </w:r>
      <w:r w:rsidR="00D13291">
        <w:lastRenderedPageBreak/>
        <w:t>the communications protocol layer.</w:t>
      </w:r>
      <w:r w:rsidR="008471A0">
        <w:rPr>
          <w:rStyle w:val="FootnoteReference"/>
        </w:rPr>
        <w:footnoteReference w:id="48"/>
      </w:r>
      <w:r w:rsidR="008471A0">
        <w:t xml:space="preserve"> </w:t>
      </w:r>
      <w:proofErr w:type="spellStart"/>
      <w:r w:rsidR="00D13291">
        <w:t>Nexamp</w:t>
      </w:r>
      <w:proofErr w:type="spellEnd"/>
      <w:r w:rsidR="00D13291">
        <w:t xml:space="preserve"> </w:t>
      </w:r>
      <w:r w:rsidR="008471A0">
        <w:t>recommends</w:t>
      </w:r>
      <w:r w:rsidR="00D13291">
        <w:t xml:space="preserve"> </w:t>
      </w:r>
      <w:r w:rsidR="006E3E5E">
        <w:t>adding</w:t>
      </w:r>
      <w:r w:rsidR="00D13291">
        <w:t xml:space="preserve"> “DER integration with pro-active grid plan updates” and “non-wires alternatives” as principles.</w:t>
      </w:r>
      <w:r w:rsidR="00CD7660">
        <w:rPr>
          <w:rStyle w:val="FootnoteReference"/>
        </w:rPr>
        <w:footnoteReference w:id="49"/>
      </w:r>
      <w:r w:rsidR="008D503E">
        <w:t xml:space="preserve"> </w:t>
      </w:r>
      <w:r w:rsidR="00784222">
        <w:t>A</w:t>
      </w:r>
      <w:r w:rsidR="0003100C">
        <w:t>EU</w:t>
      </w:r>
      <w:r w:rsidR="00784222">
        <w:t xml:space="preserve"> </w:t>
      </w:r>
      <w:r w:rsidR="008D503E">
        <w:t xml:space="preserve">recommends </w:t>
      </w:r>
      <w:r w:rsidR="0088027D">
        <w:t>adding</w:t>
      </w:r>
      <w:r w:rsidR="00784222">
        <w:t xml:space="preserve"> </w:t>
      </w:r>
      <w:r w:rsidR="008D503E">
        <w:t>“</w:t>
      </w:r>
      <w:r w:rsidR="00784222">
        <w:t>realizing the maximum cost-effective potential of DER resources</w:t>
      </w:r>
      <w:r w:rsidR="00866D51">
        <w:t>”</w:t>
      </w:r>
      <w:r w:rsidR="00784222">
        <w:t xml:space="preserve"> and </w:t>
      </w:r>
      <w:r w:rsidR="008D503E">
        <w:t>“</w:t>
      </w:r>
      <w:r w:rsidR="00784222">
        <w:t>promoting competition and liquidity in the market</w:t>
      </w:r>
      <w:r w:rsidR="006D5EA8">
        <w:t>.”</w:t>
      </w:r>
      <w:r w:rsidR="008D503E">
        <w:rPr>
          <w:rStyle w:val="FootnoteReference"/>
        </w:rPr>
        <w:footnoteReference w:id="50"/>
      </w:r>
      <w:r w:rsidR="008D503E">
        <w:t xml:space="preserve"> </w:t>
      </w:r>
      <w:proofErr w:type="spellStart"/>
      <w:r w:rsidR="00360AF6">
        <w:t>EnergyHub</w:t>
      </w:r>
      <w:proofErr w:type="spellEnd"/>
      <w:r w:rsidR="00360AF6">
        <w:t xml:space="preserve"> </w:t>
      </w:r>
      <w:r w:rsidRPr="00F0293C" w:rsidR="00360AF6">
        <w:t>opposes strict technological neutrality and believes interoperability is not currently a major barrier.</w:t>
      </w:r>
      <w:r w:rsidR="008D503E">
        <w:rPr>
          <w:rStyle w:val="FootnoteReference"/>
        </w:rPr>
        <w:footnoteReference w:id="51"/>
      </w:r>
    </w:p>
    <w:p w:rsidR="00D4003B" w:rsidP="008A0394" w:rsidRDefault="00784222" w14:paraId="0540AAA4" w14:textId="4056E387">
      <w:pPr>
        <w:pStyle w:val="Standard"/>
      </w:pPr>
      <w:r>
        <w:t>SBUA and 350 Bay Area recommend providing additional specificity on certain principles, including the distinction between “ratepayer benefit and protection” and “equity and customer protection</w:t>
      </w:r>
      <w:r w:rsidR="005765D1">
        <w:t>.”</w:t>
      </w:r>
      <w:r w:rsidR="008C6629">
        <w:rPr>
          <w:rStyle w:val="FootnoteReference"/>
        </w:rPr>
        <w:footnoteReference w:id="52"/>
      </w:r>
      <w:r w:rsidR="008A0394">
        <w:t xml:space="preserve"> </w:t>
      </w:r>
      <w:r w:rsidR="00531578">
        <w:t xml:space="preserve">Cal Advocates </w:t>
      </w:r>
      <w:r w:rsidR="001D31ED">
        <w:t xml:space="preserve">recommends the Commission clarify several </w:t>
      </w:r>
      <w:r w:rsidR="009A75D4">
        <w:t xml:space="preserve">items </w:t>
      </w:r>
      <w:r w:rsidR="004579FA">
        <w:t xml:space="preserve">and prioritize </w:t>
      </w:r>
      <w:r w:rsidRPr="002D27E5" w:rsidR="002D27E5">
        <w:t>ratepayer benefit and protection, locational and temporal value recognition, and incremental evidence-based implementation</w:t>
      </w:r>
      <w:r w:rsidR="002D27E5">
        <w:t xml:space="preserve"> in the guiding principles.</w:t>
      </w:r>
      <w:r w:rsidR="002D27E5">
        <w:rPr>
          <w:rStyle w:val="FootnoteReference"/>
        </w:rPr>
        <w:footnoteReference w:id="53"/>
      </w:r>
      <w:r w:rsidR="002D27E5">
        <w:t xml:space="preserve"> </w:t>
      </w:r>
      <w:r w:rsidR="008A0394">
        <w:t>CalCCA suggests the Commission should establish guiding principles before deciding on a DSO framework.</w:t>
      </w:r>
      <w:r w:rsidR="0003173A">
        <w:rPr>
          <w:rStyle w:val="FootnoteReference"/>
        </w:rPr>
        <w:footnoteReference w:id="54"/>
      </w:r>
      <w:r w:rsidR="008A0394">
        <w:t xml:space="preserve"> </w:t>
      </w:r>
      <w:r w:rsidR="00F07D15">
        <w:t>CBD</w:t>
      </w:r>
      <w:r w:rsidR="00BB6EE3">
        <w:t xml:space="preserve"> and 350 Bay Area </w:t>
      </w:r>
      <w:r w:rsidR="00717063">
        <w:t xml:space="preserve">concur that the Commission should </w:t>
      </w:r>
      <w:r w:rsidRPr="00717063" w:rsidR="00717063">
        <w:t xml:space="preserve">establish guiding principles and a framework of functional roles and responsibilities for the DSO that are independent of the entity that performs the </w:t>
      </w:r>
      <w:r w:rsidRPr="00717063" w:rsidR="00717063">
        <w:lastRenderedPageBreak/>
        <w:t>DSO roles and functions</w:t>
      </w:r>
      <w:r w:rsidR="00892AF2">
        <w:t>.</w:t>
      </w:r>
      <w:r w:rsidR="004A752C">
        <w:rPr>
          <w:rStyle w:val="FootnoteReference"/>
        </w:rPr>
        <w:footnoteReference w:id="55"/>
      </w:r>
      <w:r w:rsidR="004A752C">
        <w:t xml:space="preserve"> </w:t>
      </w:r>
      <w:r w:rsidR="009D752F">
        <w:t>CALSSA</w:t>
      </w:r>
      <w:r w:rsidRPr="00360AF6" w:rsidR="008A0394">
        <w:t xml:space="preserve"> cautions that guiding principles should add implementation efficiency and consistency, not slow program development.</w:t>
      </w:r>
      <w:r w:rsidR="0003173A">
        <w:rPr>
          <w:rStyle w:val="FootnoteReference"/>
        </w:rPr>
        <w:footnoteReference w:id="56"/>
      </w:r>
    </w:p>
    <w:p w:rsidRPr="008E4F73" w:rsidR="00D8061B" w:rsidP="008E4F73" w:rsidRDefault="00C81321" w14:paraId="1AB12840" w14:textId="55147C15">
      <w:pPr>
        <w:pStyle w:val="Standard"/>
      </w:pPr>
      <w:r>
        <w:t>SDG&amp;E</w:t>
      </w:r>
      <w:r w:rsidR="00B9019D">
        <w:t>,</w:t>
      </w:r>
      <w:r w:rsidR="00721990">
        <w:t xml:space="preserve"> </w:t>
      </w:r>
      <w:r w:rsidR="005429FD">
        <w:t>EDF</w:t>
      </w:r>
      <w:r w:rsidR="00B9019D">
        <w:t>,</w:t>
      </w:r>
      <w:r w:rsidR="00721990">
        <w:t xml:space="preserve"> and CA Efficiency </w:t>
      </w:r>
      <w:r w:rsidR="00BB4354">
        <w:t>+</w:t>
      </w:r>
      <w:r w:rsidR="00721990">
        <w:t xml:space="preserve"> Demand </w:t>
      </w:r>
      <w:r w:rsidR="00BB4354">
        <w:t>M</w:t>
      </w:r>
      <w:r w:rsidR="00721990">
        <w:t xml:space="preserve">anagement </w:t>
      </w:r>
      <w:r w:rsidR="00BB4354">
        <w:t>C</w:t>
      </w:r>
      <w:r w:rsidR="00721990">
        <w:t>ouncil</w:t>
      </w:r>
      <w:r w:rsidR="005429FD">
        <w:t xml:space="preserve"> </w:t>
      </w:r>
      <w:r>
        <w:t xml:space="preserve">support the modification and refinement of guiding principles in proceedings </w:t>
      </w:r>
      <w:r w:rsidR="00962BA1">
        <w:t>where IOU applications are being reviewed.</w:t>
      </w:r>
      <w:r w:rsidR="008C6629">
        <w:rPr>
          <w:rStyle w:val="FootnoteReference"/>
        </w:rPr>
        <w:footnoteReference w:id="57"/>
      </w:r>
      <w:r w:rsidR="00696D53">
        <w:t xml:space="preserve"> </w:t>
      </w:r>
      <w:proofErr w:type="spellStart"/>
      <w:r w:rsidR="00D32E96">
        <w:t>Nexamp</w:t>
      </w:r>
      <w:proofErr w:type="spellEnd"/>
      <w:r w:rsidR="00D32E96">
        <w:t xml:space="preserve"> opposes </w:t>
      </w:r>
      <w:r w:rsidR="00F91CA2">
        <w:t>refining guiding</w:t>
      </w:r>
      <w:r w:rsidR="00FF1BE6">
        <w:t xml:space="preserve"> principles </w:t>
      </w:r>
      <w:r w:rsidR="000845EE">
        <w:t>during</w:t>
      </w:r>
      <w:r w:rsidR="00FF1BE6">
        <w:t xml:space="preserve"> </w:t>
      </w:r>
      <w:r w:rsidR="00F91CA2">
        <w:t xml:space="preserve">the </w:t>
      </w:r>
      <w:r w:rsidR="00FF1BE6">
        <w:t>review of each IOU application in the interest of time and consistency</w:t>
      </w:r>
      <w:r w:rsidR="002606F1">
        <w:t>.</w:t>
      </w:r>
      <w:r w:rsidR="008C6629">
        <w:rPr>
          <w:rStyle w:val="FootnoteReference"/>
        </w:rPr>
        <w:footnoteReference w:id="58"/>
      </w:r>
    </w:p>
    <w:p w:rsidR="002B28F0" w:rsidP="00F913EA" w:rsidRDefault="00C80041" w14:paraId="40FC6A46" w14:textId="448728C1">
      <w:pPr>
        <w:pStyle w:val="Standard"/>
      </w:pPr>
      <w:r w:rsidRPr="00B65B39">
        <w:t xml:space="preserve">The Commission </w:t>
      </w:r>
      <w:r w:rsidR="00F82FAD">
        <w:t xml:space="preserve">agrees with CalCCA, CBD, and 350 Bay Area that adopting guiding principles </w:t>
      </w:r>
      <w:r w:rsidR="00AF5DE1">
        <w:t>prior to the filing of a Joint IOU Application</w:t>
      </w:r>
      <w:r w:rsidR="00553197">
        <w:t xml:space="preserve"> for an orchestration framework</w:t>
      </w:r>
      <w:r w:rsidR="00AF5DE1">
        <w:t xml:space="preserve"> </w:t>
      </w:r>
      <w:r w:rsidR="00F82FAD">
        <w:t xml:space="preserve">will </w:t>
      </w:r>
      <w:r w:rsidR="00920980">
        <w:t>allow for a more efficient and streamlined process for</w:t>
      </w:r>
      <w:r w:rsidR="00F82FAD">
        <w:t xml:space="preserve"> the IOUs </w:t>
      </w:r>
      <w:r w:rsidR="00920980">
        <w:t xml:space="preserve">to </w:t>
      </w:r>
      <w:r w:rsidR="00F82FAD">
        <w:t xml:space="preserve">develop their </w:t>
      </w:r>
      <w:r w:rsidR="00920980">
        <w:t>application</w:t>
      </w:r>
      <w:r w:rsidR="00F82FAD">
        <w:t xml:space="preserve">. Accordingly, the Commission </w:t>
      </w:r>
      <w:r w:rsidRPr="00B65B39">
        <w:t>adopt</w:t>
      </w:r>
      <w:r w:rsidR="00411DCC">
        <w:t>s</w:t>
      </w:r>
      <w:r w:rsidRPr="00B65B39">
        <w:t xml:space="preserve"> the </w:t>
      </w:r>
      <w:r w:rsidR="00411DCC">
        <w:t>10</w:t>
      </w:r>
      <w:r w:rsidRPr="00B65B39">
        <w:t xml:space="preserve"> guiding principles </w:t>
      </w:r>
      <w:r w:rsidR="00411DCC">
        <w:t>proposed in the March 23 Ruling</w:t>
      </w:r>
      <w:r w:rsidR="00F82FAD">
        <w:t xml:space="preserve"> with the following addition</w:t>
      </w:r>
      <w:r w:rsidRPr="00B65B39">
        <w:t xml:space="preserve">. </w:t>
      </w:r>
      <w:r w:rsidRPr="00B65B39" w:rsidR="006C6CBC">
        <w:t xml:space="preserve">The Commission </w:t>
      </w:r>
      <w:r w:rsidR="00411DCC">
        <w:t xml:space="preserve">agrees with </w:t>
      </w:r>
      <w:r w:rsidR="00C10C5D">
        <w:t>SDG&amp;E’s suggestion of adding “safe and reliable grid operation” as a guiding principle</w:t>
      </w:r>
      <w:r w:rsidR="00CF215E">
        <w:t xml:space="preserve">. </w:t>
      </w:r>
      <w:r w:rsidR="00B4367A">
        <w:t xml:space="preserve">Reliability was also emphasized by PG&amp;E and CAISO, and this </w:t>
      </w:r>
      <w:r w:rsidR="00B17E28">
        <w:t xml:space="preserve">phrasing </w:t>
      </w:r>
      <w:r w:rsidR="002B28F0">
        <w:t xml:space="preserve">will ensure that safety is included as a guiding principle. </w:t>
      </w:r>
      <w:r w:rsidR="00624DB1">
        <w:t xml:space="preserve"> </w:t>
      </w:r>
    </w:p>
    <w:p w:rsidRPr="00B65B39" w:rsidR="00354009" w:rsidP="0003509A" w:rsidRDefault="00624DB1" w14:paraId="0A27DAC7" w14:textId="3EFB296B">
      <w:pPr>
        <w:pStyle w:val="Standard"/>
      </w:pPr>
      <w:r>
        <w:t xml:space="preserve">The Commission </w:t>
      </w:r>
      <w:r w:rsidR="00AC70F3">
        <w:t>declines to adopt</w:t>
      </w:r>
      <w:r w:rsidR="00411DCC">
        <w:t xml:space="preserve"> suggestions to modify and refine</w:t>
      </w:r>
      <w:r>
        <w:t xml:space="preserve"> guiding principles in proceedings where IOU applications are being reviewed. Guiding principles must be established up-front to create consistency </w:t>
      </w:r>
      <w:r w:rsidR="0074423A">
        <w:t xml:space="preserve">and protect public policy interests </w:t>
      </w:r>
      <w:r w:rsidR="00D8061B">
        <w:t>during development of IOU applications</w:t>
      </w:r>
      <w:r w:rsidR="00795CC0">
        <w:t>, as s</w:t>
      </w:r>
      <w:r w:rsidR="003565FD">
        <w:t xml:space="preserve">uggested </w:t>
      </w:r>
      <w:r w:rsidR="001531B5">
        <w:t xml:space="preserve">by </w:t>
      </w:r>
      <w:proofErr w:type="spellStart"/>
      <w:r w:rsidR="001531B5">
        <w:t>Nexamp</w:t>
      </w:r>
      <w:proofErr w:type="spellEnd"/>
      <w:r w:rsidR="001531B5">
        <w:t>.</w:t>
      </w:r>
      <w:r w:rsidR="006B48B4">
        <w:t xml:space="preserve"> </w:t>
      </w:r>
      <w:r w:rsidR="00E16BC2">
        <w:t xml:space="preserve">However, </w:t>
      </w:r>
      <w:proofErr w:type="gramStart"/>
      <w:r w:rsidR="00E16BC2">
        <w:t>i</w:t>
      </w:r>
      <w:r w:rsidR="00BD2F68">
        <w:t xml:space="preserve">n order </w:t>
      </w:r>
      <w:r w:rsidR="002A642F">
        <w:t>to</w:t>
      </w:r>
      <w:proofErr w:type="gramEnd"/>
      <w:r w:rsidR="002A642F">
        <w:t xml:space="preserve"> further </w:t>
      </w:r>
      <w:r w:rsidR="00305E45">
        <w:t>r</w:t>
      </w:r>
      <w:r w:rsidR="002A642F">
        <w:t xml:space="preserve">efine </w:t>
      </w:r>
      <w:r w:rsidR="00305E45">
        <w:t xml:space="preserve">the </w:t>
      </w:r>
      <w:r w:rsidR="002A642F">
        <w:t>guiding principles</w:t>
      </w:r>
      <w:r w:rsidR="00305E45">
        <w:t xml:space="preserve"> adopted in </w:t>
      </w:r>
      <w:r w:rsidR="00305E45">
        <w:lastRenderedPageBreak/>
        <w:t>this decision</w:t>
      </w:r>
      <w:r w:rsidR="002A642F">
        <w:t xml:space="preserve">, </w:t>
      </w:r>
      <w:r w:rsidR="00BD2F68">
        <w:t>a work</w:t>
      </w:r>
      <w:r w:rsidR="00C32572">
        <w:t>ing group meeting</w:t>
      </w:r>
      <w:r w:rsidR="00BD2F68">
        <w:t xml:space="preserve"> series facilitated by the </w:t>
      </w:r>
      <w:r w:rsidR="00C32572">
        <w:t>IOUs’</w:t>
      </w:r>
      <w:r w:rsidR="00BD2F68">
        <w:t xml:space="preserve"> consult</w:t>
      </w:r>
      <w:r w:rsidR="0004442E">
        <w:t>ant</w:t>
      </w:r>
      <w:r w:rsidR="003D143A">
        <w:rPr>
          <w:rStyle w:val="FootnoteReference"/>
        </w:rPr>
        <w:footnoteReference w:id="59"/>
      </w:r>
      <w:r w:rsidR="00BD2F68">
        <w:t xml:space="preserve"> shall occur prior to the Joint IOU Application filing before the Commission</w:t>
      </w:r>
      <w:r w:rsidR="006C345B">
        <w:t>.</w:t>
      </w:r>
      <w:r w:rsidR="00BD2F68">
        <w:t xml:space="preserve"> This work</w:t>
      </w:r>
      <w:r w:rsidR="00E16BC2">
        <w:t>ing group meeting</w:t>
      </w:r>
      <w:r w:rsidR="00BD2F68">
        <w:t xml:space="preserve"> series shall allow for a more detailed development of the guiding principles, how the principles will be implemented in a common format among the IOUs, and where there may be areas that require individual IOU </w:t>
      </w:r>
      <w:r w:rsidR="006F5C85">
        <w:t>approaches</w:t>
      </w:r>
      <w:r w:rsidR="00BD2F68">
        <w:t xml:space="preserve"> that can </w:t>
      </w:r>
      <w:r w:rsidR="00733E7B">
        <w:t>support achieving</w:t>
      </w:r>
      <w:r w:rsidR="00BD2F68">
        <w:t xml:space="preserve"> an overall common DER orchestration framework across the IOUs over time. </w:t>
      </w:r>
      <w:r w:rsidR="00077724">
        <w:t xml:space="preserve"> </w:t>
      </w:r>
      <w:r w:rsidR="00F82FAD">
        <w:t>Accordingly, this decision adopts</w:t>
      </w:r>
      <w:r w:rsidR="007623A1">
        <w:t xml:space="preserve">, with further </w:t>
      </w:r>
      <w:proofErr w:type="gramStart"/>
      <w:r w:rsidR="007623A1">
        <w:t>refine</w:t>
      </w:r>
      <w:r w:rsidR="00AD010D">
        <w:t>m</w:t>
      </w:r>
      <w:r w:rsidR="009D673B">
        <w:t>ent</w:t>
      </w:r>
      <w:r w:rsidR="007623A1">
        <w:t>s</w:t>
      </w:r>
      <w:proofErr w:type="gramEnd"/>
      <w:r w:rsidR="007623A1">
        <w:t xml:space="preserve"> to occur through the work</w:t>
      </w:r>
      <w:r w:rsidR="00E16BC2">
        <w:t>ing group meeting</w:t>
      </w:r>
      <w:r w:rsidR="007623A1">
        <w:t xml:space="preserve"> series,</w:t>
      </w:r>
      <w:r w:rsidR="00F82FAD">
        <w:t xml:space="preserve"> the 10 guiding principles proposed in the March 23</w:t>
      </w:r>
      <w:r w:rsidR="00E836D1">
        <w:t xml:space="preserve">, </w:t>
      </w:r>
      <w:proofErr w:type="gramStart"/>
      <w:r w:rsidR="00E836D1">
        <w:t>2026</w:t>
      </w:r>
      <w:proofErr w:type="gramEnd"/>
      <w:r w:rsidR="00F82FAD">
        <w:t xml:space="preserve"> Ruling </w:t>
      </w:r>
      <w:r w:rsidR="2BBC9DD4">
        <w:t>with these modifications:</w:t>
      </w:r>
    </w:p>
    <w:p w:rsidRPr="00B65B39" w:rsidR="00354009" w:rsidP="00940486" w:rsidRDefault="2BBC9DD4" w14:paraId="56E6E9A9" w14:textId="1D07A768">
      <w:pPr>
        <w:pStyle w:val="Standard"/>
        <w:numPr>
          <w:ilvl w:val="0"/>
          <w:numId w:val="79"/>
        </w:numPr>
        <w:spacing w:after="120" w:line="240" w:lineRule="auto"/>
        <w:ind w:right="1440"/>
      </w:pPr>
      <w:r>
        <w:t>“Net”</w:t>
      </w:r>
      <w:r w:rsidR="00F82FAD">
        <w:t xml:space="preserve"> </w:t>
      </w:r>
      <w:r>
        <w:t>is added before</w:t>
      </w:r>
      <w:r w:rsidR="00F82FAD">
        <w:t xml:space="preserve"> </w:t>
      </w:r>
      <w:r>
        <w:t>ratepayer benefit to emphasize the</w:t>
      </w:r>
      <w:r w:rsidR="00F82FAD">
        <w:t xml:space="preserve"> </w:t>
      </w:r>
      <w:r w:rsidR="4DC322E4">
        <w:t xml:space="preserve">importance of </w:t>
      </w:r>
      <w:r w:rsidR="00C85CC7">
        <w:t xml:space="preserve">creating </w:t>
      </w:r>
      <w:r w:rsidR="0CCE47C0">
        <w:t>ratepayer savings</w:t>
      </w:r>
      <w:r w:rsidR="4DC322E4">
        <w:t xml:space="preserve"> </w:t>
      </w:r>
      <w:r w:rsidR="0CCE47C0">
        <w:t xml:space="preserve">greater </w:t>
      </w:r>
      <w:r w:rsidR="633259D3">
        <w:t>than</w:t>
      </w:r>
      <w:r w:rsidR="0CCE47C0">
        <w:t xml:space="preserve"> the cost</w:t>
      </w:r>
      <w:r w:rsidR="4DC322E4">
        <w:t xml:space="preserve"> </w:t>
      </w:r>
      <w:r w:rsidR="0CCE47C0">
        <w:t>of implementing DER orchestration</w:t>
      </w:r>
      <w:r w:rsidR="4DC322E4">
        <w:t>;</w:t>
      </w:r>
      <w:r w:rsidR="00F82FAD">
        <w:t xml:space="preserve"> </w:t>
      </w:r>
      <w:r w:rsidR="492B713F">
        <w:t>and</w:t>
      </w:r>
    </w:p>
    <w:p w:rsidRPr="00B65B39" w:rsidR="00354009" w:rsidP="00940486" w:rsidRDefault="5F739563" w14:paraId="2C2843D7" w14:textId="1A879550">
      <w:pPr>
        <w:pStyle w:val="Standard"/>
        <w:numPr>
          <w:ilvl w:val="0"/>
          <w:numId w:val="79"/>
        </w:numPr>
        <w:spacing w:after="120" w:line="240" w:lineRule="auto"/>
        <w:ind w:right="1440"/>
        <w:rPr>
          <w:rFonts w:eastAsia="Calibri" w:cs="Arial"/>
        </w:rPr>
      </w:pPr>
      <w:r>
        <w:t>“</w:t>
      </w:r>
      <w:proofErr w:type="gramStart"/>
      <w:r>
        <w:t>and</w:t>
      </w:r>
      <w:proofErr w:type="gramEnd"/>
      <w:r>
        <w:t xml:space="preserve"> protection” is removed</w:t>
      </w:r>
      <w:r w:rsidR="492B713F">
        <w:t xml:space="preserve"> </w:t>
      </w:r>
      <w:r>
        <w:t xml:space="preserve">from </w:t>
      </w:r>
      <w:r w:rsidR="009D673B">
        <w:t>n</w:t>
      </w:r>
      <w:r>
        <w:t>et ratepayer</w:t>
      </w:r>
      <w:r w:rsidR="00F82FAD">
        <w:t xml:space="preserve"> </w:t>
      </w:r>
      <w:r w:rsidR="13A2170B">
        <w:t>benefit</w:t>
      </w:r>
      <w:r w:rsidRPr="3A7105CF" w:rsidR="78913731">
        <w:rPr>
          <w:rFonts w:eastAsia="Calibri" w:cs="Arial"/>
        </w:rPr>
        <w:t xml:space="preserve"> </w:t>
      </w:r>
      <w:r w:rsidRPr="1FE7A311" w:rsidR="78913731">
        <w:rPr>
          <w:rFonts w:eastAsia="Calibri" w:cs="Arial"/>
        </w:rPr>
        <w:t xml:space="preserve">as </w:t>
      </w:r>
      <w:r w:rsidRPr="45A1C52F" w:rsidR="78913731">
        <w:rPr>
          <w:rFonts w:eastAsia="Calibri" w:cs="Arial"/>
        </w:rPr>
        <w:t xml:space="preserve">protection is already </w:t>
      </w:r>
      <w:r w:rsidRPr="45BDCC28" w:rsidR="78913731">
        <w:rPr>
          <w:rFonts w:eastAsia="Calibri" w:cs="Arial"/>
        </w:rPr>
        <w:t xml:space="preserve">included in </w:t>
      </w:r>
      <w:r w:rsidRPr="4AAE29FD" w:rsidR="78913731">
        <w:rPr>
          <w:rFonts w:eastAsia="Calibri" w:cs="Arial"/>
        </w:rPr>
        <w:t xml:space="preserve">another </w:t>
      </w:r>
      <w:r w:rsidRPr="2BC7A482" w:rsidR="78913731">
        <w:rPr>
          <w:rFonts w:eastAsia="Calibri" w:cs="Arial"/>
        </w:rPr>
        <w:t>principle</w:t>
      </w:r>
      <w:r w:rsidR="009D673B">
        <w:rPr>
          <w:rFonts w:eastAsia="Calibri" w:cs="Arial"/>
        </w:rPr>
        <w:t>, e</w:t>
      </w:r>
      <w:r w:rsidRPr="24103182" w:rsidR="78913731">
        <w:rPr>
          <w:rFonts w:eastAsia="Calibri" w:cs="Arial"/>
        </w:rPr>
        <w:t xml:space="preserve">quity and consumer </w:t>
      </w:r>
      <w:r w:rsidRPr="20E0DBCF" w:rsidR="78913731">
        <w:rPr>
          <w:rFonts w:eastAsia="Calibri" w:cs="Arial"/>
        </w:rPr>
        <w:t>protection.</w:t>
      </w:r>
    </w:p>
    <w:p w:rsidRPr="00B65B39" w:rsidR="00354009" w:rsidP="00940486" w:rsidRDefault="488B3F81" w14:paraId="6CB34DB0" w14:textId="09A9FE8C">
      <w:pPr>
        <w:pStyle w:val="Standard"/>
        <w:spacing w:after="120" w:line="240" w:lineRule="auto"/>
        <w:ind w:left="1080" w:right="1440" w:firstLine="0"/>
      </w:pPr>
      <w:r w:rsidRPr="4634E979">
        <w:rPr>
          <w:rFonts w:eastAsia="Calibri" w:cs="Arial"/>
        </w:rPr>
        <w:t>Further</w:t>
      </w:r>
      <w:r w:rsidRPr="50EA6788">
        <w:rPr>
          <w:rFonts w:eastAsia="Calibri" w:cs="Arial"/>
        </w:rPr>
        <w:t xml:space="preserve">, we </w:t>
      </w:r>
      <w:r w:rsidRPr="7223106C" w:rsidR="492B713F">
        <w:rPr>
          <w:rFonts w:eastAsia="Calibri" w:cs="Arial"/>
        </w:rPr>
        <w:t>add the following guiding principle:</w:t>
      </w:r>
    </w:p>
    <w:p w:rsidR="5FE372E7" w:rsidP="00940486" w:rsidRDefault="492B713F" w14:paraId="4008C16A" w14:textId="3EF7F75B">
      <w:pPr>
        <w:pStyle w:val="Standard"/>
        <w:numPr>
          <w:ilvl w:val="0"/>
          <w:numId w:val="79"/>
        </w:numPr>
        <w:spacing w:after="120" w:line="240" w:lineRule="auto"/>
        <w:ind w:right="1440"/>
      </w:pPr>
      <w:r w:rsidRPr="492B713F">
        <w:t>Safe and reliable grid operation</w:t>
      </w:r>
      <w:r w:rsidR="00056CAC">
        <w:t>.</w:t>
      </w:r>
    </w:p>
    <w:p w:rsidR="21490189" w:rsidP="00BD2743" w:rsidRDefault="72480D49" w14:paraId="0B89B2AF" w14:textId="7ECF7B94">
      <w:pPr>
        <w:pStyle w:val="Heading2"/>
      </w:pPr>
      <w:bookmarkStart w:name="_Toc2091322352" w:id="33"/>
      <w:bookmarkStart w:name="_Toc243991441" w:id="34"/>
      <w:r w:rsidRPr="00BD2743">
        <w:t>Pre</w:t>
      </w:r>
      <w:r w:rsidRPr="05359213">
        <w:t xml:space="preserve">-Application </w:t>
      </w:r>
      <w:r w:rsidRPr="42AC7D4B" w:rsidR="5A27FC0C">
        <w:t>Stakeholder Engagement</w:t>
      </w:r>
      <w:bookmarkEnd w:id="33"/>
      <w:bookmarkEnd w:id="34"/>
    </w:p>
    <w:p w:rsidR="49A5AC81" w:rsidRDefault="5CC1FFA2" w14:paraId="008E8E1F" w14:textId="769EF78A">
      <w:r w:rsidRPr="27FF8F56">
        <w:rPr>
          <w:rFonts w:eastAsia="Book Antiqua" w:cs="Book Antiqua"/>
          <w:szCs w:val="26"/>
        </w:rPr>
        <w:t>The March 23 Ruling proposed a hybrid procedural approach consisting of two Commission-led workshops to develop the record on key technical, operational, and framework issues followed by formal IOU applications to develop and operationalize comprehensive DER Orchestration proposals. The Ruling also contemplated that the workshops and party comments could identify whether additional workshops, working groups, or other stakeholder processes would be useful before or during the application process.</w:t>
      </w:r>
    </w:p>
    <w:p w:rsidR="4EF07807" w:rsidP="632A416B" w:rsidRDefault="4EF07807" w14:paraId="7CC2655A" w14:textId="5063D07A">
      <w:pPr>
        <w:rPr>
          <w:rFonts w:eastAsia="Book Antiqua" w:cs="Book Antiqua"/>
          <w:szCs w:val="26"/>
        </w:rPr>
      </w:pPr>
      <w:proofErr w:type="gramStart"/>
      <w:r w:rsidRPr="632A416B">
        <w:rPr>
          <w:rFonts w:eastAsia="Book Antiqua" w:cs="Book Antiqua"/>
          <w:szCs w:val="26"/>
        </w:rPr>
        <w:lastRenderedPageBreak/>
        <w:t>The May</w:t>
      </w:r>
      <w:proofErr w:type="gramEnd"/>
      <w:r w:rsidRPr="632A416B">
        <w:rPr>
          <w:rFonts w:eastAsia="Book Antiqua" w:cs="Book Antiqua"/>
          <w:szCs w:val="26"/>
        </w:rPr>
        <w:t xml:space="preserve"> 21</w:t>
      </w:r>
      <w:r w:rsidR="0036272F">
        <w:rPr>
          <w:rFonts w:eastAsia="Book Antiqua" w:cs="Book Antiqua"/>
          <w:szCs w:val="26"/>
        </w:rPr>
        <w:t xml:space="preserve">, </w:t>
      </w:r>
      <w:proofErr w:type="gramStart"/>
      <w:r w:rsidR="0036272F">
        <w:rPr>
          <w:rFonts w:eastAsia="Book Antiqua" w:cs="Book Antiqua"/>
          <w:szCs w:val="26"/>
        </w:rPr>
        <w:t>2026</w:t>
      </w:r>
      <w:proofErr w:type="gramEnd"/>
      <w:r w:rsidRPr="632A416B">
        <w:rPr>
          <w:rFonts w:eastAsia="Book Antiqua" w:cs="Book Antiqua"/>
          <w:szCs w:val="26"/>
        </w:rPr>
        <w:t xml:space="preserve"> DER Orchestration Workshop and June 5</w:t>
      </w:r>
      <w:r w:rsidR="0036272F">
        <w:rPr>
          <w:rFonts w:eastAsia="Book Antiqua" w:cs="Book Antiqua"/>
          <w:szCs w:val="26"/>
        </w:rPr>
        <w:t xml:space="preserve">, </w:t>
      </w:r>
      <w:proofErr w:type="gramStart"/>
      <w:r w:rsidR="0036272F">
        <w:rPr>
          <w:rFonts w:eastAsia="Book Antiqua" w:cs="Book Antiqua"/>
          <w:szCs w:val="26"/>
        </w:rPr>
        <w:t>2026</w:t>
      </w:r>
      <w:proofErr w:type="gramEnd"/>
      <w:r w:rsidRPr="632A416B">
        <w:rPr>
          <w:rFonts w:eastAsia="Book Antiqua" w:cs="Book Antiqua"/>
          <w:szCs w:val="26"/>
        </w:rPr>
        <w:t xml:space="preserve"> TSO-DSO Coordination Workshop substantially developed the record on the issues identified in the March 23 Ruling.</w:t>
      </w:r>
      <w:r w:rsidRPr="05E47BDE">
        <w:rPr>
          <w:rFonts w:eastAsia="Book Antiqua" w:cs="Book Antiqua"/>
          <w:szCs w:val="26"/>
        </w:rPr>
        <w:t xml:space="preserve"> Parties generally supported continued stakeholder engagement but differed on how much additional framework development should occur before application</w:t>
      </w:r>
      <w:r w:rsidR="00F62425">
        <w:rPr>
          <w:rFonts w:eastAsia="Book Antiqua" w:cs="Book Antiqua"/>
          <w:szCs w:val="26"/>
        </w:rPr>
        <w:t xml:space="preserve"> filing</w:t>
      </w:r>
      <w:r w:rsidRPr="05E47BDE">
        <w:rPr>
          <w:rFonts w:eastAsia="Book Antiqua" w:cs="Book Antiqua"/>
          <w:szCs w:val="26"/>
        </w:rPr>
        <w:t>. Cal Advocates recommended a Commission-led working group to establish common framework requirements before applications</w:t>
      </w:r>
      <w:r w:rsidRPr="4130D493" w:rsidR="070B4051">
        <w:rPr>
          <w:rFonts w:eastAsia="Book Antiqua" w:cs="Book Antiqua"/>
          <w:szCs w:val="26"/>
        </w:rPr>
        <w:t>.</w:t>
      </w:r>
      <w:r w:rsidRPr="62BC6E7C" w:rsidR="17DC1109">
        <w:rPr>
          <w:rStyle w:val="FootnoteReference"/>
          <w:rFonts w:eastAsia="Book Antiqua" w:cs="Book Antiqua"/>
          <w:szCs w:val="26"/>
        </w:rPr>
        <w:footnoteReference w:id="60"/>
      </w:r>
      <w:r w:rsidRPr="7D85B82B" w:rsidR="74848A7C">
        <w:rPr>
          <w:rFonts w:eastAsia="Book Antiqua" w:cs="Book Antiqua"/>
          <w:szCs w:val="26"/>
        </w:rPr>
        <w:t xml:space="preserve"> </w:t>
      </w:r>
      <w:r w:rsidRPr="05E47BDE">
        <w:rPr>
          <w:rFonts w:eastAsia="Book Antiqua" w:cs="Book Antiqua"/>
          <w:szCs w:val="26"/>
        </w:rPr>
        <w:t>PG&amp;E supported continued stakeholder collaboration and workshops to refine issues that would evolve through implementation experience</w:t>
      </w:r>
      <w:r w:rsidRPr="43FB1375" w:rsidR="1F362AE7">
        <w:rPr>
          <w:rFonts w:eastAsia="Book Antiqua" w:cs="Book Antiqua"/>
          <w:szCs w:val="26"/>
        </w:rPr>
        <w:t>.</w:t>
      </w:r>
      <w:r w:rsidRPr="139595E7" w:rsidR="17DC1109">
        <w:rPr>
          <w:rStyle w:val="FootnoteReference"/>
          <w:rFonts w:eastAsia="Book Antiqua" w:cs="Book Antiqua"/>
          <w:szCs w:val="26"/>
        </w:rPr>
        <w:footnoteReference w:id="61"/>
      </w:r>
      <w:r w:rsidRPr="05E47BDE">
        <w:rPr>
          <w:rFonts w:eastAsia="Book Antiqua" w:cs="Book Antiqua"/>
          <w:szCs w:val="26"/>
        </w:rPr>
        <w:t xml:space="preserve"> Other parties proposed various time-limited working group or workshop processes, while also emphasizing the need to avoid open-ended pre-application development.</w:t>
      </w:r>
      <w:r w:rsidRPr="139595E7" w:rsidR="17DC1109">
        <w:rPr>
          <w:rStyle w:val="FootnoteReference"/>
          <w:rFonts w:eastAsia="Book Antiqua" w:cs="Book Antiqua"/>
          <w:szCs w:val="26"/>
        </w:rPr>
        <w:footnoteReference w:id="62"/>
      </w:r>
    </w:p>
    <w:p w:rsidR="007A2A0C" w:rsidP="000B582B" w:rsidRDefault="007A2A0C" w14:paraId="2FCAF1C9" w14:textId="4FDC6A2F">
      <w:pPr>
        <w:pStyle w:val="Heading3"/>
      </w:pPr>
      <w:bookmarkStart w:name="_Toc243991442" w:id="35"/>
      <w:r w:rsidRPr="000B582B">
        <w:t>Working</w:t>
      </w:r>
      <w:r>
        <w:t xml:space="preserve"> Group Meeting Series</w:t>
      </w:r>
      <w:bookmarkEnd w:id="35"/>
    </w:p>
    <w:p w:rsidR="004739BB" w:rsidP="0036272F" w:rsidRDefault="7566BE95" w14:paraId="66A1B556" w14:textId="56890512">
      <w:pPr>
        <w:rPr>
          <w:rFonts w:eastAsia="Book Antiqua" w:cs="Book Antiqua"/>
        </w:rPr>
      </w:pPr>
      <w:r w:rsidRPr="3B0CF3FF">
        <w:rPr>
          <w:rFonts w:eastAsia="Book Antiqua" w:cs="Book Antiqua"/>
        </w:rPr>
        <w:t xml:space="preserve">The Commission </w:t>
      </w:r>
      <w:r w:rsidR="00A14B84">
        <w:rPr>
          <w:rFonts w:eastAsia="Book Antiqua" w:cs="Book Antiqua"/>
        </w:rPr>
        <w:t>will</w:t>
      </w:r>
      <w:r w:rsidRPr="3B0CF3FF">
        <w:rPr>
          <w:rFonts w:eastAsia="Book Antiqua" w:cs="Book Antiqua"/>
        </w:rPr>
        <w:t xml:space="preserve"> require </w:t>
      </w:r>
      <w:r w:rsidR="00A14B84">
        <w:rPr>
          <w:rFonts w:eastAsia="Book Antiqua" w:cs="Book Antiqua"/>
        </w:rPr>
        <w:t xml:space="preserve">an </w:t>
      </w:r>
      <w:r w:rsidRPr="3B0CF3FF">
        <w:rPr>
          <w:rFonts w:eastAsia="Book Antiqua" w:cs="Book Antiqua"/>
        </w:rPr>
        <w:t xml:space="preserve">additional </w:t>
      </w:r>
      <w:r w:rsidR="00A14B84">
        <w:rPr>
          <w:rFonts w:eastAsia="Book Antiqua" w:cs="Book Antiqua"/>
        </w:rPr>
        <w:t>work</w:t>
      </w:r>
      <w:r w:rsidR="00D26154">
        <w:rPr>
          <w:rFonts w:eastAsia="Book Antiqua" w:cs="Book Antiqua"/>
        </w:rPr>
        <w:t>ing group meeting</w:t>
      </w:r>
      <w:r w:rsidR="00A14B84">
        <w:rPr>
          <w:rFonts w:eastAsia="Book Antiqua" w:cs="Book Antiqua"/>
        </w:rPr>
        <w:t xml:space="preserve"> series prior to the filing of a </w:t>
      </w:r>
      <w:r w:rsidR="00B0524A">
        <w:rPr>
          <w:rFonts w:eastAsia="Book Antiqua" w:cs="Book Antiqua"/>
        </w:rPr>
        <w:t>J</w:t>
      </w:r>
      <w:r w:rsidR="00A14B84">
        <w:rPr>
          <w:rFonts w:eastAsia="Book Antiqua" w:cs="Book Antiqua"/>
        </w:rPr>
        <w:t xml:space="preserve">oint </w:t>
      </w:r>
      <w:r w:rsidRPr="3B0CF3FF">
        <w:rPr>
          <w:rFonts w:eastAsia="Book Antiqua" w:cs="Book Antiqua"/>
        </w:rPr>
        <w:t>IOU</w:t>
      </w:r>
      <w:r w:rsidR="00A14B84">
        <w:rPr>
          <w:rFonts w:eastAsia="Book Antiqua" w:cs="Book Antiqua"/>
        </w:rPr>
        <w:t xml:space="preserve"> </w:t>
      </w:r>
      <w:r w:rsidR="00B0524A">
        <w:rPr>
          <w:rFonts w:eastAsia="Book Antiqua" w:cs="Book Antiqua"/>
        </w:rPr>
        <w:t>A</w:t>
      </w:r>
      <w:r w:rsidRPr="3B0CF3FF">
        <w:rPr>
          <w:rFonts w:eastAsia="Book Antiqua" w:cs="Book Antiqua"/>
        </w:rPr>
        <w:t xml:space="preserve">pplication. </w:t>
      </w:r>
      <w:r w:rsidRPr="00A86C5B" w:rsidR="00A86C5B">
        <w:rPr>
          <w:rFonts w:eastAsia="Book Antiqua" w:cs="Book Antiqua"/>
        </w:rPr>
        <w:t>The IOUs shall jointly contract with and fund the working group facilitator</w:t>
      </w:r>
      <w:r w:rsidR="00553197">
        <w:rPr>
          <w:rFonts w:eastAsia="Book Antiqua" w:cs="Book Antiqua"/>
        </w:rPr>
        <w:t xml:space="preserve"> after consulting with parties to the </w:t>
      </w:r>
      <w:proofErr w:type="gramStart"/>
      <w:r w:rsidR="00553197">
        <w:rPr>
          <w:rFonts w:eastAsia="Book Antiqua" w:cs="Book Antiqua"/>
        </w:rPr>
        <w:t>proceeding</w:t>
      </w:r>
      <w:proofErr w:type="gramEnd"/>
      <w:r w:rsidR="00553197">
        <w:rPr>
          <w:rFonts w:eastAsia="Book Antiqua" w:cs="Book Antiqua"/>
        </w:rPr>
        <w:t xml:space="preserve"> and Energy Division. The facilitator shall develop the scope of work </w:t>
      </w:r>
      <w:proofErr w:type="gramStart"/>
      <w:r w:rsidR="00553197">
        <w:rPr>
          <w:rFonts w:eastAsia="Book Antiqua" w:cs="Book Antiqua"/>
        </w:rPr>
        <w:t>consistent</w:t>
      </w:r>
      <w:proofErr w:type="gramEnd"/>
      <w:r w:rsidR="00553197">
        <w:rPr>
          <w:rFonts w:eastAsia="Book Antiqua" w:cs="Book Antiqua"/>
        </w:rPr>
        <w:t xml:space="preserve"> with this decision and after holding an initial meeting with the working group to consult on how to measure progress, define milestones and identify substantive issues that require specific attention </w:t>
      </w:r>
      <w:proofErr w:type="gramStart"/>
      <w:r w:rsidR="00553197">
        <w:rPr>
          <w:rFonts w:eastAsia="Book Antiqua" w:cs="Book Antiqua"/>
        </w:rPr>
        <w:t>of</w:t>
      </w:r>
      <w:proofErr w:type="gramEnd"/>
      <w:r w:rsidR="00553197">
        <w:rPr>
          <w:rFonts w:eastAsia="Book Antiqua" w:cs="Book Antiqua"/>
        </w:rPr>
        <w:t xml:space="preserve"> the working group</w:t>
      </w:r>
      <w:r w:rsidRPr="00A86C5B" w:rsidR="00A86C5B">
        <w:rPr>
          <w:rFonts w:eastAsia="Book Antiqua" w:cs="Book Antiqua"/>
        </w:rPr>
        <w:t>.</w:t>
      </w:r>
      <w:r w:rsidR="00A86C5B">
        <w:rPr>
          <w:rFonts w:eastAsia="Book Antiqua" w:cs="Book Antiqua"/>
        </w:rPr>
        <w:t xml:space="preserve"> </w:t>
      </w:r>
      <w:r w:rsidRPr="3B0CF3FF">
        <w:rPr>
          <w:rFonts w:eastAsia="Book Antiqua" w:cs="Book Antiqua"/>
        </w:rPr>
        <w:t xml:space="preserve">The two Commission-led workshops, workshop reports, and subsequent party comments </w:t>
      </w:r>
      <w:r w:rsidR="007873B0">
        <w:rPr>
          <w:rFonts w:eastAsia="Book Antiqua" w:cs="Book Antiqua"/>
        </w:rPr>
        <w:t>provide</w:t>
      </w:r>
      <w:r w:rsidR="00553197">
        <w:rPr>
          <w:rFonts w:eastAsia="Book Antiqua" w:cs="Book Antiqua"/>
        </w:rPr>
        <w:t xml:space="preserve"> a</w:t>
      </w:r>
      <w:r w:rsidR="007873B0">
        <w:rPr>
          <w:rFonts w:eastAsia="Book Antiqua" w:cs="Book Antiqua"/>
        </w:rPr>
        <w:t xml:space="preserve"> </w:t>
      </w:r>
      <w:r w:rsidRPr="3B0CF3FF">
        <w:rPr>
          <w:rFonts w:eastAsia="Book Antiqua" w:cs="Book Antiqua"/>
        </w:rPr>
        <w:t>record to</w:t>
      </w:r>
      <w:r w:rsidR="007873B0">
        <w:rPr>
          <w:rFonts w:eastAsia="Book Antiqua" w:cs="Book Antiqua"/>
        </w:rPr>
        <w:t xml:space="preserve"> support </w:t>
      </w:r>
      <w:r w:rsidR="00A14B84">
        <w:rPr>
          <w:rFonts w:eastAsia="Book Antiqua" w:cs="Book Antiqua"/>
        </w:rPr>
        <w:t>additional work in developing common framework requirements before</w:t>
      </w:r>
      <w:r w:rsidR="007A2A0C">
        <w:rPr>
          <w:rFonts w:eastAsia="Book Antiqua" w:cs="Book Antiqua"/>
        </w:rPr>
        <w:t xml:space="preserve"> the IOUs file</w:t>
      </w:r>
      <w:r w:rsidR="00A14B84">
        <w:rPr>
          <w:rFonts w:eastAsia="Book Antiqua" w:cs="Book Antiqua"/>
        </w:rPr>
        <w:t xml:space="preserve"> an</w:t>
      </w:r>
      <w:r w:rsidRPr="3B0CF3FF">
        <w:rPr>
          <w:rFonts w:eastAsia="Book Antiqua" w:cs="Book Antiqua"/>
        </w:rPr>
        <w:t xml:space="preserve"> application</w:t>
      </w:r>
      <w:r w:rsidR="00A14B84">
        <w:rPr>
          <w:rFonts w:eastAsia="Book Antiqua" w:cs="Book Antiqua"/>
        </w:rPr>
        <w:t xml:space="preserve">. </w:t>
      </w:r>
    </w:p>
    <w:p w:rsidR="001D01B7" w:rsidP="0036272F" w:rsidRDefault="001D01B7" w14:paraId="3E667B6F" w14:textId="64C25E31">
      <w:pPr>
        <w:rPr>
          <w:rFonts w:eastAsia="Book Antiqua" w:cs="Book Antiqua"/>
        </w:rPr>
      </w:pPr>
      <w:r>
        <w:rPr>
          <w:rFonts w:eastAsia="Book Antiqua" w:cs="Book Antiqua"/>
        </w:rPr>
        <w:lastRenderedPageBreak/>
        <w:t xml:space="preserve">The working group meeting series shall address the substantive issues </w:t>
      </w:r>
      <w:r w:rsidR="007F7074">
        <w:rPr>
          <w:rFonts w:eastAsia="Book Antiqua" w:cs="Book Antiqua"/>
        </w:rPr>
        <w:t xml:space="preserve">this decision directs to be included in the IOUs’ joint application. </w:t>
      </w:r>
      <w:r w:rsidR="00DC5CB9">
        <w:rPr>
          <w:rFonts w:eastAsia="Book Antiqua" w:cs="Book Antiqua"/>
        </w:rPr>
        <w:t>This includes the following:</w:t>
      </w:r>
    </w:p>
    <w:p w:rsidR="00DC5CB9" w:rsidP="00940486" w:rsidRDefault="00DC5CB9" w14:paraId="1A97A765" w14:textId="034A0F7D">
      <w:pPr>
        <w:pStyle w:val="ListParagraph"/>
        <w:numPr>
          <w:ilvl w:val="0"/>
          <w:numId w:val="86"/>
        </w:numPr>
        <w:spacing w:after="120" w:line="240" w:lineRule="auto"/>
        <w:ind w:right="1440"/>
        <w:contextualSpacing w:val="0"/>
        <w:rPr>
          <w:rFonts w:eastAsia="Book Antiqua" w:cs="Book Antiqua"/>
        </w:rPr>
      </w:pPr>
      <w:r>
        <w:rPr>
          <w:rFonts w:eastAsia="Book Antiqua" w:cs="Book Antiqua"/>
        </w:rPr>
        <w:t>Guiding principles refinement</w:t>
      </w:r>
      <w:r w:rsidR="00E06583">
        <w:rPr>
          <w:rFonts w:eastAsia="Book Antiqua" w:cs="Book Antiqua"/>
        </w:rPr>
        <w:t>;</w:t>
      </w:r>
    </w:p>
    <w:p w:rsidR="00DC5CB9" w:rsidP="00940486" w:rsidRDefault="00DC5CB9" w14:paraId="798693B4" w14:textId="059C6CAD">
      <w:pPr>
        <w:pStyle w:val="ListParagraph"/>
        <w:numPr>
          <w:ilvl w:val="0"/>
          <w:numId w:val="86"/>
        </w:numPr>
        <w:spacing w:after="120" w:line="240" w:lineRule="auto"/>
        <w:ind w:right="1440"/>
        <w:contextualSpacing w:val="0"/>
        <w:rPr>
          <w:rFonts w:eastAsia="Book Antiqua" w:cs="Book Antiqua"/>
        </w:rPr>
      </w:pPr>
      <w:r>
        <w:rPr>
          <w:rFonts w:eastAsia="Book Antiqua" w:cs="Book Antiqua"/>
        </w:rPr>
        <w:t>Valuation frameworks</w:t>
      </w:r>
      <w:r w:rsidR="00E06583">
        <w:rPr>
          <w:rFonts w:eastAsia="Book Antiqua" w:cs="Book Antiqua"/>
        </w:rPr>
        <w:t>;</w:t>
      </w:r>
    </w:p>
    <w:p w:rsidR="00DC5CB9" w:rsidP="00940486" w:rsidRDefault="00E06583" w14:paraId="77095856" w14:textId="1BC86417">
      <w:pPr>
        <w:pStyle w:val="ListParagraph"/>
        <w:numPr>
          <w:ilvl w:val="0"/>
          <w:numId w:val="86"/>
        </w:numPr>
        <w:spacing w:after="120" w:line="240" w:lineRule="auto"/>
        <w:ind w:right="1440"/>
        <w:contextualSpacing w:val="0"/>
        <w:rPr>
          <w:rFonts w:eastAsia="Book Antiqua" w:cs="Book Antiqua"/>
        </w:rPr>
      </w:pPr>
      <w:r>
        <w:rPr>
          <w:rFonts w:eastAsia="Book Antiqua" w:cs="Book Antiqua"/>
        </w:rPr>
        <w:t>Cost effectiveness and benefit-cost methodologies;</w:t>
      </w:r>
    </w:p>
    <w:p w:rsidR="00E06583" w:rsidP="00940486" w:rsidRDefault="00E06583" w14:paraId="232A78E5" w14:textId="4EF1C0E8">
      <w:pPr>
        <w:pStyle w:val="ListParagraph"/>
        <w:numPr>
          <w:ilvl w:val="0"/>
          <w:numId w:val="86"/>
        </w:numPr>
        <w:spacing w:after="120" w:line="240" w:lineRule="auto"/>
        <w:ind w:right="1440"/>
        <w:contextualSpacing w:val="0"/>
        <w:rPr>
          <w:rFonts w:eastAsia="Book Antiqua" w:cs="Book Antiqua"/>
        </w:rPr>
      </w:pPr>
      <w:r>
        <w:rPr>
          <w:rFonts w:eastAsia="Book Antiqua" w:cs="Book Antiqua"/>
        </w:rPr>
        <w:t>Interoperability, DSO visibility, and dispatch and control;</w:t>
      </w:r>
    </w:p>
    <w:p w:rsidR="00E06583" w:rsidP="00940486" w:rsidRDefault="00E06583" w14:paraId="7B7B047B" w14:textId="7509973F">
      <w:pPr>
        <w:pStyle w:val="ListParagraph"/>
        <w:numPr>
          <w:ilvl w:val="0"/>
          <w:numId w:val="86"/>
        </w:numPr>
        <w:spacing w:after="120" w:line="240" w:lineRule="auto"/>
        <w:ind w:right="1440"/>
        <w:contextualSpacing w:val="0"/>
        <w:rPr>
          <w:rFonts w:eastAsia="Book Antiqua" w:cs="Book Antiqua"/>
        </w:rPr>
      </w:pPr>
      <w:r>
        <w:rPr>
          <w:rFonts w:eastAsia="Book Antiqua" w:cs="Book Antiqua"/>
        </w:rPr>
        <w:t>Role of DER aggregators;</w:t>
      </w:r>
    </w:p>
    <w:p w:rsidR="00E06583" w:rsidP="00940486" w:rsidRDefault="00E06583" w14:paraId="4BE2BA5E" w14:textId="11C519E8">
      <w:pPr>
        <w:pStyle w:val="ListParagraph"/>
        <w:numPr>
          <w:ilvl w:val="0"/>
          <w:numId w:val="86"/>
        </w:numPr>
        <w:spacing w:after="120" w:line="240" w:lineRule="auto"/>
        <w:ind w:right="1440"/>
        <w:contextualSpacing w:val="0"/>
        <w:rPr>
          <w:rFonts w:eastAsia="Book Antiqua" w:cs="Book Antiqua"/>
        </w:rPr>
      </w:pPr>
      <w:r>
        <w:rPr>
          <w:rFonts w:eastAsia="Book Antiqua" w:cs="Book Antiqua"/>
        </w:rPr>
        <w:t>Flexible dispatching mechanisms;</w:t>
      </w:r>
    </w:p>
    <w:p w:rsidR="00E06583" w:rsidP="00940486" w:rsidRDefault="00E06583" w14:paraId="6CAFEBFD" w14:textId="7905E143">
      <w:pPr>
        <w:pStyle w:val="ListParagraph"/>
        <w:numPr>
          <w:ilvl w:val="0"/>
          <w:numId w:val="86"/>
        </w:numPr>
        <w:spacing w:after="120" w:line="240" w:lineRule="auto"/>
        <w:ind w:right="1440"/>
        <w:contextualSpacing w:val="0"/>
        <w:rPr>
          <w:rFonts w:eastAsia="Book Antiqua" w:cs="Book Antiqua"/>
        </w:rPr>
      </w:pPr>
      <w:r>
        <w:rPr>
          <w:rFonts w:eastAsia="Book Antiqua" w:cs="Book Antiqua"/>
        </w:rPr>
        <w:t>IOU technical readiness;</w:t>
      </w:r>
    </w:p>
    <w:p w:rsidR="00E06583" w:rsidP="00940486" w:rsidRDefault="00E06583" w14:paraId="4BA17D32" w14:textId="54C9F32A">
      <w:pPr>
        <w:pStyle w:val="ListParagraph"/>
        <w:numPr>
          <w:ilvl w:val="0"/>
          <w:numId w:val="86"/>
        </w:numPr>
        <w:spacing w:after="120" w:line="240" w:lineRule="auto"/>
        <w:ind w:right="1440"/>
        <w:contextualSpacing w:val="0"/>
        <w:rPr>
          <w:rFonts w:eastAsia="Book Antiqua" w:cs="Book Antiqua"/>
        </w:rPr>
      </w:pPr>
      <w:r>
        <w:rPr>
          <w:rFonts w:eastAsia="Book Antiqua" w:cs="Book Antiqua"/>
        </w:rPr>
        <w:t>Ownership of technology;</w:t>
      </w:r>
    </w:p>
    <w:p w:rsidR="00E06583" w:rsidP="00940486" w:rsidRDefault="00E06583" w14:paraId="64DACC5C" w14:textId="3AAF4683">
      <w:pPr>
        <w:pStyle w:val="ListParagraph"/>
        <w:numPr>
          <w:ilvl w:val="0"/>
          <w:numId w:val="86"/>
        </w:numPr>
        <w:spacing w:after="120" w:line="240" w:lineRule="auto"/>
        <w:ind w:right="1440"/>
        <w:contextualSpacing w:val="0"/>
        <w:rPr>
          <w:rFonts w:eastAsia="Book Antiqua" w:cs="Book Antiqua"/>
        </w:rPr>
      </w:pPr>
      <w:r>
        <w:rPr>
          <w:rFonts w:eastAsia="Book Antiqua" w:cs="Book Antiqua"/>
        </w:rPr>
        <w:t>Phased implementation and deployment;</w:t>
      </w:r>
    </w:p>
    <w:p w:rsidR="00C33705" w:rsidP="00940486" w:rsidRDefault="00E06583" w14:paraId="17625C65" w14:textId="77777777">
      <w:pPr>
        <w:pStyle w:val="ListParagraph"/>
        <w:numPr>
          <w:ilvl w:val="0"/>
          <w:numId w:val="86"/>
        </w:numPr>
        <w:spacing w:after="120" w:line="240" w:lineRule="auto"/>
        <w:ind w:right="1440"/>
        <w:contextualSpacing w:val="0"/>
        <w:rPr>
          <w:rFonts w:eastAsia="Book Antiqua" w:cs="Book Antiqua"/>
        </w:rPr>
      </w:pPr>
      <w:r>
        <w:rPr>
          <w:rFonts w:eastAsia="Book Antiqua" w:cs="Book Antiqua"/>
        </w:rPr>
        <w:t>DER orchestration and real-time pricing</w:t>
      </w:r>
      <w:r w:rsidR="00C33705">
        <w:rPr>
          <w:rFonts w:eastAsia="Book Antiqua" w:cs="Book Antiqua"/>
        </w:rPr>
        <w:t>;</w:t>
      </w:r>
    </w:p>
    <w:p w:rsidR="00E06583" w:rsidP="00940486" w:rsidRDefault="00C33705" w14:paraId="32917E9B" w14:textId="205FB2DC">
      <w:pPr>
        <w:pStyle w:val="ListParagraph"/>
        <w:numPr>
          <w:ilvl w:val="0"/>
          <w:numId w:val="86"/>
        </w:numPr>
        <w:spacing w:after="120" w:line="240" w:lineRule="auto"/>
        <w:ind w:right="1440"/>
        <w:contextualSpacing w:val="0"/>
        <w:rPr>
          <w:rFonts w:eastAsia="Book Antiqua" w:cs="Book Antiqua"/>
        </w:rPr>
      </w:pPr>
      <w:r>
        <w:rPr>
          <w:rFonts w:eastAsia="Book Antiqua" w:cs="Book Antiqua"/>
        </w:rPr>
        <w:t>Fair and non-discriminatory participation for utility and non-utility DER providers</w:t>
      </w:r>
      <w:r w:rsidR="00553197">
        <w:rPr>
          <w:rFonts w:eastAsia="Book Antiqua" w:cs="Book Antiqua"/>
        </w:rPr>
        <w:t>, and IOU conflict of interest and market power concerns</w:t>
      </w:r>
      <w:r w:rsidR="00E06583">
        <w:rPr>
          <w:rFonts w:eastAsia="Book Antiqua" w:cs="Book Antiqua"/>
        </w:rPr>
        <w:t>.</w:t>
      </w:r>
    </w:p>
    <w:p w:rsidRPr="00BD2743" w:rsidR="00553197" w:rsidP="00940486" w:rsidRDefault="00553197" w14:paraId="1C81A269" w14:textId="3D81808C">
      <w:pPr>
        <w:pStyle w:val="ListParagraph"/>
        <w:numPr>
          <w:ilvl w:val="0"/>
          <w:numId w:val="86"/>
        </w:numPr>
        <w:spacing w:after="120" w:line="240" w:lineRule="auto"/>
        <w:ind w:right="1440"/>
        <w:contextualSpacing w:val="0"/>
        <w:rPr>
          <w:rFonts w:eastAsia="Book Antiqua" w:cs="Book Antiqua"/>
        </w:rPr>
      </w:pPr>
      <w:r>
        <w:rPr>
          <w:rFonts w:eastAsia="Book Antiqua" w:cs="Book Antiqua"/>
        </w:rPr>
        <w:t>DSO performance measurement, monitoring, and accountability.</w:t>
      </w:r>
    </w:p>
    <w:p w:rsidR="00553197" w:rsidP="0036272F" w:rsidRDefault="00553197" w14:paraId="4EECC90F" w14:textId="77777777">
      <w:pPr>
        <w:rPr>
          <w:rFonts w:eastAsia="Book Antiqua" w:cs="Book Antiqua"/>
        </w:rPr>
      </w:pPr>
      <w:r>
        <w:rPr>
          <w:rFonts w:eastAsia="Book Antiqua" w:cs="Book Antiqua"/>
        </w:rPr>
        <w:t xml:space="preserve">At least one of the working group meetings should be dedicated to addressing fair and non-discriminatory participation, conflict of interest, and market power issues. This meeting should provide an opportunity for parties to present their concerns and proposals. We see merit to </w:t>
      </w:r>
      <w:proofErr w:type="gramStart"/>
      <w:r>
        <w:rPr>
          <w:rFonts w:eastAsia="Book Antiqua" w:cs="Book Antiqua"/>
        </w:rPr>
        <w:t>ensuring</w:t>
      </w:r>
      <w:proofErr w:type="gramEnd"/>
      <w:r>
        <w:rPr>
          <w:rFonts w:eastAsia="Book Antiqua" w:cs="Book Antiqua"/>
        </w:rPr>
        <w:t xml:space="preserve"> that any conflict of interest and market power concerns are addressed early. By addressing these potential issues through the working group process, we ensure that the joint application also addresses this matter, allowing for further dialogue and consideration in the joint application proceeding.</w:t>
      </w:r>
    </w:p>
    <w:p w:rsidR="00C45FDE" w:rsidP="0036272F" w:rsidRDefault="00A14B84" w14:paraId="13B0DFC5" w14:textId="619475A7">
      <w:pPr>
        <w:rPr>
          <w:rFonts w:eastAsia="Book Antiqua" w:cs="Book Antiqua"/>
        </w:rPr>
      </w:pPr>
      <w:r>
        <w:rPr>
          <w:rFonts w:eastAsia="Book Antiqua" w:cs="Book Antiqua"/>
        </w:rPr>
        <w:t>This work</w:t>
      </w:r>
      <w:r w:rsidR="00B41D33">
        <w:rPr>
          <w:rFonts w:eastAsia="Book Antiqua" w:cs="Book Antiqua"/>
        </w:rPr>
        <w:t xml:space="preserve"> shall consist of a series of meetings </w:t>
      </w:r>
      <w:r w:rsidR="008C0E99">
        <w:rPr>
          <w:rFonts w:eastAsia="Book Antiqua" w:cs="Book Antiqua"/>
        </w:rPr>
        <w:t>to be facilitated through</w:t>
      </w:r>
      <w:r>
        <w:rPr>
          <w:rFonts w:eastAsia="Book Antiqua" w:cs="Book Antiqua"/>
        </w:rPr>
        <w:t xml:space="preserve"> </w:t>
      </w:r>
      <w:r w:rsidR="00E42CC0">
        <w:rPr>
          <w:rFonts w:eastAsia="Book Antiqua" w:cs="Book Antiqua"/>
        </w:rPr>
        <w:t xml:space="preserve">a </w:t>
      </w:r>
      <w:r>
        <w:rPr>
          <w:rFonts w:eastAsia="Book Antiqua" w:cs="Book Antiqua"/>
        </w:rPr>
        <w:t>work</w:t>
      </w:r>
      <w:r w:rsidR="007A2A0C">
        <w:rPr>
          <w:rFonts w:eastAsia="Book Antiqua" w:cs="Book Antiqua"/>
        </w:rPr>
        <w:t>ing group meeting</w:t>
      </w:r>
      <w:r>
        <w:rPr>
          <w:rFonts w:eastAsia="Book Antiqua" w:cs="Book Antiqua"/>
        </w:rPr>
        <w:t xml:space="preserve"> series outside of this proceeding </w:t>
      </w:r>
      <w:r w:rsidR="00C958F1">
        <w:rPr>
          <w:rFonts w:eastAsia="Book Antiqua" w:cs="Book Antiqua"/>
        </w:rPr>
        <w:t xml:space="preserve">and does not need to be </w:t>
      </w:r>
      <w:r w:rsidR="00C958F1">
        <w:rPr>
          <w:rFonts w:eastAsia="Book Antiqua" w:cs="Book Antiqua"/>
        </w:rPr>
        <w:lastRenderedPageBreak/>
        <w:t xml:space="preserve">conducted as part of an open proceeding. The working group </w:t>
      </w:r>
      <w:r w:rsidR="0048364D">
        <w:rPr>
          <w:rFonts w:eastAsia="Book Antiqua" w:cs="Book Antiqua"/>
        </w:rPr>
        <w:t>is to be open to interested parties</w:t>
      </w:r>
      <w:r w:rsidR="000B582B">
        <w:rPr>
          <w:rFonts w:eastAsia="Book Antiqua" w:cs="Book Antiqua"/>
        </w:rPr>
        <w:t>. R</w:t>
      </w:r>
      <w:r w:rsidR="0048364D">
        <w:rPr>
          <w:rFonts w:eastAsia="Book Antiqua" w:cs="Book Antiqua"/>
        </w:rPr>
        <w:t>elevant information, including meeting date</w:t>
      </w:r>
      <w:r w:rsidR="000B582B">
        <w:rPr>
          <w:rFonts w:eastAsia="Book Antiqua" w:cs="Book Antiqua"/>
        </w:rPr>
        <w:t xml:space="preserve">s and </w:t>
      </w:r>
      <w:r w:rsidR="0048364D">
        <w:rPr>
          <w:rFonts w:eastAsia="Book Antiqua" w:cs="Book Antiqua"/>
        </w:rPr>
        <w:t>times</w:t>
      </w:r>
      <w:r w:rsidR="000B582B">
        <w:rPr>
          <w:rFonts w:eastAsia="Book Antiqua" w:cs="Book Antiqua"/>
        </w:rPr>
        <w:t>,</w:t>
      </w:r>
      <w:r w:rsidR="0048364D">
        <w:rPr>
          <w:rFonts w:eastAsia="Book Antiqua" w:cs="Book Antiqua"/>
        </w:rPr>
        <w:t xml:space="preserve"> </w:t>
      </w:r>
      <w:proofErr w:type="gramStart"/>
      <w:r w:rsidR="0048364D">
        <w:rPr>
          <w:rFonts w:eastAsia="Book Antiqua" w:cs="Book Antiqua"/>
        </w:rPr>
        <w:t>are</w:t>
      </w:r>
      <w:proofErr w:type="gramEnd"/>
      <w:r w:rsidR="0048364D">
        <w:rPr>
          <w:rFonts w:eastAsia="Book Antiqua" w:cs="Book Antiqua"/>
        </w:rPr>
        <w:t xml:space="preserve"> to be served on the service list for </w:t>
      </w:r>
      <w:r w:rsidR="00C958F1">
        <w:rPr>
          <w:rFonts w:eastAsia="Book Antiqua" w:cs="Book Antiqua"/>
        </w:rPr>
        <w:t xml:space="preserve">this proceeding. </w:t>
      </w:r>
      <w:r w:rsidR="00B41D33">
        <w:rPr>
          <w:rFonts w:eastAsia="Book Antiqua" w:cs="Book Antiqua"/>
        </w:rPr>
        <w:t xml:space="preserve">A report </w:t>
      </w:r>
      <w:r w:rsidR="00DE3C6B">
        <w:rPr>
          <w:rFonts w:eastAsia="Book Antiqua" w:cs="Book Antiqua"/>
        </w:rPr>
        <w:t xml:space="preserve">shall be developed </w:t>
      </w:r>
      <w:r w:rsidR="008F4850">
        <w:rPr>
          <w:rFonts w:eastAsia="Book Antiqua" w:cs="Book Antiqua"/>
        </w:rPr>
        <w:t>based on</w:t>
      </w:r>
      <w:r w:rsidR="00DE3C6B">
        <w:rPr>
          <w:rFonts w:eastAsia="Book Antiqua" w:cs="Book Antiqua"/>
        </w:rPr>
        <w:t xml:space="preserve"> the working group meeting series with recommendations regarding each of the substantive issue areas addressed in this decision and listed above. </w:t>
      </w:r>
      <w:r w:rsidR="00C45FDE">
        <w:rPr>
          <w:rFonts w:eastAsia="Book Antiqua" w:cs="Book Antiqua"/>
        </w:rPr>
        <w:t>If no consensus is reached toward one recommendation, the report may identify multiple options for recommendations.</w:t>
      </w:r>
      <w:r w:rsidR="007417B6">
        <w:rPr>
          <w:rFonts w:eastAsia="Book Antiqua" w:cs="Book Antiqua"/>
        </w:rPr>
        <w:t xml:space="preserve"> </w:t>
      </w:r>
      <w:r w:rsidRPr="007417B6" w:rsidR="007417B6">
        <w:rPr>
          <w:rFonts w:eastAsia="Book Antiqua" w:cs="Book Antiqua"/>
        </w:rPr>
        <w:t xml:space="preserve">The working group report shall identify areas of stakeholder agreement and disagreement and provide </w:t>
      </w:r>
      <w:r w:rsidR="00E65BB3">
        <w:rPr>
          <w:rFonts w:eastAsia="Book Antiqua" w:cs="Book Antiqua"/>
        </w:rPr>
        <w:t xml:space="preserve">consensus and non-consensus </w:t>
      </w:r>
      <w:r w:rsidRPr="007417B6" w:rsidR="007417B6">
        <w:rPr>
          <w:rFonts w:eastAsia="Book Antiqua" w:cs="Book Antiqua"/>
        </w:rPr>
        <w:t>recommendations or options to inform the Joint IOU Application.</w:t>
      </w:r>
    </w:p>
    <w:p w:rsidR="00E65BB3" w:rsidP="00E65BB3" w:rsidRDefault="00E65BB3" w14:paraId="31F0C9B4" w14:textId="0A0E29E6">
      <w:pPr>
        <w:rPr>
          <w:rFonts w:eastAsia="Book Antiqua" w:cs="Book Antiqua"/>
        </w:rPr>
      </w:pPr>
      <w:r w:rsidRPr="35ABCD6E">
        <w:rPr>
          <w:rFonts w:eastAsia="Book Antiqua" w:cs="Book Antiqua"/>
        </w:rPr>
        <w:t xml:space="preserve">Within one month of issuance of this decision, the IOUs shall retain the working group facilitator, after consulting with the Energy Division. Within two months, the IOUs and </w:t>
      </w:r>
      <w:r w:rsidR="003225B0">
        <w:rPr>
          <w:rFonts w:eastAsia="Book Antiqua" w:cs="Book Antiqua"/>
        </w:rPr>
        <w:t xml:space="preserve">the </w:t>
      </w:r>
      <w:r w:rsidRPr="35ABCD6E">
        <w:rPr>
          <w:rFonts w:eastAsia="Book Antiqua" w:cs="Book Antiqua"/>
        </w:rPr>
        <w:t>facilitator shall finalize the scope of work, after consulting with</w:t>
      </w:r>
      <w:r>
        <w:rPr>
          <w:rFonts w:eastAsia="Book Antiqua" w:cs="Book Antiqua"/>
        </w:rPr>
        <w:t xml:space="preserve"> parties to the proceeding and the</w:t>
      </w:r>
      <w:r w:rsidRPr="35ABCD6E">
        <w:rPr>
          <w:rFonts w:eastAsia="Book Antiqua" w:cs="Book Antiqua"/>
        </w:rPr>
        <w:t xml:space="preserve"> </w:t>
      </w:r>
      <w:r>
        <w:rPr>
          <w:rFonts w:eastAsia="Book Antiqua" w:cs="Book Antiqua"/>
        </w:rPr>
        <w:t>Energy Division</w:t>
      </w:r>
      <w:r w:rsidRPr="35ABCD6E">
        <w:rPr>
          <w:rFonts w:eastAsia="Book Antiqua" w:cs="Book Antiqua"/>
        </w:rPr>
        <w:t xml:space="preserve">. Within eight months, the facilitator shall circulate the draft working group report for informal stakeholder comment. Within 10 months, the facilitator shall publish the final report, taking stakeholder comments into account and documenting areas of agreement and disagreement. The IOUs shall attach the final report to their joint application, to be filed within 12 months of issuance of this decision. </w:t>
      </w:r>
      <w:r>
        <w:rPr>
          <w:rFonts w:eastAsia="Book Antiqua" w:cs="Book Antiqua"/>
        </w:rPr>
        <w:t>The joint application implementing the framework</w:t>
      </w:r>
      <w:r w:rsidRPr="35ABCD6E">
        <w:rPr>
          <w:rFonts w:eastAsia="Book Antiqua" w:cs="Book Antiqua"/>
        </w:rPr>
        <w:t xml:space="preserve"> shall explain how </w:t>
      </w:r>
      <w:r>
        <w:rPr>
          <w:rFonts w:eastAsia="Book Antiqua" w:cs="Book Antiqua"/>
        </w:rPr>
        <w:t>working group</w:t>
      </w:r>
      <w:r w:rsidRPr="35ABCD6E">
        <w:rPr>
          <w:rFonts w:eastAsia="Book Antiqua" w:cs="Book Antiqua"/>
        </w:rPr>
        <w:t xml:space="preserve"> recommendations informed </w:t>
      </w:r>
      <w:r>
        <w:rPr>
          <w:rFonts w:eastAsia="Book Antiqua" w:cs="Book Antiqua"/>
        </w:rPr>
        <w:t>the</w:t>
      </w:r>
      <w:r w:rsidRPr="35ABCD6E">
        <w:rPr>
          <w:rFonts w:eastAsia="Book Antiqua" w:cs="Book Antiqua"/>
        </w:rPr>
        <w:t xml:space="preserve"> proposal. </w:t>
      </w:r>
    </w:p>
    <w:p w:rsidR="00E836D1" w:rsidP="0036272F" w:rsidRDefault="00C958F1" w14:paraId="77D49027" w14:textId="274C5287">
      <w:pPr>
        <w:rPr>
          <w:rFonts w:eastAsia="Book Antiqua" w:cs="Book Antiqua"/>
        </w:rPr>
      </w:pPr>
      <w:r>
        <w:rPr>
          <w:rFonts w:eastAsia="Book Antiqua" w:cs="Book Antiqua"/>
        </w:rPr>
        <w:t xml:space="preserve">The work of the group, including preparing a final report to be included with the Joint IOU Application, is to be completed within 10 months from issuance of this decision. </w:t>
      </w:r>
      <w:r w:rsidR="003D143A">
        <w:rPr>
          <w:rFonts w:eastAsia="Book Antiqua" w:cs="Book Antiqua"/>
        </w:rPr>
        <w:t>T</w:t>
      </w:r>
      <w:r w:rsidR="007A2A0C">
        <w:rPr>
          <w:rFonts w:eastAsia="Book Antiqua" w:cs="Book Antiqua"/>
        </w:rPr>
        <w:t xml:space="preserve">he IOUs must </w:t>
      </w:r>
      <w:r w:rsidR="00875B09">
        <w:rPr>
          <w:rFonts w:eastAsia="Book Antiqua" w:cs="Book Antiqua"/>
        </w:rPr>
        <w:t>allow parties to this proceeding to provide informal comments on the draft report</w:t>
      </w:r>
      <w:r w:rsidR="003D143A">
        <w:rPr>
          <w:rFonts w:eastAsia="Book Antiqua" w:cs="Book Antiqua"/>
        </w:rPr>
        <w:t xml:space="preserve"> within those 10 months</w:t>
      </w:r>
      <w:r w:rsidR="00875B09">
        <w:rPr>
          <w:rFonts w:eastAsia="Book Antiqua" w:cs="Book Antiqua"/>
        </w:rPr>
        <w:t xml:space="preserve">. </w:t>
      </w:r>
      <w:r>
        <w:rPr>
          <w:rFonts w:eastAsia="Book Antiqua" w:cs="Book Antiqua"/>
        </w:rPr>
        <w:t xml:space="preserve">The </w:t>
      </w:r>
      <w:r w:rsidR="00875B09">
        <w:rPr>
          <w:rFonts w:eastAsia="Book Antiqua" w:cs="Book Antiqua"/>
        </w:rPr>
        <w:t xml:space="preserve">final </w:t>
      </w:r>
      <w:r>
        <w:rPr>
          <w:rFonts w:eastAsia="Book Antiqua" w:cs="Book Antiqua"/>
        </w:rPr>
        <w:t>report is</w:t>
      </w:r>
      <w:r w:rsidR="00875B09">
        <w:rPr>
          <w:rFonts w:eastAsia="Book Antiqua" w:cs="Book Antiqua"/>
        </w:rPr>
        <w:t xml:space="preserve"> then</w:t>
      </w:r>
      <w:r>
        <w:rPr>
          <w:rFonts w:eastAsia="Book Antiqua" w:cs="Book Antiqua"/>
        </w:rPr>
        <w:t xml:space="preserve"> to be included as part of the</w:t>
      </w:r>
      <w:r w:rsidR="00A14B84">
        <w:rPr>
          <w:rFonts w:eastAsia="Book Antiqua" w:cs="Book Antiqua"/>
        </w:rPr>
        <w:t xml:space="preserve"> </w:t>
      </w:r>
      <w:r>
        <w:rPr>
          <w:rFonts w:eastAsia="Book Antiqua" w:cs="Book Antiqua"/>
        </w:rPr>
        <w:t>Joint</w:t>
      </w:r>
      <w:r w:rsidR="00A14B84">
        <w:rPr>
          <w:rFonts w:eastAsia="Book Antiqua" w:cs="Book Antiqua"/>
        </w:rPr>
        <w:t xml:space="preserve"> </w:t>
      </w:r>
      <w:r>
        <w:rPr>
          <w:rFonts w:eastAsia="Book Antiqua" w:cs="Book Antiqua"/>
        </w:rPr>
        <w:t xml:space="preserve">IOU </w:t>
      </w:r>
      <w:r w:rsidR="00A14B84">
        <w:rPr>
          <w:rFonts w:eastAsia="Book Antiqua" w:cs="Book Antiqua"/>
        </w:rPr>
        <w:t xml:space="preserve">Application </w:t>
      </w:r>
      <w:r>
        <w:rPr>
          <w:rFonts w:eastAsia="Book Antiqua" w:cs="Book Antiqua"/>
        </w:rPr>
        <w:t>to be filed within 12 months of the issuance of this decision</w:t>
      </w:r>
      <w:r w:rsidRPr="3B0CF3FF" w:rsidR="7566BE95">
        <w:rPr>
          <w:rFonts w:eastAsia="Book Antiqua" w:cs="Book Antiqua"/>
        </w:rPr>
        <w:t>.</w:t>
      </w:r>
      <w:r w:rsidRPr="3B0CF3FF" w:rsidR="68E24477">
        <w:rPr>
          <w:rFonts w:eastAsia="Book Antiqua" w:cs="Book Antiqua"/>
        </w:rPr>
        <w:t xml:space="preserve"> </w:t>
      </w:r>
    </w:p>
    <w:p w:rsidR="00E65BB3" w:rsidP="00E65BB3" w:rsidRDefault="0084692D" w14:paraId="13CAE45E" w14:textId="62A4517E">
      <w:pPr>
        <w:pStyle w:val="Standard"/>
      </w:pPr>
      <w:r>
        <w:lastRenderedPageBreak/>
        <w:t>T</w:t>
      </w:r>
      <w:r w:rsidRPr="3B0CF3FF" w:rsidR="68E24477">
        <w:t xml:space="preserve">he Commission </w:t>
      </w:r>
      <w:r>
        <w:t>also</w:t>
      </w:r>
      <w:r w:rsidRPr="3B0CF3FF" w:rsidR="68E24477">
        <w:t xml:space="preserve"> find</w:t>
      </w:r>
      <w:r>
        <w:t>s</w:t>
      </w:r>
      <w:r w:rsidRPr="3B0CF3FF" w:rsidR="68E24477">
        <w:t xml:space="preserve"> value in providing stakeholders an opportunity to review the IOUs </w:t>
      </w:r>
      <w:r w:rsidR="000B582B">
        <w:t xml:space="preserve">draft </w:t>
      </w:r>
      <w:r w:rsidRPr="3B0CF3FF" w:rsidR="68E24477">
        <w:t xml:space="preserve">proposal </w:t>
      </w:r>
      <w:r w:rsidRPr="3B0CF3FF" w:rsidR="465274ED">
        <w:t>prior to</w:t>
      </w:r>
      <w:r w:rsidRPr="3B0CF3FF" w:rsidR="68E24477">
        <w:t xml:space="preserve"> filing</w:t>
      </w:r>
      <w:r w:rsidRPr="3B0CF3FF" w:rsidR="4F05D50C">
        <w:t>.</w:t>
      </w:r>
      <w:r w:rsidR="00E836D1">
        <w:t xml:space="preserve"> </w:t>
      </w:r>
      <w:r w:rsidRPr="2D3D7DC7" w:rsidR="27C04654">
        <w:rPr>
          <w:rFonts w:eastAsia="Calibri" w:cs="Arial"/>
          <w:color w:val="000000" w:themeColor="text1"/>
        </w:rPr>
        <w:t>Accordingly,</w:t>
      </w:r>
      <w:r w:rsidRPr="2970CAD5" w:rsidR="27C04654">
        <w:rPr>
          <w:rFonts w:eastAsia="Calibri" w:cs="Arial"/>
          <w:color w:val="000000" w:themeColor="text1"/>
        </w:rPr>
        <w:t xml:space="preserve"> </w:t>
      </w:r>
      <w:r w:rsidRPr="1A42260C" w:rsidR="27C04654">
        <w:rPr>
          <w:rFonts w:eastAsia="Calibri" w:cs="Arial"/>
          <w:color w:val="000000" w:themeColor="text1"/>
        </w:rPr>
        <w:t>i</w:t>
      </w:r>
      <w:r w:rsidR="09751491">
        <w:t>n</w:t>
      </w:r>
      <w:r w:rsidR="00EB3505">
        <w:t xml:space="preserve"> addition</w:t>
      </w:r>
      <w:r w:rsidR="00E90810">
        <w:t xml:space="preserve"> </w:t>
      </w:r>
      <w:r w:rsidR="00F04E25">
        <w:t>to or</w:t>
      </w:r>
      <w:r w:rsidR="00E90810">
        <w:t xml:space="preserve"> as part of</w:t>
      </w:r>
      <w:r w:rsidR="00EB3505">
        <w:t xml:space="preserve"> the work</w:t>
      </w:r>
      <w:r w:rsidR="006259E9">
        <w:t>ing group meeting</w:t>
      </w:r>
      <w:r w:rsidR="00EB3505">
        <w:t xml:space="preserve"> series described above, </w:t>
      </w:r>
      <w:r w:rsidRPr="05359213" w:rsidR="09751491">
        <w:t xml:space="preserve">the IOUs </w:t>
      </w:r>
      <w:r w:rsidR="5FA77360">
        <w:t xml:space="preserve">shall </w:t>
      </w:r>
      <w:r w:rsidRPr="05359213" w:rsidR="09751491">
        <w:t>convene</w:t>
      </w:r>
      <w:r w:rsidR="2A1F0D93">
        <w:t xml:space="preserve"> one joint pre-application </w:t>
      </w:r>
      <w:r w:rsidR="09751491">
        <w:t>workshop</w:t>
      </w:r>
      <w:r w:rsidR="530C3ED1">
        <w:t xml:space="preserve"> to present their draft application and gather stakeholder feedback.</w:t>
      </w:r>
      <w:r w:rsidR="06157378">
        <w:t xml:space="preserve"> </w:t>
      </w:r>
      <w:r w:rsidRPr="00A86C5B" w:rsidR="00A86C5B">
        <w:t xml:space="preserve">This joint pre-application workshop shall occur within </w:t>
      </w:r>
      <w:r w:rsidR="00A86C5B">
        <w:t>10</w:t>
      </w:r>
      <w:r w:rsidRPr="00A86C5B" w:rsidR="00A86C5B">
        <w:t xml:space="preserve"> months of issuance of this decision, after publication of the final working group report, and sufficiently early to allow stakeholder feedback on the common framework and utility-specific implementation proposals to inform the </w:t>
      </w:r>
      <w:r w:rsidR="00E65BB3">
        <w:t xml:space="preserve">joint </w:t>
      </w:r>
      <w:r w:rsidRPr="00A86C5B" w:rsidR="00A86C5B">
        <w:t>IOUs’ application filings.</w:t>
      </w:r>
      <w:r w:rsidR="00A71C46">
        <w:t xml:space="preserve"> </w:t>
      </w:r>
      <w:r w:rsidR="00E65BB3">
        <w:t>The workshop shall be recorded and made available for the Energy Division to post on the Commission’s website. Workshop materials shall be distributed to the High DER proceeding service list at least five business days ahead of the workshop date. The IOUs shall consult and seek approval of the workshop agenda from the Energy Division.</w:t>
      </w:r>
    </w:p>
    <w:p w:rsidR="09751491" w:rsidP="00E65BB3" w:rsidRDefault="00EF1CA1" w14:paraId="1EEEAAC8" w14:textId="066F2CEE">
      <w:pPr>
        <w:pStyle w:val="Standard"/>
      </w:pPr>
      <w:r>
        <w:t>T</w:t>
      </w:r>
      <w:r w:rsidR="06157378">
        <w:t>he IOUs, in consultation with Energy Division</w:t>
      </w:r>
      <w:r>
        <w:t xml:space="preserve"> and the </w:t>
      </w:r>
      <w:r w:rsidR="00E90810">
        <w:t>IOUs</w:t>
      </w:r>
      <w:r>
        <w:t xml:space="preserve">’ </w:t>
      </w:r>
      <w:proofErr w:type="gramStart"/>
      <w:r>
        <w:t>consultant</w:t>
      </w:r>
      <w:proofErr w:type="gramEnd"/>
      <w:r>
        <w:t xml:space="preserve"> leading the work</w:t>
      </w:r>
      <w:r w:rsidR="003230C1">
        <w:t>ing group</w:t>
      </w:r>
      <w:r w:rsidR="06157378">
        <w:t>, may</w:t>
      </w:r>
      <w:r w:rsidR="36BFDAD8">
        <w:t xml:space="preserve"> </w:t>
      </w:r>
      <w:r w:rsidR="58AD9B0A">
        <w:t xml:space="preserve">either </w:t>
      </w:r>
      <w:r w:rsidR="0E7DD96B">
        <w:t xml:space="preserve">jointly or individually </w:t>
      </w:r>
      <w:r w:rsidR="36BFDAD8">
        <w:t xml:space="preserve">conduct </w:t>
      </w:r>
      <w:r w:rsidRPr="05359213" w:rsidR="09751491">
        <w:t xml:space="preserve">other public engagement opportunities </w:t>
      </w:r>
      <w:r w:rsidR="63CF1318">
        <w:t xml:space="preserve">such as follow-up workshops or webinars </w:t>
      </w:r>
      <w:r w:rsidR="09751491">
        <w:t>to</w:t>
      </w:r>
      <w:r w:rsidRPr="05359213" w:rsidR="09751491">
        <w:t xml:space="preserve"> </w:t>
      </w:r>
      <w:r w:rsidR="3093A600">
        <w:t>continue to inform</w:t>
      </w:r>
      <w:r w:rsidRPr="05359213" w:rsidR="09751491">
        <w:t xml:space="preserve"> the development of their application framework</w:t>
      </w:r>
      <w:r w:rsidR="4314B7D1">
        <w:t xml:space="preserve"> as needed</w:t>
      </w:r>
      <w:r w:rsidR="7E16E423">
        <w:t>.</w:t>
      </w:r>
      <w:r w:rsidR="36CA7596">
        <w:t xml:space="preserve"> </w:t>
      </w:r>
      <w:r w:rsidR="09751491">
        <w:t>These</w:t>
      </w:r>
      <w:r w:rsidRPr="05359213" w:rsidR="09751491">
        <w:t xml:space="preserve"> engagement opportunities</w:t>
      </w:r>
      <w:r w:rsidR="003230C1">
        <w:t xml:space="preserve"> should be coordinated with and through the working group effort described </w:t>
      </w:r>
      <w:proofErr w:type="gramStart"/>
      <w:r w:rsidR="003230C1">
        <w:t>above, but</w:t>
      </w:r>
      <w:proofErr w:type="gramEnd"/>
      <w:r w:rsidR="003230C1">
        <w:t xml:space="preserve"> would not be limited to working group members. These opportunities, led by the IOUs</w:t>
      </w:r>
      <w:r w:rsidR="007E546A">
        <w:t>,</w:t>
      </w:r>
      <w:r w:rsidR="003230C1">
        <w:t xml:space="preserve"> </w:t>
      </w:r>
      <w:r w:rsidRPr="05359213" w:rsidR="09751491">
        <w:t xml:space="preserve">would </w:t>
      </w:r>
      <w:r w:rsidR="00B46420">
        <w:t xml:space="preserve">provide an opportunity </w:t>
      </w:r>
      <w:r w:rsidR="0093547F">
        <w:t xml:space="preserve">for </w:t>
      </w:r>
      <w:r w:rsidR="00B46420">
        <w:t xml:space="preserve">the IOUs to present how they envision applying the feedback discussed in the working group </w:t>
      </w:r>
      <w:r w:rsidRPr="05359213" w:rsidR="09751491">
        <w:t xml:space="preserve">on topics such as operational requirements, </w:t>
      </w:r>
      <w:r w:rsidR="0267FB1E">
        <w:t xml:space="preserve">stakeholder </w:t>
      </w:r>
      <w:r w:rsidRPr="05359213" w:rsidR="09751491">
        <w:t xml:space="preserve">roles and responsibilities, </w:t>
      </w:r>
      <w:r w:rsidR="384D8928">
        <w:t>and</w:t>
      </w:r>
      <w:r w:rsidRPr="05359213" w:rsidR="09751491">
        <w:t xml:space="preserve"> other framework requirements established in this decision</w:t>
      </w:r>
      <w:r w:rsidR="006D10E0">
        <w:t xml:space="preserve"> and developed through the working group</w:t>
      </w:r>
      <w:r w:rsidRPr="00BD2743" w:rsidR="09751491">
        <w:t xml:space="preserve">. The </w:t>
      </w:r>
      <w:r w:rsidR="006D10E0">
        <w:t xml:space="preserve">information discussed in the </w:t>
      </w:r>
      <w:r w:rsidRPr="00BD2743" w:rsidR="09751491">
        <w:t>IOU</w:t>
      </w:r>
      <w:r w:rsidR="006D10E0">
        <w:t xml:space="preserve"> engagements would be </w:t>
      </w:r>
      <w:r w:rsidRPr="00BD2743" w:rsidR="09751491">
        <w:t>gather</w:t>
      </w:r>
      <w:r w:rsidR="006D10E0">
        <w:t>ed</w:t>
      </w:r>
      <w:r w:rsidRPr="00BD2743" w:rsidR="09751491">
        <w:t xml:space="preserve"> and </w:t>
      </w:r>
      <w:r w:rsidRPr="00BD2743" w:rsidR="09751491">
        <w:lastRenderedPageBreak/>
        <w:t>incorporate</w:t>
      </w:r>
      <w:r w:rsidR="006D10E0">
        <w:t>d</w:t>
      </w:r>
      <w:r w:rsidR="7F6E85CD">
        <w:t xml:space="preserve"> </w:t>
      </w:r>
      <w:r w:rsidR="006D10E0">
        <w:t xml:space="preserve">into the working group </w:t>
      </w:r>
      <w:r w:rsidR="7F6E85CD">
        <w:t>framework development</w:t>
      </w:r>
      <w:r w:rsidR="09751491">
        <w:t xml:space="preserve"> </w:t>
      </w:r>
      <w:r w:rsidRPr="00BD2743" w:rsidR="09751491">
        <w:t>to avoid delaying the application filing deadline established by this decision.</w:t>
      </w:r>
    </w:p>
    <w:p w:rsidRPr="0051125B" w:rsidR="0051125B" w:rsidP="007E546A" w:rsidRDefault="00F7493E" w14:paraId="64B2CA79" w14:textId="01204515">
      <w:pPr>
        <w:ind w:firstLine="0"/>
      </w:pPr>
      <w:r>
        <w:tab/>
        <w:t xml:space="preserve">The working group meeting series is intended to streamline the application process and provide an effective and consistent foundation </w:t>
      </w:r>
      <w:r w:rsidR="00EE5F8C">
        <w:t>for the joint application and is not intended to slow down progress with developing the DER orchestration framework.</w:t>
      </w:r>
      <w:bookmarkStart w:name="_Toc83536749" w:id="36"/>
    </w:p>
    <w:p w:rsidR="00361AFA" w:rsidP="00361AFA" w:rsidRDefault="00361AFA" w14:paraId="4B130106" w14:textId="5C33B5CD">
      <w:pPr>
        <w:pStyle w:val="Heading1"/>
      </w:pPr>
      <w:bookmarkStart w:name="_Toc243991443" w:id="37"/>
      <w:r>
        <w:t>Valuation Frameworks</w:t>
      </w:r>
      <w:bookmarkEnd w:id="36"/>
      <w:bookmarkEnd w:id="37"/>
    </w:p>
    <w:p w:rsidR="00DE482A" w:rsidP="00EB71A1" w:rsidRDefault="00396D21" w14:paraId="5803562F" w14:textId="4E472889">
      <w:pPr>
        <w:pStyle w:val="Standard"/>
      </w:pPr>
      <w:r>
        <w:t xml:space="preserve">The March 23 Ruling asked parties to comment on appropriate valuation frameworks to quantify ratepayer value to potentially </w:t>
      </w:r>
      <w:r w:rsidR="00B75900">
        <w:t xml:space="preserve">be unlocked through </w:t>
      </w:r>
      <w:r w:rsidR="000D6390">
        <w:t>DER orchestration</w:t>
      </w:r>
      <w:r w:rsidR="00B75900">
        <w:t>.</w:t>
      </w:r>
    </w:p>
    <w:p w:rsidRPr="009721B4" w:rsidR="00D801E1" w:rsidP="004B6F04" w:rsidRDefault="00C044FB" w14:paraId="0C02908D" w14:textId="196D159C">
      <w:pPr>
        <w:pStyle w:val="Standard"/>
      </w:pPr>
      <w:r w:rsidRPr="009721B4">
        <w:t xml:space="preserve">Many parties note that </w:t>
      </w:r>
      <w:r w:rsidRPr="009721B4" w:rsidR="00BC336A">
        <w:t xml:space="preserve">a valuation framework should include </w:t>
      </w:r>
      <w:r w:rsidRPr="009721B4">
        <w:t>location-specific distribution benefits</w:t>
      </w:r>
      <w:r w:rsidRPr="009721B4" w:rsidR="00BC336A">
        <w:t xml:space="preserve">. </w:t>
      </w:r>
      <w:r w:rsidRPr="009721B4" w:rsidR="00594A81">
        <w:t xml:space="preserve">UCAN emphasizes that the value of DER flexibility is highly </w:t>
      </w:r>
      <w:r w:rsidRPr="009721B4" w:rsidR="00D67F4C">
        <w:t>location dependent</w:t>
      </w:r>
      <w:r w:rsidRPr="009721B4" w:rsidR="00594A81">
        <w:t>.</w:t>
      </w:r>
      <w:r w:rsidR="00D67F4C">
        <w:rPr>
          <w:rStyle w:val="FootnoteReference"/>
        </w:rPr>
        <w:footnoteReference w:id="63"/>
      </w:r>
      <w:r w:rsidRPr="009721B4" w:rsidR="00594A81">
        <w:t xml:space="preserve"> </w:t>
      </w:r>
      <w:r w:rsidRPr="009721B4" w:rsidR="00F244B0">
        <w:t xml:space="preserve">Cal Advocates </w:t>
      </w:r>
      <w:r w:rsidRPr="009721B4" w:rsidR="00AA57F8">
        <w:t xml:space="preserve">proposes a </w:t>
      </w:r>
      <w:r w:rsidRPr="009721B4" w:rsidR="00F244B0">
        <w:t>strict, granular, and comparison-based</w:t>
      </w:r>
      <w:r w:rsidRPr="009721B4" w:rsidR="00AA57F8">
        <w:t xml:space="preserve"> approach that uses </w:t>
      </w:r>
      <w:r w:rsidRPr="009721B4" w:rsidR="00322E75">
        <w:t>location, use</w:t>
      </w:r>
      <w:r w:rsidR="004006CE">
        <w:t xml:space="preserve"> </w:t>
      </w:r>
      <w:r w:rsidRPr="009721B4" w:rsidR="00322E75">
        <w:t>case</w:t>
      </w:r>
      <w:r w:rsidRPr="009721B4" w:rsidR="00AA57F8">
        <w:t>, and time-specific valuation.</w:t>
      </w:r>
      <w:r w:rsidR="00D67F4C">
        <w:rPr>
          <w:rStyle w:val="FootnoteReference"/>
        </w:rPr>
        <w:footnoteReference w:id="64"/>
      </w:r>
      <w:r w:rsidRPr="009721B4" w:rsidR="001D04DD">
        <w:t xml:space="preserve"> </w:t>
      </w:r>
      <w:r w:rsidRPr="009721B4" w:rsidR="00D5762D">
        <w:t>SDG&amp;E supports using the California Standard Practice Manual cost-effectiveness framework, expanded to include DER-specific costs and locational</w:t>
      </w:r>
      <w:r w:rsidRPr="009721B4" w:rsidR="00594A81">
        <w:t>/</w:t>
      </w:r>
      <w:r w:rsidRPr="009721B4" w:rsidR="00D5762D">
        <w:t>operational value</w:t>
      </w:r>
      <w:r w:rsidRPr="009721B4" w:rsidR="000B60FE">
        <w:t>.</w:t>
      </w:r>
      <w:r w:rsidR="00D67F4C">
        <w:rPr>
          <w:rStyle w:val="FootnoteReference"/>
        </w:rPr>
        <w:footnoteReference w:id="65"/>
      </w:r>
    </w:p>
    <w:p w:rsidRPr="009721B4" w:rsidR="0007279A" w:rsidP="00EB71A1" w:rsidRDefault="00C92ED2" w14:paraId="5A224610" w14:textId="3FA3B235">
      <w:pPr>
        <w:pStyle w:val="Standard"/>
      </w:pPr>
      <w:r w:rsidRPr="009721B4">
        <w:t xml:space="preserve">Several parties note that avoided </w:t>
      </w:r>
      <w:r w:rsidRPr="009721B4" w:rsidR="000F0F07">
        <w:t>cost</w:t>
      </w:r>
      <w:r w:rsidRPr="009721B4" w:rsidR="004B62BB">
        <w:t>s</w:t>
      </w:r>
      <w:r w:rsidRPr="009721B4" w:rsidR="000F0F07">
        <w:t xml:space="preserve"> should be </w:t>
      </w:r>
      <w:r w:rsidRPr="009721B4" w:rsidR="00A26675">
        <w:t>included in</w:t>
      </w:r>
      <w:r w:rsidRPr="009721B4" w:rsidR="005A49FC">
        <w:t xml:space="preserve"> a valuation framework</w:t>
      </w:r>
      <w:r w:rsidRPr="009721B4" w:rsidR="008219B2">
        <w:t>.</w:t>
      </w:r>
      <w:r w:rsidRPr="009721B4" w:rsidR="00A00F9B">
        <w:t xml:space="preserve"> </w:t>
      </w:r>
      <w:r w:rsidRPr="009721B4" w:rsidR="00901A4F">
        <w:t xml:space="preserve">SDG&amp;E specifies that avoided transmission, distribution, and </w:t>
      </w:r>
      <w:r w:rsidRPr="009721B4" w:rsidR="000730B1">
        <w:t>generation costs should be included</w:t>
      </w:r>
      <w:r w:rsidRPr="009721B4" w:rsidR="00C43D6A">
        <w:t xml:space="preserve"> in a valuation framework</w:t>
      </w:r>
      <w:r w:rsidRPr="009721B4" w:rsidR="000730B1">
        <w:t>.</w:t>
      </w:r>
      <w:r w:rsidR="00E3010E">
        <w:rPr>
          <w:rStyle w:val="FootnoteReference"/>
        </w:rPr>
        <w:footnoteReference w:id="66"/>
      </w:r>
      <w:r w:rsidRPr="009721B4" w:rsidR="000730B1">
        <w:t xml:space="preserve"> </w:t>
      </w:r>
      <w:r w:rsidRPr="009721B4" w:rsidR="066A8606">
        <w:t>UCAN</w:t>
      </w:r>
      <w:r w:rsidRPr="009721B4" w:rsidR="00916A90">
        <w:t xml:space="preserve"> recommends using the Avoided Cost Calculator (ACC) together with </w:t>
      </w:r>
      <w:r w:rsidR="008A365B">
        <w:t xml:space="preserve">a </w:t>
      </w:r>
      <w:r w:rsidRPr="009721B4" w:rsidR="00916A90">
        <w:t xml:space="preserve">robust </w:t>
      </w:r>
      <w:r w:rsidRPr="009721B4" w:rsidR="00916A90">
        <w:lastRenderedPageBreak/>
        <w:t>LNBA to quantify DER orchestration value.</w:t>
      </w:r>
      <w:r w:rsidR="003D622D">
        <w:rPr>
          <w:rStyle w:val="FootnoteReference"/>
        </w:rPr>
        <w:footnoteReference w:id="67"/>
      </w:r>
      <w:r w:rsidRPr="009721B4" w:rsidR="00A831F7">
        <w:t xml:space="preserve"> Similarly, A</w:t>
      </w:r>
      <w:r w:rsidR="00ED1C75">
        <w:t>EU</w:t>
      </w:r>
      <w:r w:rsidRPr="009721B4" w:rsidR="00A831F7">
        <w:t xml:space="preserve"> </w:t>
      </w:r>
      <w:r w:rsidR="3F503A70">
        <w:t xml:space="preserve">recommends </w:t>
      </w:r>
      <w:r w:rsidR="626020A9">
        <w:t>pairing</w:t>
      </w:r>
      <w:r w:rsidRPr="009721B4" w:rsidR="00A831F7">
        <w:t xml:space="preserve"> the current avoided cost framework for DERs with a transparent market framework that allows for DERs to bid into providing grid services.</w:t>
      </w:r>
      <w:r w:rsidR="00BE3B8C">
        <w:rPr>
          <w:rStyle w:val="FootnoteReference"/>
        </w:rPr>
        <w:footnoteReference w:id="68"/>
      </w:r>
      <w:r w:rsidRPr="009721B4" w:rsidR="00A831F7">
        <w:t xml:space="preserve"> </w:t>
      </w:r>
    </w:p>
    <w:p w:rsidRPr="009721B4" w:rsidR="00C92ED2" w:rsidP="00EB71A1" w:rsidRDefault="00D411C2" w14:paraId="102E7CD3" w14:textId="721B4F12">
      <w:pPr>
        <w:pStyle w:val="Standard"/>
      </w:pPr>
      <w:r w:rsidRPr="009721B4">
        <w:t>350 Bay Area oppose</w:t>
      </w:r>
      <w:r w:rsidR="00AA321E">
        <w:t>s</w:t>
      </w:r>
      <w:r w:rsidRPr="009721B4">
        <w:t xml:space="preserve"> using the ACC </w:t>
      </w:r>
      <w:r w:rsidRPr="009721B4" w:rsidR="000765D9">
        <w:t xml:space="preserve">in its current </w:t>
      </w:r>
      <w:r w:rsidR="00F32D27">
        <w:t>version</w:t>
      </w:r>
      <w:r w:rsidR="00BD0B01">
        <w:t xml:space="preserve"> to value DERs</w:t>
      </w:r>
      <w:r w:rsidRPr="009721B4" w:rsidR="000765D9">
        <w:t xml:space="preserve"> and recommend</w:t>
      </w:r>
      <w:r w:rsidR="00AA321E">
        <w:t>s</w:t>
      </w:r>
      <w:r w:rsidRPr="009721B4" w:rsidR="008156FC">
        <w:t xml:space="preserve"> taking a more comprehensive approach </w:t>
      </w:r>
      <w:r w:rsidRPr="009721B4" w:rsidR="00B13DD6">
        <w:t>t</w:t>
      </w:r>
      <w:r w:rsidRPr="009721B4" w:rsidR="00A66788">
        <w:t>hat incorporates broader distribution system and societal benefits.</w:t>
      </w:r>
      <w:r w:rsidR="0030546E">
        <w:rPr>
          <w:rStyle w:val="FootnoteReference"/>
        </w:rPr>
        <w:footnoteReference w:id="69"/>
      </w:r>
      <w:r w:rsidRPr="009721B4" w:rsidR="001546D2">
        <w:t xml:space="preserve"> CalCCA </w:t>
      </w:r>
      <w:r w:rsidRPr="009721B4" w:rsidR="00E60421">
        <w:t>emphasizes that any valuation framework should include societal and equity benefits and suggests the Commission explore the UK Ofgem framework.</w:t>
      </w:r>
      <w:r w:rsidR="0030546E">
        <w:rPr>
          <w:rStyle w:val="FootnoteReference"/>
        </w:rPr>
        <w:footnoteReference w:id="70"/>
      </w:r>
      <w:r w:rsidRPr="009721B4" w:rsidR="00E60421">
        <w:t xml:space="preserve"> </w:t>
      </w:r>
      <w:r w:rsidRPr="009721B4" w:rsidR="00D819BC">
        <w:t>EDF highlights the potential use of distribution locational marginal pricing (</w:t>
      </w:r>
      <w:r w:rsidR="00D6474E">
        <w:t>D</w:t>
      </w:r>
      <w:r w:rsidRPr="009721B4" w:rsidR="00D819BC">
        <w:t xml:space="preserve">LMP) </w:t>
      </w:r>
      <w:r w:rsidRPr="009721B4" w:rsidR="00C60BCC">
        <w:t xml:space="preserve">and </w:t>
      </w:r>
      <w:r w:rsidRPr="009721B4" w:rsidR="00D819BC">
        <w:t>advanced modeling (DSO+T frameworks) to quantify total system cost savings</w:t>
      </w:r>
      <w:r w:rsidRPr="009721B4" w:rsidR="00A35F6F">
        <w:t xml:space="preserve"> and broader social benefits.</w:t>
      </w:r>
      <w:r w:rsidR="0030546E">
        <w:rPr>
          <w:rStyle w:val="FootnoteReference"/>
        </w:rPr>
        <w:footnoteReference w:id="71"/>
      </w:r>
    </w:p>
    <w:p w:rsidR="05E50C92" w:rsidP="05E50C92" w:rsidRDefault="05E50C92" w14:paraId="4649FCB7" w14:textId="4D282935">
      <w:pPr>
        <w:pStyle w:val="Standard"/>
      </w:pPr>
      <w:r>
        <w:t>PG&amp;E recommends a valuation framework that prioritizes ratepayer benefits, including affordability and customer energization speeds.</w:t>
      </w:r>
      <w:r w:rsidRPr="05E50C92">
        <w:rPr>
          <w:rStyle w:val="FootnoteReference"/>
        </w:rPr>
        <w:footnoteReference w:id="72"/>
      </w:r>
      <w:r>
        <w:t xml:space="preserve"> SCE agrees with valuing orchestration through energization speeds and affordability, and adds operational savings and deferred capital investments to their recommended valuation metrics.</w:t>
      </w:r>
      <w:r w:rsidRPr="05E50C92">
        <w:rPr>
          <w:rStyle w:val="FootnoteReference"/>
        </w:rPr>
        <w:footnoteReference w:id="73"/>
      </w:r>
      <w:r>
        <w:t xml:space="preserve"> </w:t>
      </w:r>
      <w:proofErr w:type="spellStart"/>
      <w:r>
        <w:t>Nexamp</w:t>
      </w:r>
      <w:proofErr w:type="spellEnd"/>
      <w:r>
        <w:t xml:space="preserve"> also supports valuing orchestration based on verifiable outcomes such as deferred utility system upgrades, reduced peak </w:t>
      </w:r>
      <w:r>
        <w:lastRenderedPageBreak/>
        <w:t>demand charges, constraint relief, reliability support, outage mitigation, and adherence to dispatch/curtailment signals.</w:t>
      </w:r>
      <w:r w:rsidRPr="05E50C92">
        <w:rPr>
          <w:rStyle w:val="FootnoteReference"/>
        </w:rPr>
        <w:footnoteReference w:id="74"/>
      </w:r>
    </w:p>
    <w:p w:rsidR="05E50C92" w:rsidP="007F166F" w:rsidRDefault="57F0DFB8" w14:paraId="2310DAB3" w14:textId="1CB5509D">
      <w:pPr>
        <w:pStyle w:val="Standard"/>
      </w:pPr>
      <w:r>
        <w:t xml:space="preserve">The Commission agrees with Cal Advocates, SDG&amp;E, UCAN, SCE, and </w:t>
      </w:r>
      <w:proofErr w:type="spellStart"/>
      <w:r>
        <w:t>Nexamp</w:t>
      </w:r>
      <w:proofErr w:type="spellEnd"/>
      <w:r>
        <w:t xml:space="preserve"> that valuation of DER orchestration should reflect the specific use case and measurable benefits provided. The Commission also agrees with SDG&amp;E and UCAN that valuation should account for locational benefits and </w:t>
      </w:r>
      <w:proofErr w:type="gramStart"/>
      <w:r>
        <w:t>differentiate</w:t>
      </w:r>
      <w:proofErr w:type="gramEnd"/>
      <w:r>
        <w:t>, where applicable, between broader system-level benefits and location-specific distribution</w:t>
      </w:r>
      <w:r w:rsidR="008A365B">
        <w:t xml:space="preserve"> </w:t>
      </w:r>
      <w:r>
        <w:t>system benefits. Measurable, avoided, or deferred infrastructure costs and operational benefits should also be reflected where applicable, including the potential for DER orchestration to affect the need, timing, or sizing of traditional distribution investments.</w:t>
      </w:r>
    </w:p>
    <w:p w:rsidR="00E35049" w:rsidP="00E35049" w:rsidRDefault="57F0DFB8" w14:paraId="1734C5E9" w14:textId="40096411">
      <w:pPr>
        <w:pStyle w:val="Standard"/>
      </w:pPr>
      <w:r>
        <w:t xml:space="preserve">It is premature for the </w:t>
      </w:r>
      <w:r w:rsidR="1210C3D9">
        <w:t xml:space="preserve">Commission to order that the ACC be used as a tool for valuating </w:t>
      </w:r>
      <w:r>
        <w:t xml:space="preserve">DER </w:t>
      </w:r>
      <w:r w:rsidR="1210C3D9">
        <w:t xml:space="preserve">orchestration programs at this time. </w:t>
      </w:r>
      <w:r>
        <w:t xml:space="preserve">The </w:t>
      </w:r>
      <w:r w:rsidR="007C51C7">
        <w:t>working group</w:t>
      </w:r>
      <w:r w:rsidR="1210C3D9">
        <w:t xml:space="preserve"> may propose the ACC as a tool, </w:t>
      </w:r>
      <w:r>
        <w:t>but given the</w:t>
      </w:r>
      <w:r w:rsidR="1210C3D9">
        <w:t xml:space="preserve"> lack of alignment among parties over how the ACC should be incorporated and which tools it should be combined with</w:t>
      </w:r>
      <w:r>
        <w:t xml:space="preserve">, </w:t>
      </w:r>
      <w:r w:rsidR="00D84CAB">
        <w:t xml:space="preserve">the working group should include a discussion of how </w:t>
      </w:r>
      <w:r>
        <w:t xml:space="preserve">the ACC </w:t>
      </w:r>
      <w:r w:rsidR="00D141C3">
        <w:t>c</w:t>
      </w:r>
      <w:r>
        <w:t>ould  combine with other tools and methods of quantifying more granular locational value of DER orchestration</w:t>
      </w:r>
      <w:r w:rsidR="005B1694">
        <w:t>, as well as examine the valuation frameworks recommended by parties in this Track of the proceeding</w:t>
      </w:r>
      <w:r>
        <w:t>.</w:t>
      </w:r>
      <w:r w:rsidR="005B1694">
        <w:t xml:space="preserve"> The working group report should provide a recommendation or recommended options and the rational</w:t>
      </w:r>
      <w:r w:rsidR="0085635B">
        <w:t>e</w:t>
      </w:r>
      <w:r w:rsidR="005B1694">
        <w:t xml:space="preserve"> for each recommendation as to the valuation framework to be included in the Joint IOU Application.  </w:t>
      </w:r>
      <w:r>
        <w:t xml:space="preserve"> </w:t>
      </w:r>
    </w:p>
    <w:p w:rsidR="0047486A" w:rsidP="00073CAF" w:rsidRDefault="6B1E9AEB" w14:paraId="71C30F43" w14:textId="072399BC">
      <w:pPr>
        <w:pStyle w:val="Standard"/>
      </w:pPr>
      <w:r>
        <w:t xml:space="preserve">The Commission also agrees with CalCCA that equity benefits </w:t>
      </w:r>
      <w:r w:rsidR="00946136">
        <w:t>are</w:t>
      </w:r>
      <w:r>
        <w:t xml:space="preserve"> relevant to the valuation of DER orchestration. </w:t>
      </w:r>
      <w:r w:rsidR="31E8CDCE">
        <w:t xml:space="preserve">The record does not establish a verifiable </w:t>
      </w:r>
      <w:r w:rsidR="31E8CDCE">
        <w:lastRenderedPageBreak/>
        <w:t xml:space="preserve">methodology for </w:t>
      </w:r>
      <w:r w:rsidR="2A577259">
        <w:t xml:space="preserve">assigning </w:t>
      </w:r>
      <w:r w:rsidR="27D37A5C">
        <w:t>monetary</w:t>
      </w:r>
      <w:r w:rsidR="2A577259">
        <w:t xml:space="preserve"> </w:t>
      </w:r>
      <w:r w:rsidR="3C780B33">
        <w:t>value to these benefits.</w:t>
      </w:r>
      <w:r w:rsidRPr="4DF3492C" w:rsidR="4DF3492C">
        <w:t xml:space="preserve"> However, the </w:t>
      </w:r>
      <w:r w:rsidR="00E85E9F">
        <w:t xml:space="preserve">working group should include a discussion of equity, and the </w:t>
      </w:r>
      <w:r w:rsidRPr="4DF3492C" w:rsidR="4DF3492C">
        <w:t>IOUs should include in their application a qualitative discussion of equity benefits that may result from proposed DER orchestration activities, where appropriate.</w:t>
      </w:r>
      <w:r w:rsidR="00073CAF">
        <w:t xml:space="preserve"> </w:t>
      </w:r>
    </w:p>
    <w:p w:rsidRPr="00B22359" w:rsidR="0024332B" w:rsidP="00073CAF" w:rsidRDefault="57F0DFB8" w14:paraId="0DC680B2" w14:textId="41BB590A">
      <w:pPr>
        <w:pStyle w:val="Standard"/>
      </w:pPr>
      <w:r>
        <w:t xml:space="preserve">Accordingly, the Commission directs </w:t>
      </w:r>
      <w:r w:rsidR="006E6E8D">
        <w:t>the</w:t>
      </w:r>
      <w:r w:rsidR="00E85E9F">
        <w:t xml:space="preserve"> working group to explore equity</w:t>
      </w:r>
      <w:r w:rsidR="00E80E6E">
        <w:t xml:space="preserve"> benefits</w:t>
      </w:r>
      <w:r w:rsidR="00AA321E">
        <w:t>. T</w:t>
      </w:r>
      <w:r w:rsidR="00E85E9F">
        <w:t>he</w:t>
      </w:r>
      <w:r w:rsidR="006E6E8D">
        <w:t xml:space="preserve"> IOUs </w:t>
      </w:r>
      <w:r w:rsidR="00AA321E">
        <w:t>must</w:t>
      </w:r>
      <w:r w:rsidR="006E6E8D">
        <w:t xml:space="preserve"> </w:t>
      </w:r>
      <w:r>
        <w:t xml:space="preserve">justify </w:t>
      </w:r>
      <w:r w:rsidR="00AA321E">
        <w:t xml:space="preserve">their </w:t>
      </w:r>
      <w:r>
        <w:t xml:space="preserve">formal DER orchestration application the valuation methodology and metrics </w:t>
      </w:r>
      <w:r w:rsidR="00AA321E">
        <w:t>they</w:t>
      </w:r>
      <w:r>
        <w:t xml:space="preserve"> </w:t>
      </w:r>
      <w:proofErr w:type="gramStart"/>
      <w:r w:rsidR="006E6E8D">
        <w:t>propose to</w:t>
      </w:r>
      <w:r>
        <w:t xml:space="preserve"> use</w:t>
      </w:r>
      <w:proofErr w:type="gramEnd"/>
      <w:r>
        <w:t xml:space="preserve"> to assess the benefits of proposed DER orchestration use cases. The proposed approach must account for the specific use case and, where applicable, its location and timing; differentiate between broader system-level and location-specific distribution-system benefits; and identify measurable avoided or deferred infrastructure costs and operational benefits.</w:t>
      </w:r>
      <w:r w:rsidR="00AA321E">
        <w:t xml:space="preserve"> The proposed valuation methodologies shall also distinguish permanent avoidance from temporary deferral of infrastructure investments and explain how their different financial effects are reflected in estimated ratepayer benefits.</w:t>
      </w:r>
      <w:r>
        <w:t xml:space="preserve"> </w:t>
      </w:r>
      <w:r w:rsidR="00FB09FD">
        <w:t>The working group</w:t>
      </w:r>
      <w:r>
        <w:t xml:space="preserve"> may</w:t>
      </w:r>
      <w:r w:rsidR="00FB09FD">
        <w:t xml:space="preserve"> examine</w:t>
      </w:r>
      <w:r>
        <w:t xml:space="preserve"> the ACC, LNBA, or other valuation tools identified in the record but must explain why the selected</w:t>
      </w:r>
      <w:r w:rsidR="00FB09FD">
        <w:t xml:space="preserve"> options for</w:t>
      </w:r>
      <w:r>
        <w:t xml:space="preserve"> tools and methodologies are appropriate for the DER orchestration use cases being evaluated</w:t>
      </w:r>
      <w:r w:rsidR="003C082D">
        <w:t xml:space="preserve">, </w:t>
      </w:r>
      <w:r>
        <w:t>how they capture relevant locational and distribution-system value</w:t>
      </w:r>
      <w:r w:rsidR="003C082D">
        <w:t xml:space="preserve">, </w:t>
      </w:r>
      <w:r w:rsidR="00FE0CBF">
        <w:t xml:space="preserve">and </w:t>
      </w:r>
      <w:r w:rsidR="003C082D">
        <w:t>how they appropriately balance costs and benefits</w:t>
      </w:r>
      <w:r w:rsidR="00FE0CBF">
        <w:t xml:space="preserve"> to ratepayers</w:t>
      </w:r>
      <w:r>
        <w:t>.</w:t>
      </w:r>
      <w:r w:rsidR="0024332B">
        <w:tab/>
      </w:r>
      <w:r w:rsidR="007E7307">
        <w:t xml:space="preserve"> </w:t>
      </w:r>
    </w:p>
    <w:p w:rsidR="00E0523E" w:rsidP="005F69CC" w:rsidRDefault="00C013CF" w14:paraId="3020F4D9" w14:textId="4E836875">
      <w:pPr>
        <w:pStyle w:val="Heading2"/>
      </w:pPr>
      <w:bookmarkStart w:name="_Toc1741114144" w:id="38"/>
      <w:bookmarkStart w:name="_Toc243991444" w:id="39"/>
      <w:r>
        <w:t xml:space="preserve">Cost-Effectiveness </w:t>
      </w:r>
      <w:r w:rsidR="004655D6">
        <w:t>and Benefit-Cost Methodologies</w:t>
      </w:r>
      <w:bookmarkEnd w:id="38"/>
      <w:bookmarkEnd w:id="39"/>
    </w:p>
    <w:p w:rsidR="005F69CC" w:rsidP="00A51B91" w:rsidRDefault="005F69CC" w14:paraId="7ACF4B06" w14:textId="7AC057D2">
      <w:pPr>
        <w:pStyle w:val="Standard"/>
      </w:pPr>
      <w:r>
        <w:t xml:space="preserve">The March 23 Ruling asked parties to comment on </w:t>
      </w:r>
      <w:r w:rsidR="00E203A1">
        <w:t xml:space="preserve">potential cost-effective mechanisms </w:t>
      </w:r>
      <w:r w:rsidR="00C92CAF">
        <w:t xml:space="preserve">or measures that could be included as part of the proposed DER orchestration framework to demonstrate a net benefit to ratepayers. Parties were also asked </w:t>
      </w:r>
      <w:r w:rsidR="00A508C7">
        <w:t>to comment on potential benefit-cost methodologies</w:t>
      </w:r>
      <w:r w:rsidR="00F406D7">
        <w:t xml:space="preserve"> for applications.</w:t>
      </w:r>
    </w:p>
    <w:p w:rsidR="00232DEF" w:rsidP="002F2E0E" w:rsidRDefault="00232DEF" w14:paraId="70BE99FA" w14:textId="6BB912AF">
      <w:pPr>
        <w:pStyle w:val="Heading3"/>
      </w:pPr>
      <w:bookmarkStart w:name="_Toc1837864166" w:id="40"/>
      <w:bookmarkStart w:name="_Toc243991445" w:id="41"/>
      <w:r>
        <w:lastRenderedPageBreak/>
        <w:t xml:space="preserve">Use-Case </w:t>
      </w:r>
      <w:r w:rsidR="009F014E">
        <w:t xml:space="preserve">Specific </w:t>
      </w:r>
      <w:r w:rsidRPr="002F2E0E" w:rsidR="009F014E">
        <w:t>Approach</w:t>
      </w:r>
      <w:r w:rsidR="009F014E">
        <w:t xml:space="preserve"> to Cost-Effectiveness</w:t>
      </w:r>
      <w:bookmarkEnd w:id="40"/>
      <w:bookmarkEnd w:id="41"/>
    </w:p>
    <w:p w:rsidR="00A37078" w:rsidP="00E60B11" w:rsidRDefault="00ED425F" w14:paraId="3E15B9E7" w14:textId="26E5DF72">
      <w:pPr>
        <w:pStyle w:val="Standard"/>
      </w:pPr>
      <w:r>
        <w:t>Several parties emphasize that</w:t>
      </w:r>
      <w:r w:rsidR="00664282">
        <w:t xml:space="preserve"> the</w:t>
      </w:r>
      <w:r>
        <w:t xml:space="preserve"> </w:t>
      </w:r>
      <w:r w:rsidR="0040430A">
        <w:t>net</w:t>
      </w:r>
      <w:r w:rsidR="00664282">
        <w:t xml:space="preserve"> </w:t>
      </w:r>
      <w:r w:rsidR="0040430A">
        <w:t>benefits of DER orchestration should be demonstrated through measurable outcomes</w:t>
      </w:r>
      <w:r w:rsidR="00CF0E19">
        <w:t xml:space="preserve"> and </w:t>
      </w:r>
      <w:r w:rsidR="004C1B14">
        <w:t>specific use cases</w:t>
      </w:r>
      <w:r w:rsidR="00112DC0">
        <w:t xml:space="preserve">, not theoretical </w:t>
      </w:r>
      <w:r w:rsidR="5420F1F8">
        <w:t xml:space="preserve">aspirational </w:t>
      </w:r>
      <w:r w:rsidR="00112DC0">
        <w:t>benefits</w:t>
      </w:r>
      <w:r w:rsidR="00F044D0">
        <w:t>.</w:t>
      </w:r>
      <w:r w:rsidR="00112DC0">
        <w:rPr>
          <w:rStyle w:val="FootnoteReference"/>
        </w:rPr>
        <w:footnoteReference w:id="75"/>
      </w:r>
      <w:r w:rsidR="00AE665F">
        <w:t xml:space="preserve"> Cal Advocates argues that benefit-cost methodologies should be use</w:t>
      </w:r>
      <w:r w:rsidR="00BD0B01">
        <w:t xml:space="preserve"> </w:t>
      </w:r>
      <w:r w:rsidR="00AE665F">
        <w:t>case</w:t>
      </w:r>
      <w:r w:rsidR="00B0524A">
        <w:t>-</w:t>
      </w:r>
      <w:r w:rsidR="00AE665F">
        <w:t xml:space="preserve"> and location</w:t>
      </w:r>
      <w:r w:rsidR="00CA351A">
        <w:t>-</w:t>
      </w:r>
      <w:r w:rsidR="00AE665F">
        <w:t xml:space="preserve">specific, and include </w:t>
      </w:r>
      <w:r w:rsidR="0038134F">
        <w:t>measurable benefits such as avoided costs and full incremental costs.</w:t>
      </w:r>
      <w:r w:rsidR="0038134F">
        <w:rPr>
          <w:rStyle w:val="FootnoteReference"/>
        </w:rPr>
        <w:footnoteReference w:id="76"/>
      </w:r>
      <w:r w:rsidR="0038134F">
        <w:t xml:space="preserve"> PG&amp;E</w:t>
      </w:r>
      <w:r w:rsidR="00007663">
        <w:t xml:space="preserve"> recommends starting with a custom </w:t>
      </w:r>
      <w:r w:rsidR="006B2978">
        <w:t>benefit-cost analysis per project with potential to standardize over time.</w:t>
      </w:r>
      <w:r w:rsidR="006B2978">
        <w:rPr>
          <w:rStyle w:val="FootnoteReference"/>
        </w:rPr>
        <w:footnoteReference w:id="77"/>
      </w:r>
      <w:r w:rsidR="006B2978">
        <w:t xml:space="preserve"> Similarly, SCE recommends a pilot and study-based approach under real conditions.</w:t>
      </w:r>
      <w:r w:rsidR="006B2978">
        <w:rPr>
          <w:rStyle w:val="FootnoteReference"/>
        </w:rPr>
        <w:footnoteReference w:id="78"/>
      </w:r>
      <w:r w:rsidR="00A77C83">
        <w:t xml:space="preserve"> </w:t>
      </w:r>
      <w:r w:rsidR="009D752F">
        <w:t>CALSSA</w:t>
      </w:r>
      <w:r w:rsidRPr="00A77C83" w:rsidR="00A77C83">
        <w:t xml:space="preserve"> suggests that cost-effectiveness</w:t>
      </w:r>
      <w:r w:rsidR="00BD08B2">
        <w:t xml:space="preserve"> data </w:t>
      </w:r>
      <w:r w:rsidRPr="00A77C83" w:rsidR="00A77C83">
        <w:t>should come from targeted programs in high-value urban areas where grid constraints and upgrade costs are highest</w:t>
      </w:r>
      <w:r w:rsidR="00BD08B2">
        <w:t>.</w:t>
      </w:r>
      <w:r w:rsidR="00BD08B2">
        <w:rPr>
          <w:rStyle w:val="FootnoteReference"/>
        </w:rPr>
        <w:footnoteReference w:id="79"/>
      </w:r>
      <w:r w:rsidR="0058160F">
        <w:t xml:space="preserve"> While SBUA emphasizes prioritizing implementation-ready approaches with near-term measurable results, </w:t>
      </w:r>
      <w:r w:rsidR="009D752F">
        <w:t>CALSSA</w:t>
      </w:r>
      <w:r w:rsidR="0058160F">
        <w:t xml:space="preserve"> notes that benefit-cost analysis should use broader, longer-term regional scenarios covering multiple substations to capture system-level planning value.</w:t>
      </w:r>
      <w:r w:rsidR="00E14170">
        <w:rPr>
          <w:rStyle w:val="FootnoteReference"/>
        </w:rPr>
        <w:footnoteReference w:id="80"/>
      </w:r>
      <w:r w:rsidR="00E60B11">
        <w:t xml:space="preserve"> </w:t>
      </w:r>
    </w:p>
    <w:p w:rsidR="00E60B11" w:rsidP="002F2E0E" w:rsidRDefault="00276983" w14:paraId="6D42243D" w14:textId="7CD41F11">
      <w:pPr>
        <w:pStyle w:val="Heading3"/>
      </w:pPr>
      <w:bookmarkStart w:name="_Toc1802152662" w:id="42"/>
      <w:bookmarkStart w:name="_Toc243991446" w:id="43"/>
      <w:r>
        <w:t xml:space="preserve">Measures </w:t>
      </w:r>
      <w:r w:rsidR="00422C57">
        <w:t xml:space="preserve">for </w:t>
      </w:r>
      <w:r w:rsidRPr="002F2E0E" w:rsidR="00422C57">
        <w:t>Demonstrating</w:t>
      </w:r>
      <w:r>
        <w:t xml:space="preserve"> Cost-Effectiveness</w:t>
      </w:r>
      <w:bookmarkEnd w:id="42"/>
      <w:bookmarkEnd w:id="43"/>
    </w:p>
    <w:p w:rsidR="00101BC2" w:rsidP="00276983" w:rsidRDefault="00EF3B8A" w14:paraId="2E3D92E2" w14:textId="70782253">
      <w:pPr>
        <w:pStyle w:val="Standard"/>
      </w:pPr>
      <w:r>
        <w:t>350 Bay Area emphasize</w:t>
      </w:r>
      <w:r w:rsidR="0087694A">
        <w:t>s</w:t>
      </w:r>
      <w:r>
        <w:t xml:space="preserve"> customer affordability </w:t>
      </w:r>
      <w:r w:rsidR="006F41A8">
        <w:t>as a critical measure for cost-effectiveness.</w:t>
      </w:r>
      <w:r w:rsidR="006F41A8">
        <w:rPr>
          <w:rStyle w:val="FootnoteReference"/>
        </w:rPr>
        <w:footnoteReference w:id="81"/>
      </w:r>
      <w:r w:rsidR="006F41A8">
        <w:t xml:space="preserve"> </w:t>
      </w:r>
      <w:r w:rsidR="00E60B11">
        <w:t xml:space="preserve">SBUA </w:t>
      </w:r>
      <w:r w:rsidR="00E64B7A">
        <w:t xml:space="preserve">similarly </w:t>
      </w:r>
      <w:r w:rsidR="00E60B11">
        <w:t xml:space="preserve">argues that benefit-cost analysis should </w:t>
      </w:r>
      <w:r w:rsidR="00E60B11">
        <w:lastRenderedPageBreak/>
        <w:t>reflect customer affordability pressures.</w:t>
      </w:r>
      <w:r w:rsidR="00E60B11">
        <w:rPr>
          <w:rStyle w:val="FootnoteReference"/>
        </w:rPr>
        <w:footnoteReference w:id="82"/>
      </w:r>
      <w:r w:rsidR="00276983">
        <w:t xml:space="preserve"> </w:t>
      </w:r>
      <w:r w:rsidR="00101BC2">
        <w:t>Universal Devices urges that aggregator transaction costs must be included as an explicit cost category</w:t>
      </w:r>
      <w:r w:rsidR="00255D4B">
        <w:t xml:space="preserve">, along with customer hardware, BTM platform/aggregator software fees, aggregator margin on transactions, IOU </w:t>
      </w:r>
      <w:r w:rsidR="00DE5ED4">
        <w:t>distributed energy resource management system (</w:t>
      </w:r>
      <w:r w:rsidR="00255D4B">
        <w:t>DERMS</w:t>
      </w:r>
      <w:r w:rsidR="00DE5ED4">
        <w:t>)</w:t>
      </w:r>
      <w:r w:rsidR="00255D4B">
        <w:t>/</w:t>
      </w:r>
      <w:r w:rsidR="00DE5ED4">
        <w:t>advanced distribution management system (</w:t>
      </w:r>
      <w:r w:rsidR="00255D4B">
        <w:t>ADMS</w:t>
      </w:r>
      <w:r w:rsidR="00DE5ED4">
        <w:t>)</w:t>
      </w:r>
      <w:r w:rsidR="00255D4B">
        <w:t xml:space="preserve"> integration costs per model, and edge resilience capability cost</w:t>
      </w:r>
      <w:r w:rsidR="00422C57">
        <w:t>.</w:t>
      </w:r>
      <w:r w:rsidR="00A1336A">
        <w:rPr>
          <w:rStyle w:val="FootnoteReference"/>
        </w:rPr>
        <w:footnoteReference w:id="83"/>
      </w:r>
    </w:p>
    <w:p w:rsidRPr="00E64B7A" w:rsidR="00E57DE3" w:rsidP="00E64B7A" w:rsidRDefault="002612F8" w14:paraId="0990D10B" w14:textId="63217024">
      <w:pPr>
        <w:pStyle w:val="Standard"/>
      </w:pPr>
      <w:r>
        <w:t>Several parties</w:t>
      </w:r>
      <w:r w:rsidR="00422C57">
        <w:t xml:space="preserve"> support including non-energy benefits in a cost-effectiveness </w:t>
      </w:r>
      <w:r>
        <w:t xml:space="preserve">evaluation. </w:t>
      </w:r>
      <w:r w:rsidRPr="002612F8">
        <w:t>CalCCA recommends evaluating societal benefits in DER orchestration cost-benefit analysis</w:t>
      </w:r>
      <w:r>
        <w:t>.</w:t>
      </w:r>
      <w:r w:rsidR="00E939AC">
        <w:rPr>
          <w:rStyle w:val="FootnoteReference"/>
        </w:rPr>
        <w:footnoteReference w:id="84"/>
      </w:r>
      <w:r>
        <w:t xml:space="preserve"> </w:t>
      </w:r>
      <w:r w:rsidRPr="002612F8">
        <w:t>350 Bay Area emphasizes the importance of accounting for environmental impacts and health burdens</w:t>
      </w:r>
      <w:r>
        <w:t>.</w:t>
      </w:r>
      <w:r w:rsidR="00E939AC">
        <w:rPr>
          <w:rStyle w:val="FootnoteReference"/>
        </w:rPr>
        <w:footnoteReference w:id="85"/>
      </w:r>
      <w:r>
        <w:t xml:space="preserve"> </w:t>
      </w:r>
      <w:r w:rsidRPr="002612F8">
        <w:t>EDF supports incorporating qualitative non-energy benefits such as resilience and avoided outages</w:t>
      </w:r>
      <w:r w:rsidR="00464656">
        <w:t>.</w:t>
      </w:r>
      <w:r w:rsidR="00E939AC">
        <w:rPr>
          <w:rStyle w:val="FootnoteReference"/>
        </w:rPr>
        <w:footnoteReference w:id="86"/>
      </w:r>
      <w:r w:rsidR="004655D6">
        <w:t xml:space="preserve"> EDF and 350 Bay Area both </w:t>
      </w:r>
      <w:r w:rsidR="00C5452E">
        <w:t>support the Total Resource Cost Test and Societal Cost Test</w:t>
      </w:r>
      <w:r w:rsidR="00803055">
        <w:t xml:space="preserve"> as evaluation tools</w:t>
      </w:r>
      <w:r w:rsidR="004502AC">
        <w:t xml:space="preserve"> to capture non-energy benefits</w:t>
      </w:r>
      <w:r w:rsidR="00803055">
        <w:t>.</w:t>
      </w:r>
      <w:r w:rsidR="00803055">
        <w:rPr>
          <w:rStyle w:val="FootnoteReference"/>
        </w:rPr>
        <w:footnoteReference w:id="87"/>
      </w:r>
    </w:p>
    <w:p w:rsidR="20A11AC1" w:rsidP="004E4BDB" w:rsidRDefault="13A1ACF7" w14:paraId="42284B49" w14:textId="0E0905F7">
      <w:pPr>
        <w:pStyle w:val="Standard"/>
      </w:pPr>
      <w:r w:rsidRPr="13A1ACF7">
        <w:t>The</w:t>
      </w:r>
      <w:r w:rsidRPr="644AC7E7" w:rsidR="644AC7E7">
        <w:t xml:space="preserve"> Commission agrees with Cal Advocates that benefit-cost </w:t>
      </w:r>
      <w:r w:rsidRPr="6E6C2117" w:rsidR="6E6C2117">
        <w:t xml:space="preserve">methodologies </w:t>
      </w:r>
      <w:r w:rsidR="40FB8581">
        <w:t xml:space="preserve">proposed in </w:t>
      </w:r>
      <w:r w:rsidR="00E55F56">
        <w:t xml:space="preserve">the </w:t>
      </w:r>
      <w:r w:rsidR="00B0524A">
        <w:t>J</w:t>
      </w:r>
      <w:r w:rsidR="00E55F56">
        <w:t xml:space="preserve">oint </w:t>
      </w:r>
      <w:r w:rsidR="40FB8581">
        <w:t xml:space="preserve">IOU </w:t>
      </w:r>
      <w:r w:rsidR="00B0524A">
        <w:t>A</w:t>
      </w:r>
      <w:r w:rsidR="40FB8581">
        <w:t>pplication should</w:t>
      </w:r>
      <w:r w:rsidRPr="6E6C2117" w:rsidR="6E6C2117">
        <w:t xml:space="preserve"> </w:t>
      </w:r>
      <w:r w:rsidRPr="5C9A66B7" w:rsidR="5C9A66B7">
        <w:t xml:space="preserve">evaluate costs and benefits at the </w:t>
      </w:r>
      <w:r w:rsidRPr="6E6C2117" w:rsidR="6E6C2117">
        <w:t>use</w:t>
      </w:r>
      <w:r w:rsidRPr="5C9A66B7" w:rsidR="5C9A66B7">
        <w:t>-</w:t>
      </w:r>
      <w:r w:rsidRPr="6E6C2117" w:rsidR="6E6C2117">
        <w:t xml:space="preserve">case </w:t>
      </w:r>
      <w:r w:rsidRPr="5C9A66B7" w:rsidR="5C9A66B7">
        <w:t xml:space="preserve">level and account for </w:t>
      </w:r>
      <w:r w:rsidRPr="6E6C2117" w:rsidR="6E6C2117">
        <w:t xml:space="preserve">location-specific </w:t>
      </w:r>
      <w:r w:rsidRPr="5C9A66B7" w:rsidR="5C9A66B7">
        <w:t xml:space="preserve">impacts where applicable. The Commission also agrees with Cal Advocates that benefits should be measurable, including avoided costs where applicable, and with Universal Devices that the costs necessary to implement and operate DER orchestration should be reflected in the analysis. Together, these requirements will allow the </w:t>
      </w:r>
      <w:r w:rsidRPr="5C9A66B7" w:rsidR="5C9A66B7">
        <w:lastRenderedPageBreak/>
        <w:t>Commission to evaluate whether individual DER orchestration use cases provide net benefits to ratepayers based on</w:t>
      </w:r>
      <w:r w:rsidRPr="6E6C2117" w:rsidR="6E6C2117">
        <w:t xml:space="preserve"> measurable benefits</w:t>
      </w:r>
      <w:r w:rsidRPr="5C9A66B7" w:rsidR="5C9A66B7">
        <w:t xml:space="preserve"> and the</w:t>
      </w:r>
      <w:r w:rsidRPr="6E6C2117" w:rsidR="6E6C2117">
        <w:t xml:space="preserve"> full incremental costs </w:t>
      </w:r>
      <w:r w:rsidRPr="5C9A66B7" w:rsidR="5C9A66B7">
        <w:t>necessary to provide those services.</w:t>
      </w:r>
    </w:p>
    <w:p w:rsidR="20A11AC1" w:rsidP="004E4BDB" w:rsidRDefault="43B5D7A8" w14:paraId="66AFD793" w14:textId="1E1B66F7">
      <w:pPr>
        <w:pStyle w:val="Standard"/>
      </w:pPr>
      <w:r>
        <w:t>The Commission recognizes 350 Bay Area</w:t>
      </w:r>
      <w:r w:rsidR="0047486A">
        <w:t>’s</w:t>
      </w:r>
      <w:r>
        <w:t xml:space="preserve"> and SBUA's concerns regarding customer affordability. Ratepayer impacts</w:t>
      </w:r>
      <w:r w:rsidRPr="6E6C2117" w:rsidR="6E6C2117">
        <w:t xml:space="preserve"> are </w:t>
      </w:r>
      <w:r>
        <w:t xml:space="preserve">relevant to determining whether DER orchestration provides net ratepayer benefits; however, the Commission declines to establish a separate affordability test for evaluating DER orchestration cost-effectiveness. </w:t>
      </w:r>
    </w:p>
    <w:p w:rsidRPr="00B31816" w:rsidR="00E8293F" w:rsidP="007E1477" w:rsidRDefault="5076CFDD" w14:paraId="772AC944" w14:textId="4972F5BC">
      <w:pPr>
        <w:pStyle w:val="Standard"/>
      </w:pPr>
      <w:r w:rsidRPr="03DE11F9">
        <w:t xml:space="preserve">The Commission also finds that broader deployment of DER orchestration use cases should be supported by demonstrated performance, reliability, and cost-effectiveness, and the IOUs should propose measurable criteria for determining when a use case is ready to move from demonstration to broader deployment. </w:t>
      </w:r>
      <w:r w:rsidR="5FF68CBE">
        <w:t xml:space="preserve">Accordingly, </w:t>
      </w:r>
      <w:r w:rsidR="09800DCD">
        <w:t>the</w:t>
      </w:r>
      <w:r w:rsidR="00AB622B">
        <w:t xml:space="preserve"> Commission </w:t>
      </w:r>
      <w:r w:rsidR="00E64B7A">
        <w:t>direct</w:t>
      </w:r>
      <w:r w:rsidR="00AB622B">
        <w:t xml:space="preserve">s </w:t>
      </w:r>
      <w:r w:rsidR="00E64B7A">
        <w:t xml:space="preserve">the </w:t>
      </w:r>
      <w:r w:rsidR="009E43A7">
        <w:t>work</w:t>
      </w:r>
      <w:r w:rsidR="00F26001">
        <w:t>ing group report</w:t>
      </w:r>
      <w:r w:rsidR="009E43A7">
        <w:t xml:space="preserve"> and the </w:t>
      </w:r>
      <w:r w:rsidR="00AB622B">
        <w:t>formal</w:t>
      </w:r>
      <w:r w:rsidR="009E43A7">
        <w:t xml:space="preserve"> </w:t>
      </w:r>
      <w:r w:rsidR="00B0524A">
        <w:t>J</w:t>
      </w:r>
      <w:r w:rsidR="009E43A7">
        <w:t>oint</w:t>
      </w:r>
      <w:r w:rsidR="00AB622B">
        <w:t xml:space="preserve"> IOU </w:t>
      </w:r>
      <w:r w:rsidR="00B0524A">
        <w:t>A</w:t>
      </w:r>
      <w:r w:rsidR="00AB622B">
        <w:t xml:space="preserve">pplication to propose potential cost-effective mechanisms or measures that could be included as part of a DER orchestration framework to demonstrate a net benefit to ratepayers. </w:t>
      </w:r>
      <w:r w:rsidRPr="222479D3" w:rsidR="222479D3">
        <w:t>Proposed methodologies must evaluate cost-effectiveness at the use-case level, account for location-specific costs and benefits where applicable, and compare measurable benefits</w:t>
      </w:r>
      <w:r w:rsidRPr="08CB6DDA" w:rsidR="08CB6DDA">
        <w:t>, including applicable avoided costs,</w:t>
      </w:r>
      <w:r w:rsidRPr="222479D3" w:rsidR="222479D3">
        <w:t xml:space="preserve"> against the full incremental costs necessary to implement and operate each use case.</w:t>
      </w:r>
      <w:r w:rsidR="006A7D95">
        <w:t xml:space="preserve"> </w:t>
      </w:r>
      <w:r w:rsidRPr="006A7D95" w:rsidR="006A7D95">
        <w:t>Where appropriate, the IOUs shall consider shared costs and combined benefits across related use cases and explain how their proposed methodologies account for these interactions, avoid double-counting, and reflect the location and timing of the grid needs being addressed.</w:t>
      </w:r>
      <w:r w:rsidR="006A7D95">
        <w:t xml:space="preserve"> </w:t>
      </w:r>
      <w:r w:rsidRPr="006A7D95" w:rsidR="006A7D95">
        <w:t>Any infrastructure savings included in the cost-effectiveness analysis shall reflect the distinction between avoided and deferred investments described in Section 5.</w:t>
      </w:r>
    </w:p>
    <w:p w:rsidR="00C013CF" w:rsidP="002F2E0E" w:rsidRDefault="00C013CF" w14:paraId="6A47C613" w14:textId="74CC4B54">
      <w:pPr>
        <w:pStyle w:val="Heading1"/>
      </w:pPr>
      <w:bookmarkStart w:name="_Toc1050192149" w:id="44"/>
      <w:bookmarkStart w:name="_Toc243991447" w:id="45"/>
      <w:r>
        <w:lastRenderedPageBreak/>
        <w:t>Interoperability</w:t>
      </w:r>
      <w:r w:rsidR="003680A8">
        <w:t>,</w:t>
      </w:r>
      <w:r w:rsidR="00945165">
        <w:t xml:space="preserve"> </w:t>
      </w:r>
      <w:r w:rsidR="7552E502">
        <w:t xml:space="preserve">DSO </w:t>
      </w:r>
      <w:r>
        <w:t>Visibility</w:t>
      </w:r>
      <w:r w:rsidR="241247C2">
        <w:t>,</w:t>
      </w:r>
      <w:r w:rsidR="094DDA03">
        <w:t xml:space="preserve"> </w:t>
      </w:r>
      <w:r w:rsidRPr="002F2E0E" w:rsidR="094DDA03">
        <w:t>Dispatch</w:t>
      </w:r>
      <w:r w:rsidR="094DDA03">
        <w:t xml:space="preserve"> and </w:t>
      </w:r>
      <w:r w:rsidR="4B4BEF7C">
        <w:t>Control</w:t>
      </w:r>
      <w:bookmarkEnd w:id="44"/>
      <w:bookmarkEnd w:id="45"/>
    </w:p>
    <w:p w:rsidR="003931AB" w:rsidP="00F9601E" w:rsidRDefault="004A5236" w14:paraId="2B2535B2" w14:textId="19AC8A33">
      <w:pPr>
        <w:pStyle w:val="Standard"/>
      </w:pPr>
      <w:r>
        <w:t>A key component of the DER orchestration framework that the IOUs are directed to propose in the</w:t>
      </w:r>
      <w:r w:rsidR="005142BF">
        <w:t xml:space="preserve"> joint</w:t>
      </w:r>
      <w:r>
        <w:t xml:space="preserve"> application will center on </w:t>
      </w:r>
      <w:r w:rsidR="003931AB">
        <w:t>DER visibility to the DSO a</w:t>
      </w:r>
      <w:r w:rsidR="00A268A9">
        <w:t>s well as</w:t>
      </w:r>
      <w:r w:rsidR="003931AB">
        <w:t xml:space="preserve"> DER dispatchability and control. </w:t>
      </w:r>
      <w:r w:rsidR="15090E3D">
        <w:t xml:space="preserve">Interoperability </w:t>
      </w:r>
      <w:r w:rsidR="67AC2E9C">
        <w:t xml:space="preserve">supports </w:t>
      </w:r>
      <w:r w:rsidR="5C6C8DC0">
        <w:t xml:space="preserve">all three of </w:t>
      </w:r>
      <w:r w:rsidR="0251F0BD">
        <w:t xml:space="preserve">those </w:t>
      </w:r>
      <w:r w:rsidR="6133EA63">
        <w:t>functions</w:t>
      </w:r>
      <w:r w:rsidR="3823E225">
        <w:t>.</w:t>
      </w:r>
    </w:p>
    <w:p w:rsidR="00E2428C" w:rsidP="003931AB" w:rsidRDefault="00A30144" w14:paraId="37B46F6D" w14:textId="3B3856F9">
      <w:pPr>
        <w:pStyle w:val="Standard"/>
      </w:pPr>
      <w:r>
        <w:t xml:space="preserve">PG&amp;E and SCE explain this issue </w:t>
      </w:r>
      <w:r w:rsidR="00A95ADE">
        <w:t>at length:</w:t>
      </w:r>
    </w:p>
    <w:p w:rsidR="00AF1E30" w:rsidP="007F5ABF" w:rsidRDefault="003931AB" w14:paraId="73172863" w14:textId="47778CC9">
      <w:pPr>
        <w:pStyle w:val="BlockQuote"/>
        <w:ind w:right="1440"/>
      </w:pPr>
      <w:r>
        <w:t>While some limited communication with DERs is possible today, this is a significant barrier that needs to be addressed. On the utility side, IOUs are in the process of deploying their DERMS to enable granular two-way communication with DERs, either individually or via an aggregator</w:t>
      </w:r>
      <w:r w:rsidR="00130BA5">
        <w:t xml:space="preserve"> . . . </w:t>
      </w:r>
      <w:r>
        <w:t>In the context of interoperability, aggregators and Original Equipment Manufacturers (OEMs) should have a robust set of rules and requirements allowing for DER orchestration (awareness and dispatchability) with DERMS.</w:t>
      </w:r>
      <w:r w:rsidR="00892A92">
        <w:rPr>
          <w:rStyle w:val="FootnoteReference"/>
        </w:rPr>
        <w:footnoteReference w:id="88"/>
      </w:r>
      <w:r>
        <w:t xml:space="preserve"> </w:t>
      </w:r>
    </w:p>
    <w:p w:rsidRPr="00AF1E30" w:rsidR="003413FD" w:rsidP="003931AB" w:rsidRDefault="003413FD" w14:paraId="2B32140F" w14:textId="4790FDAB">
      <w:pPr>
        <w:pStyle w:val="Standard"/>
      </w:pPr>
      <w:r w:rsidRPr="003413FD">
        <w:t xml:space="preserve">Current communication barriers limit the ability of </w:t>
      </w:r>
      <w:r w:rsidR="00E4597A">
        <w:t>BTM</w:t>
      </w:r>
      <w:r w:rsidRPr="003413FD">
        <w:t xml:space="preserve"> DERs to provide grid services</w:t>
      </w:r>
      <w:r w:rsidR="00787082">
        <w:t xml:space="preserve"> </w:t>
      </w:r>
      <w:proofErr w:type="gramStart"/>
      <w:r w:rsidR="00787082">
        <w:t>and also</w:t>
      </w:r>
      <w:proofErr w:type="gramEnd"/>
      <w:r w:rsidR="00787082">
        <w:t xml:space="preserve"> </w:t>
      </w:r>
      <w:r w:rsidRPr="003413FD">
        <w:t>reduce program cost-effectiveness and may exclude customers from participating in beneficial programs.</w:t>
      </w:r>
      <w:r w:rsidR="0016177B">
        <w:rPr>
          <w:rStyle w:val="FootnoteReference"/>
        </w:rPr>
        <w:footnoteReference w:id="89"/>
      </w:r>
      <w:r w:rsidRPr="003413FD">
        <w:t> Reliance on proprietary OEM systems introduces unnecessary costs, operational risks, and interoperability challenges.</w:t>
      </w:r>
      <w:r w:rsidR="00424AA6">
        <w:rPr>
          <w:rStyle w:val="FootnoteReference"/>
        </w:rPr>
        <w:footnoteReference w:id="90"/>
      </w:r>
    </w:p>
    <w:p w:rsidR="00F52186" w:rsidP="002F2E0E" w:rsidRDefault="00F52186" w14:paraId="16BB2731" w14:textId="603731A5">
      <w:pPr>
        <w:pStyle w:val="Heading2"/>
      </w:pPr>
      <w:bookmarkStart w:name="_Toc834740269" w:id="46"/>
      <w:bookmarkStart w:name="_Toc243991448" w:id="47"/>
      <w:r>
        <w:t xml:space="preserve">IOU </w:t>
      </w:r>
      <w:r w:rsidR="00F35E11">
        <w:t xml:space="preserve">Presentations on </w:t>
      </w:r>
      <w:r w:rsidRPr="002F2E0E">
        <w:t>Proposed</w:t>
      </w:r>
      <w:r>
        <w:t xml:space="preserve"> Strategies for Interoperability</w:t>
      </w:r>
      <w:bookmarkEnd w:id="46"/>
      <w:bookmarkEnd w:id="47"/>
    </w:p>
    <w:p w:rsidR="00B65A65" w:rsidP="009B2D8C" w:rsidRDefault="00B65A65" w14:paraId="071BA98D" w14:textId="6B2EE9B4">
      <w:pPr>
        <w:pStyle w:val="Standard"/>
      </w:pPr>
      <w:r>
        <w:t xml:space="preserve">The March 23 Ruling asked </w:t>
      </w:r>
      <w:r w:rsidR="00315A88">
        <w:rPr>
          <w:szCs w:val="26"/>
        </w:rPr>
        <w:t xml:space="preserve">whether </w:t>
      </w:r>
      <w:r w:rsidRPr="00614F00" w:rsidR="00315A88">
        <w:rPr>
          <w:szCs w:val="26"/>
        </w:rPr>
        <w:t xml:space="preserve">the IOUs </w:t>
      </w:r>
      <w:r w:rsidR="00315A88">
        <w:rPr>
          <w:szCs w:val="26"/>
        </w:rPr>
        <w:t xml:space="preserve">should </w:t>
      </w:r>
      <w:r w:rsidRPr="00614F00" w:rsidR="00315A88">
        <w:rPr>
          <w:szCs w:val="26"/>
        </w:rPr>
        <w:t>present their proposed strategy for achieving interoperability</w:t>
      </w:r>
      <w:r w:rsidR="00C96663">
        <w:rPr>
          <w:szCs w:val="26"/>
        </w:rPr>
        <w:t xml:space="preserve"> in proposed applications</w:t>
      </w:r>
      <w:r w:rsidRPr="00614F00" w:rsidR="00315A88">
        <w:rPr>
          <w:szCs w:val="26"/>
        </w:rPr>
        <w:t>, including communications protocols, to enable scalable DER orchestration</w:t>
      </w:r>
      <w:r w:rsidR="009B2D8C">
        <w:rPr>
          <w:szCs w:val="26"/>
        </w:rPr>
        <w:t>.</w:t>
      </w:r>
    </w:p>
    <w:p w:rsidR="00892DB1" w:rsidP="007C0571" w:rsidRDefault="007E5FB5" w14:paraId="70C3555F" w14:textId="32101D8A">
      <w:pPr>
        <w:pStyle w:val="Standard"/>
      </w:pPr>
      <w:r>
        <w:lastRenderedPageBreak/>
        <w:t>PG&amp;E</w:t>
      </w:r>
      <w:r w:rsidR="00B9019D">
        <w:t>,</w:t>
      </w:r>
      <w:r>
        <w:t xml:space="preserve"> SCE</w:t>
      </w:r>
      <w:r w:rsidR="00B9019D">
        <w:t>,</w:t>
      </w:r>
      <w:r>
        <w:t xml:space="preserve"> SDG&amp;E</w:t>
      </w:r>
      <w:r w:rsidR="00B9019D">
        <w:t>,</w:t>
      </w:r>
      <w:r>
        <w:t xml:space="preserve"> Universal Devices</w:t>
      </w:r>
      <w:r w:rsidR="00B9019D">
        <w:t>,</w:t>
      </w:r>
      <w:r>
        <w:t xml:space="preserve"> </w:t>
      </w:r>
      <w:proofErr w:type="spellStart"/>
      <w:r>
        <w:t>Nexamp</w:t>
      </w:r>
      <w:proofErr w:type="spellEnd"/>
      <w:r w:rsidR="00B9019D">
        <w:t>,</w:t>
      </w:r>
      <w:r>
        <w:t xml:space="preserve"> EDF</w:t>
      </w:r>
      <w:r w:rsidR="00B9019D">
        <w:t>,</w:t>
      </w:r>
      <w:r>
        <w:t xml:space="preserve"> CA Efficiency </w:t>
      </w:r>
      <w:r w:rsidR="003F1D07">
        <w:t>+</w:t>
      </w:r>
      <w:r>
        <w:t xml:space="preserve"> Demand Management Council</w:t>
      </w:r>
      <w:r w:rsidR="00B9019D">
        <w:t>,</w:t>
      </w:r>
      <w:r w:rsidR="00762EBC">
        <w:t xml:space="preserve"> </w:t>
      </w:r>
      <w:r w:rsidR="003F1D07">
        <w:t xml:space="preserve">and </w:t>
      </w:r>
      <w:r w:rsidR="00762EBC">
        <w:t>350 Bay Area</w:t>
      </w:r>
      <w:r w:rsidR="003F1D07">
        <w:t xml:space="preserve"> support IOUs </w:t>
      </w:r>
      <w:r w:rsidR="006235AE">
        <w:t>presenting on their proposed strategy for achieving interoperability</w:t>
      </w:r>
      <w:r w:rsidR="00787082">
        <w:t xml:space="preserve"> in their DER orchestration applications</w:t>
      </w:r>
      <w:r w:rsidR="006235AE">
        <w:t>.</w:t>
      </w:r>
      <w:r w:rsidR="003D4EFB">
        <w:rPr>
          <w:rStyle w:val="FootnoteReference"/>
        </w:rPr>
        <w:footnoteReference w:id="91"/>
      </w:r>
      <w:r w:rsidR="00446872">
        <w:t xml:space="preserve"> </w:t>
      </w:r>
    </w:p>
    <w:p w:rsidR="00A31BAD" w:rsidP="007C0571" w:rsidRDefault="000C2D81" w14:paraId="43A1031A" w14:textId="0D818607">
      <w:pPr>
        <w:pStyle w:val="Standard"/>
      </w:pPr>
      <w:r w:rsidRPr="000C2D81">
        <w:t xml:space="preserve">PG&amp;E proposes standardized protocols </w:t>
      </w:r>
      <w:r w:rsidR="001344E7">
        <w:t xml:space="preserve">such as IEEE 2030.5 </w:t>
      </w:r>
      <w:r w:rsidRPr="000C2D81">
        <w:t>for communications to help achieve interoperability.</w:t>
      </w:r>
      <w:r w:rsidR="001344E7">
        <w:rPr>
          <w:rStyle w:val="FootnoteReference"/>
        </w:rPr>
        <w:footnoteReference w:id="92"/>
      </w:r>
      <w:r w:rsidR="001344E7">
        <w:t xml:space="preserve"> </w:t>
      </w:r>
      <w:r w:rsidR="005858D0">
        <w:t>SCE</w:t>
      </w:r>
      <w:r w:rsidR="003A3B4A">
        <w:t xml:space="preserve"> similarly states that its “</w:t>
      </w:r>
      <w:r w:rsidRPr="00625F17" w:rsidR="00625F17">
        <w:t xml:space="preserve">DERMS supports IEEE 2030.5/CSIP for its reliability, cybersecurity, and fail-safe functionalities. SCE has made clear on the Track 3 record that it believes </w:t>
      </w:r>
      <w:r w:rsidR="00C84D49">
        <w:t xml:space="preserve">IEEE </w:t>
      </w:r>
      <w:r w:rsidRPr="00625F17" w:rsidR="00625F17">
        <w:t>2030.5 is the key to scaling DER orchestration</w:t>
      </w:r>
      <w:r w:rsidR="00625F17">
        <w:t>.”</w:t>
      </w:r>
      <w:r w:rsidR="00625F17">
        <w:rPr>
          <w:rStyle w:val="FootnoteReference"/>
        </w:rPr>
        <w:footnoteReference w:id="93"/>
      </w:r>
      <w:r w:rsidR="00625F17">
        <w:t xml:space="preserve"> </w:t>
      </w:r>
      <w:r w:rsidR="00A31BAD">
        <w:t>SDG&amp;E</w:t>
      </w:r>
      <w:r w:rsidR="00376B45">
        <w:t xml:space="preserve"> s</w:t>
      </w:r>
      <w:r w:rsidR="003D0FA3">
        <w:t>t</w:t>
      </w:r>
      <w:r w:rsidR="00376B45">
        <w:t>ates that it</w:t>
      </w:r>
      <w:r w:rsidR="00A31BAD">
        <w:t xml:space="preserve">s </w:t>
      </w:r>
      <w:r w:rsidR="005778A9">
        <w:t>Grid Modernization Plan</w:t>
      </w:r>
      <w:r w:rsidR="00BA34E9">
        <w:t xml:space="preserve"> </w:t>
      </w:r>
      <w:r w:rsidR="005778A9">
        <w:t>presents SDG&amp;E</w:t>
      </w:r>
      <w:r w:rsidR="000D5F98">
        <w:t>’s position on communication protocols.</w:t>
      </w:r>
      <w:r w:rsidR="000D5F98">
        <w:rPr>
          <w:rStyle w:val="FootnoteReference"/>
        </w:rPr>
        <w:footnoteReference w:id="94"/>
      </w:r>
    </w:p>
    <w:p w:rsidR="00166697" w:rsidP="007C0571" w:rsidRDefault="00C80598" w14:paraId="7F646FFD" w14:textId="240BB998">
      <w:pPr>
        <w:pStyle w:val="Standard"/>
      </w:pPr>
      <w:r>
        <w:t>Comments by non-IOU parties converge</w:t>
      </w:r>
      <w:r w:rsidR="00892DB1">
        <w:t xml:space="preserve"> on open architecture and third party participation.</w:t>
      </w:r>
      <w:r w:rsidR="00892DB1">
        <w:rPr>
          <w:rStyle w:val="FootnoteReference"/>
        </w:rPr>
        <w:footnoteReference w:id="95"/>
      </w:r>
      <w:r w:rsidR="00892DB1">
        <w:t xml:space="preserve"> S</w:t>
      </w:r>
      <w:r w:rsidR="004C57DE">
        <w:t>everal parties</w:t>
      </w:r>
      <w:r w:rsidR="00B927D4">
        <w:t xml:space="preserve"> </w:t>
      </w:r>
      <w:r w:rsidR="00664A3A">
        <w:t xml:space="preserve">note that proposed interoperability and communication strategies should </w:t>
      </w:r>
      <w:r w:rsidR="00520554">
        <w:t xml:space="preserve">be flexible and non-proprietary </w:t>
      </w:r>
      <w:r w:rsidR="00C2641E">
        <w:t xml:space="preserve">to </w:t>
      </w:r>
      <w:r w:rsidR="00664A3A">
        <w:t>encourage DER participation</w:t>
      </w:r>
      <w:r w:rsidR="008B082A">
        <w:t>.</w:t>
      </w:r>
      <w:r w:rsidR="004C57DE">
        <w:rPr>
          <w:rStyle w:val="FootnoteReference"/>
        </w:rPr>
        <w:footnoteReference w:id="96"/>
      </w:r>
      <w:r w:rsidR="004C57DE">
        <w:t xml:space="preserve"> </w:t>
      </w:r>
      <w:r w:rsidR="00CD516D">
        <w:t>350 Bay Area emphasize</w:t>
      </w:r>
      <w:r w:rsidR="00CE67DB">
        <w:t>s</w:t>
      </w:r>
      <w:r w:rsidR="00CD516D">
        <w:t xml:space="preserve"> that communication and interoperability strategies should be reviewed by stakeholders.</w:t>
      </w:r>
      <w:r w:rsidR="003D4EFB">
        <w:rPr>
          <w:rStyle w:val="FootnoteReference"/>
        </w:rPr>
        <w:footnoteReference w:id="97"/>
      </w:r>
      <w:r w:rsidR="00CD516D">
        <w:t xml:space="preserve"> </w:t>
      </w:r>
      <w:r w:rsidR="009D752F">
        <w:t>CALSSA</w:t>
      </w:r>
      <w:r w:rsidR="00B9019D">
        <w:t>,</w:t>
      </w:r>
      <w:r w:rsidR="004C57DE">
        <w:t xml:space="preserve"> SCE</w:t>
      </w:r>
      <w:r w:rsidR="00B9019D">
        <w:t>,</w:t>
      </w:r>
      <w:r w:rsidR="004C57DE">
        <w:t xml:space="preserve"> </w:t>
      </w:r>
      <w:r w:rsidR="00B050B5">
        <w:lastRenderedPageBreak/>
        <w:t>Universal Devices</w:t>
      </w:r>
      <w:r w:rsidR="00B9019D">
        <w:t>,</w:t>
      </w:r>
      <w:r w:rsidR="00B050B5">
        <w:t xml:space="preserve"> </w:t>
      </w:r>
      <w:r w:rsidR="004C57DE">
        <w:t xml:space="preserve">and EDF recommend </w:t>
      </w:r>
      <w:r w:rsidR="00A25EE4">
        <w:t>building interoperability and communication strategies based on</w:t>
      </w:r>
      <w:r w:rsidR="00AE28E1">
        <w:t xml:space="preserve"> existing standards</w:t>
      </w:r>
      <w:r w:rsidR="005E4450">
        <w:t xml:space="preserve"> such as</w:t>
      </w:r>
      <w:r w:rsidR="00B050B5">
        <w:t xml:space="preserve"> IEEE 2030.5</w:t>
      </w:r>
      <w:r w:rsidR="005E4450">
        <w:t>.</w:t>
      </w:r>
      <w:r w:rsidR="003D4EFB">
        <w:rPr>
          <w:rStyle w:val="FootnoteReference"/>
        </w:rPr>
        <w:footnoteReference w:id="98"/>
      </w:r>
      <w:r w:rsidR="005E4450">
        <w:t xml:space="preserve"> </w:t>
      </w:r>
      <w:r w:rsidR="00607EC1">
        <w:t xml:space="preserve">However, Universal Devices </w:t>
      </w:r>
      <w:r w:rsidR="00FB277E">
        <w:t xml:space="preserve">also urges that a </w:t>
      </w:r>
      <w:r w:rsidRPr="00166697" w:rsidR="00166697">
        <w:t xml:space="preserve">DER orchestration framework not mandate IEEE 2030.5 as </w:t>
      </w:r>
      <w:r w:rsidR="00235631">
        <w:t>an</w:t>
      </w:r>
      <w:r w:rsidRPr="00166697" w:rsidR="00166697">
        <w:t xml:space="preserve"> exclusive signal protocol</w:t>
      </w:r>
      <w:r w:rsidR="00FF6EBD">
        <w:t xml:space="preserve"> that </w:t>
      </w:r>
      <w:r w:rsidRPr="00FF6EBD" w:rsidR="00FF6EBD">
        <w:t xml:space="preserve">would exclude the majority of deployed residential BTM devices and the aggregators that currently serve them via </w:t>
      </w:r>
      <w:proofErr w:type="spellStart"/>
      <w:r w:rsidRPr="00FF6EBD" w:rsidR="00FF6EBD">
        <w:t>OpenADR</w:t>
      </w:r>
      <w:proofErr w:type="spellEnd"/>
      <w:r w:rsidRPr="00FF6EBD" w:rsidR="00FF6EBD">
        <w:t>.</w:t>
      </w:r>
      <w:r w:rsidR="004B77B9">
        <w:rPr>
          <w:rStyle w:val="FootnoteReference"/>
        </w:rPr>
        <w:footnoteReference w:id="99"/>
      </w:r>
      <w:r w:rsidR="0022734D">
        <w:t xml:space="preserve"> </w:t>
      </w:r>
      <w:r w:rsidRPr="0022734D" w:rsidR="0022734D">
        <w:t>Universal Devices is concerned about vendor lock-in, arguing that “a framework built around a single signal type or a single utility's proprietary implementation, rather than an open, plugin-based execution layer, risks locking ratepayers, manufacturers, and the Commission into a small number of vendors, with attendant risks to cost, competition, and long-term flexibility.</w:t>
      </w:r>
      <w:r w:rsidR="00376B45">
        <w:t>”</w:t>
      </w:r>
      <w:r w:rsidR="0022734D">
        <w:rPr>
          <w:rStyle w:val="FootnoteReference"/>
        </w:rPr>
        <w:footnoteReference w:id="100"/>
      </w:r>
    </w:p>
    <w:p w:rsidRPr="00C84D49" w:rsidR="005069B8" w:rsidP="00C84D49" w:rsidRDefault="00762EBC" w14:paraId="6605D8E0" w14:textId="41DB63C7">
      <w:pPr>
        <w:pStyle w:val="Standard"/>
      </w:pPr>
      <w:r>
        <w:t>A</w:t>
      </w:r>
      <w:r w:rsidR="00B0524A">
        <w:t>EU</w:t>
      </w:r>
      <w:r>
        <w:t xml:space="preserve"> </w:t>
      </w:r>
      <w:r w:rsidR="005E4450">
        <w:t xml:space="preserve">opposes </w:t>
      </w:r>
      <w:r w:rsidR="00351384">
        <w:t xml:space="preserve">the </w:t>
      </w:r>
      <w:r w:rsidR="005E4450">
        <w:t xml:space="preserve">IOUs presenting on their proposed interoperability strategy </w:t>
      </w:r>
      <w:r w:rsidR="00351384">
        <w:t xml:space="preserve">in their DER orchestration applications </w:t>
      </w:r>
      <w:r w:rsidR="005E4450">
        <w:t>and believes</w:t>
      </w:r>
      <w:r>
        <w:t xml:space="preserve"> </w:t>
      </w:r>
      <w:r w:rsidR="00713BA1">
        <w:t>the Commission should establish consistent statewide standards for interoperability.</w:t>
      </w:r>
      <w:r w:rsidR="003D4EFB">
        <w:rPr>
          <w:rStyle w:val="FootnoteReference"/>
        </w:rPr>
        <w:footnoteReference w:id="101"/>
      </w:r>
      <w:r w:rsidR="005D6F2D">
        <w:t xml:space="preserve"> </w:t>
      </w:r>
      <w:r w:rsidRPr="005D6F2D" w:rsidR="005D6F2D">
        <w:t>Universal Devices supports this position and s</w:t>
      </w:r>
      <w:r w:rsidR="00C84D49">
        <w:t xml:space="preserve">tates that </w:t>
      </w:r>
      <w:r w:rsidRPr="005D6F2D" w:rsidR="005D6F2D">
        <w:t>the BTM execution layer</w:t>
      </w:r>
      <w:r w:rsidR="00C84D49">
        <w:t xml:space="preserve"> in particular needs consistent statewide standards</w:t>
      </w:r>
      <w:r w:rsidRPr="005D6F2D" w:rsidR="005D6F2D">
        <w:t>.</w:t>
      </w:r>
      <w:r w:rsidR="005D6F2D">
        <w:rPr>
          <w:rStyle w:val="FootnoteReference"/>
        </w:rPr>
        <w:footnoteReference w:id="102"/>
      </w:r>
      <w:r w:rsidR="005E5747">
        <w:t xml:space="preserve"> </w:t>
      </w:r>
      <w:r w:rsidR="00270E4B">
        <w:t>SDG&amp;E cautions that interoperability is not fully within IOU control and will remain costly or limited without broader state action.</w:t>
      </w:r>
      <w:r w:rsidR="003D4EFB">
        <w:rPr>
          <w:rStyle w:val="FootnoteReference"/>
        </w:rPr>
        <w:footnoteReference w:id="103"/>
      </w:r>
      <w:r w:rsidR="00270E4B">
        <w:t xml:space="preserve"> </w:t>
      </w:r>
      <w:r w:rsidR="005E5747">
        <w:t xml:space="preserve">CalCCA </w:t>
      </w:r>
      <w:r w:rsidR="00EB2A89">
        <w:t>emphasizes a need to ensure cost-effective interoperability</w:t>
      </w:r>
      <w:r w:rsidR="00406EDA">
        <w:t xml:space="preserve"> and cautions against reliance on complex IOU </w:t>
      </w:r>
      <w:r w:rsidR="00406EDA">
        <w:lastRenderedPageBreak/>
        <w:t>ADMS/DERMS platforms with specific communication protocols</w:t>
      </w:r>
      <w:r w:rsidR="006A498A">
        <w:t xml:space="preserve"> that will limit DER participation.</w:t>
      </w:r>
      <w:r w:rsidR="006A498A">
        <w:rPr>
          <w:rStyle w:val="FootnoteReference"/>
        </w:rPr>
        <w:footnoteReference w:id="104"/>
      </w:r>
    </w:p>
    <w:p w:rsidR="0012651B" w:rsidP="00BC52C0" w:rsidRDefault="00064A18" w14:paraId="147E967D" w14:textId="5E30B445">
      <w:pPr>
        <w:pStyle w:val="Standard"/>
      </w:pPr>
      <w:r>
        <w:t>T</w:t>
      </w:r>
      <w:r w:rsidR="00BF0884">
        <w:t xml:space="preserve">he working group </w:t>
      </w:r>
      <w:r w:rsidR="00214EEC">
        <w:t xml:space="preserve">is </w:t>
      </w:r>
      <w:r w:rsidR="00BF0884">
        <w:t>to address</w:t>
      </w:r>
      <w:r w:rsidR="00FF7CA3">
        <w:t xml:space="preserve"> the following items that the</w:t>
      </w:r>
      <w:r w:rsidR="00BC5AEB">
        <w:t xml:space="preserve"> Commission directs</w:t>
      </w:r>
      <w:r w:rsidR="00FF7CA3">
        <w:t xml:space="preserve"> the Joint </w:t>
      </w:r>
      <w:r w:rsidR="004D6EF7">
        <w:t xml:space="preserve">IOU </w:t>
      </w:r>
      <w:r w:rsidR="004800B1">
        <w:t>A</w:t>
      </w:r>
      <w:r w:rsidR="004D6EF7">
        <w:t xml:space="preserve">pplication for DER orchestration </w:t>
      </w:r>
      <w:r w:rsidR="00C84D49">
        <w:t>to</w:t>
      </w:r>
      <w:r w:rsidR="004D6EF7">
        <w:t xml:space="preserve"> specify </w:t>
      </w:r>
      <w:r w:rsidR="00FF2D0D">
        <w:t>(</w:t>
      </w:r>
      <w:proofErr w:type="spellStart"/>
      <w:r w:rsidR="00FF2D0D">
        <w:t>i</w:t>
      </w:r>
      <w:proofErr w:type="spellEnd"/>
      <w:r w:rsidR="00FF2D0D">
        <w:t>) what information should be shared</w:t>
      </w:r>
      <w:r w:rsidR="00C84D49">
        <w:t xml:space="preserve"> as part of the orchestration plan</w:t>
      </w:r>
      <w:r w:rsidR="00E93FBB">
        <w:t xml:space="preserve">; (ii) with whom; (iii) </w:t>
      </w:r>
      <w:r w:rsidR="00C84D49">
        <w:t xml:space="preserve">with what </w:t>
      </w:r>
      <w:r w:rsidR="00E93FBB">
        <w:t xml:space="preserve">required granularity/cadence/latency; and (iv) </w:t>
      </w:r>
      <w:r w:rsidR="00C84D49">
        <w:t xml:space="preserve">with what </w:t>
      </w:r>
      <w:r w:rsidR="00E93FBB">
        <w:t xml:space="preserve">privacy/cybersecurity safeguards. </w:t>
      </w:r>
      <w:r w:rsidR="00BC52C0">
        <w:t xml:space="preserve">The </w:t>
      </w:r>
      <w:r w:rsidRPr="00311F3D" w:rsidR="00BC52C0">
        <w:t xml:space="preserve">Commission agrees </w:t>
      </w:r>
      <w:r w:rsidR="00B0079C">
        <w:t xml:space="preserve">generally </w:t>
      </w:r>
      <w:r w:rsidR="00C84D49">
        <w:t xml:space="preserve">with </w:t>
      </w:r>
      <w:r w:rsidR="00B0079C">
        <w:t>Universal Devices</w:t>
      </w:r>
      <w:r w:rsidR="00C84D49">
        <w:t xml:space="preserve"> that</w:t>
      </w:r>
      <w:r w:rsidR="00B0079C">
        <w:t xml:space="preserve"> the</w:t>
      </w:r>
      <w:r w:rsidR="00C84D49">
        <w:t xml:space="preserve"> </w:t>
      </w:r>
      <w:r w:rsidR="00E93FBB">
        <w:t xml:space="preserve">IOUs </w:t>
      </w:r>
      <w:r w:rsidR="00C84D49">
        <w:t>should</w:t>
      </w:r>
      <w:r w:rsidR="00E93FBB">
        <w:t xml:space="preserve"> propose open, standardized, and interoperable communication </w:t>
      </w:r>
      <w:r w:rsidR="00142D26">
        <w:t>protocols that reduce reliance on proprietary OEM clouds and ena</w:t>
      </w:r>
      <w:r w:rsidR="00BC52C0">
        <w:t>ble grid-edge innovation.</w:t>
      </w:r>
      <w:r w:rsidR="008E05D0">
        <w:t xml:space="preserve"> This position </w:t>
      </w:r>
      <w:r w:rsidR="001647B1">
        <w:t>balances the IOUs</w:t>
      </w:r>
      <w:r w:rsidR="00A268A9">
        <w:t>’</w:t>
      </w:r>
      <w:r w:rsidR="001647B1">
        <w:t xml:space="preserve"> priority of cybersecurity and reliability with non-IOU convergence on open-access standards.</w:t>
      </w:r>
      <w:r w:rsidR="0012651B">
        <w:t xml:space="preserve"> </w:t>
      </w:r>
      <w:r w:rsidR="006E5FCC">
        <w:t xml:space="preserve">As such, we direct the IOUs to propose in their application the use of open, standardized, and interoperable communication protocols, and </w:t>
      </w:r>
      <w:r w:rsidR="00CB6641">
        <w:t>require</w:t>
      </w:r>
      <w:r w:rsidR="006E5FCC">
        <w:t xml:space="preserve"> that any </w:t>
      </w:r>
      <w:r w:rsidR="00CB6641">
        <w:t xml:space="preserve">proposed </w:t>
      </w:r>
      <w:r w:rsidR="006E5FCC">
        <w:t xml:space="preserve">deviation </w:t>
      </w:r>
      <w:r w:rsidR="00CB6641">
        <w:t xml:space="preserve">include </w:t>
      </w:r>
      <w:r w:rsidR="00ED298E">
        <w:t xml:space="preserve">justification for why </w:t>
      </w:r>
      <w:r w:rsidR="00240BE1">
        <w:t xml:space="preserve">no open, standardized, and interoperable communication protocols will meet the proposed needs. </w:t>
      </w:r>
    </w:p>
    <w:p w:rsidR="00351384" w:rsidP="00BC52C0" w:rsidRDefault="00B0079C" w14:paraId="7CDB1D00" w14:textId="68B39E5A">
      <w:pPr>
        <w:pStyle w:val="Standard"/>
      </w:pPr>
      <w:r>
        <w:t xml:space="preserve">The Commission also directs the </w:t>
      </w:r>
      <w:r w:rsidR="00BC52C0">
        <w:t>IOU</w:t>
      </w:r>
      <w:r>
        <w:t>s to</w:t>
      </w:r>
      <w:r w:rsidR="00BC52C0">
        <w:t xml:space="preserve"> address communication barriers </w:t>
      </w:r>
      <w:r w:rsidR="00BB7ABC">
        <w:t>in their applications</w:t>
      </w:r>
      <w:r w:rsidR="00C47E63">
        <w:t>,</w:t>
      </w:r>
      <w:r w:rsidR="00BB7ABC">
        <w:t xml:space="preserve"> which include but are not limited </w:t>
      </w:r>
      <w:proofErr w:type="gramStart"/>
      <w:r w:rsidR="00BB7ABC">
        <w:t>to:</w:t>
      </w:r>
      <w:proofErr w:type="gramEnd"/>
      <w:r w:rsidR="00BB7ABC">
        <w:t xml:space="preserve"> </w:t>
      </w:r>
      <w:r w:rsidR="00BC52C0">
        <w:t xml:space="preserve">excessive access fees, limited functionality, and </w:t>
      </w:r>
      <w:r w:rsidRPr="0022734D" w:rsidR="00BC52C0">
        <w:t>vendor lock-in</w:t>
      </w:r>
      <w:r w:rsidR="00BC52C0">
        <w:t xml:space="preserve"> that can undermine DER program cost-effectiveness and ratepayer value. </w:t>
      </w:r>
      <w:r>
        <w:t xml:space="preserve">Accordingly, </w:t>
      </w:r>
      <w:r w:rsidR="00D323B8">
        <w:t xml:space="preserve">the </w:t>
      </w:r>
      <w:r>
        <w:t xml:space="preserve">IOU application should </w:t>
      </w:r>
      <w:r w:rsidRPr="00BC52C0" w:rsidR="00BC52C0">
        <w:t>establish pathways for secure, resilient communication and continuity of grid services, including safeguards in the event of technology provider failures or market exits. </w:t>
      </w:r>
      <w:r w:rsidR="00351384">
        <w:t>These measure</w:t>
      </w:r>
      <w:r w:rsidR="00B96289">
        <w:t>s</w:t>
      </w:r>
      <w:r w:rsidR="00351384">
        <w:t xml:space="preserve"> ensure that </w:t>
      </w:r>
      <w:r w:rsidRPr="00DD387E" w:rsidR="00DD387E">
        <w:t xml:space="preserve">DSO-led DER </w:t>
      </w:r>
      <w:r w:rsidR="006E1788">
        <w:t>o</w:t>
      </w:r>
      <w:r w:rsidRPr="00DD387E" w:rsidR="00DD387E">
        <w:t xml:space="preserve">rchestration </w:t>
      </w:r>
      <w:r w:rsidR="00351384">
        <w:t>maintain</w:t>
      </w:r>
      <w:r w:rsidRPr="00DD387E" w:rsidR="00DD387E">
        <w:t>s DER visibility to the DSO a</w:t>
      </w:r>
      <w:r w:rsidR="00351384">
        <w:t>s well as</w:t>
      </w:r>
      <w:r w:rsidRPr="00DD387E" w:rsidR="00DD387E">
        <w:t xml:space="preserve"> DER dispatchability and control</w:t>
      </w:r>
      <w:r w:rsidR="00351384">
        <w:t>.</w:t>
      </w:r>
    </w:p>
    <w:p w:rsidRPr="00BC52C0" w:rsidR="00BA40FD" w:rsidP="00BC52C0" w:rsidRDefault="00E248E0" w14:paraId="41CF8B1B" w14:textId="7EB8A3A6">
      <w:pPr>
        <w:pStyle w:val="Standard"/>
      </w:pPr>
      <w:r>
        <w:lastRenderedPageBreak/>
        <w:t>The Commission also directs</w:t>
      </w:r>
      <w:r w:rsidR="006A6DC6">
        <w:t xml:space="preserve"> the</w:t>
      </w:r>
      <w:r>
        <w:t xml:space="preserve"> </w:t>
      </w:r>
      <w:r w:rsidRPr="00DD387E" w:rsidR="00DD387E">
        <w:t xml:space="preserve">IOUs </w:t>
      </w:r>
      <w:r>
        <w:t>to</w:t>
      </w:r>
      <w:r w:rsidRPr="00DD387E" w:rsidR="00DD387E">
        <w:t xml:space="preserve"> identify </w:t>
      </w:r>
      <w:r w:rsidR="006A6DC6">
        <w:t xml:space="preserve">in the application </w:t>
      </w:r>
      <w:r w:rsidRPr="00DD387E" w:rsidR="00DD387E">
        <w:t xml:space="preserve">existing systems and capabilities that can support DER </w:t>
      </w:r>
      <w:r>
        <w:t>or</w:t>
      </w:r>
      <w:r w:rsidRPr="00DD387E" w:rsidR="00DD387E">
        <w:t xml:space="preserve">chestration, additional capabilities needed to implement their proposals, and </w:t>
      </w:r>
      <w:r w:rsidR="006A6DC6">
        <w:t xml:space="preserve">a description of </w:t>
      </w:r>
      <w:r w:rsidRPr="00DD387E" w:rsidR="00DD387E">
        <w:t>how their proposed architecture reflects their technical and operational readiness.</w:t>
      </w:r>
      <w:r w:rsidR="00B27D23">
        <w:t xml:space="preserve"> While the proposal for the framework must be common across the IOUs, we acknowledge that each IOU is at a different stage of technical and operational readiness. </w:t>
      </w:r>
      <w:r w:rsidR="00CB6641">
        <w:t xml:space="preserve">As such, the proceeding for the joint application should be conducted in a two-phased approach, with Commission adoption of the orchestration framework addressed first to establish common rules and practices, followed by review of each IOUs’ plan, timeline, and any necessary investments for implementing the common framework. This decision directs the IOUs to distinguish in these proposals between existing and previously authorized capabilities from proposed new investments for implementing the common framework. </w:t>
      </w:r>
      <w:r w:rsidR="00073733">
        <w:t>T</w:t>
      </w:r>
      <w:r>
        <w:t xml:space="preserve">his decision directs the </w:t>
      </w:r>
      <w:r w:rsidRPr="00DD387E" w:rsidR="00DD387E">
        <w:t xml:space="preserve">IOUs </w:t>
      </w:r>
      <w:r>
        <w:t>to</w:t>
      </w:r>
      <w:r w:rsidRPr="00DD387E" w:rsidR="00DD387E">
        <w:t xml:space="preserve"> distinguish </w:t>
      </w:r>
      <w:r w:rsidR="00CB6641">
        <w:t xml:space="preserve">in these proposals </w:t>
      </w:r>
      <w:r>
        <w:t xml:space="preserve">between </w:t>
      </w:r>
      <w:r w:rsidRPr="00DD387E" w:rsidR="00DD387E">
        <w:t xml:space="preserve">existing and previously authorized capabilities from proposed new investments. </w:t>
      </w:r>
      <w:r w:rsidR="00073733">
        <w:t xml:space="preserve">Finally, this decision directs the </w:t>
      </w:r>
      <w:r w:rsidRPr="00565079" w:rsidR="00073733">
        <w:t xml:space="preserve">IOUs </w:t>
      </w:r>
      <w:r w:rsidR="00073733">
        <w:t>to</w:t>
      </w:r>
      <w:r w:rsidRPr="00565079" w:rsidR="00073733">
        <w:t xml:space="preserve"> continue TSO-DSO coordination with CAISO during the application proceeding and incorporate</w:t>
      </w:r>
      <w:r w:rsidR="003225B0">
        <w:t>s</w:t>
      </w:r>
      <w:r w:rsidRPr="00565079" w:rsidR="00073733">
        <w:t xml:space="preserve"> relevant developments regarding DER visibility, data exchange, service prioritization, </w:t>
      </w:r>
      <w:r w:rsidR="006A7D95">
        <w:t xml:space="preserve">operational forecasting, </w:t>
      </w:r>
      <w:r w:rsidRPr="00565079" w:rsidR="00073733">
        <w:t>and operational coordination into the application record.</w:t>
      </w:r>
    </w:p>
    <w:p w:rsidR="00F52186" w:rsidP="002F2E0E" w:rsidRDefault="003936CB" w14:paraId="72B51888" w14:textId="5A64F29D">
      <w:pPr>
        <w:pStyle w:val="Heading2"/>
      </w:pPr>
      <w:bookmarkStart w:name="_Toc2116795722" w:id="48"/>
      <w:bookmarkStart w:name="_Toc243991449" w:id="49"/>
      <w:r>
        <w:t xml:space="preserve">Role of DER Aggregators </w:t>
      </w:r>
      <w:r w:rsidR="00F438A3">
        <w:t>W</w:t>
      </w:r>
      <w:r w:rsidR="00974D25">
        <w:t xml:space="preserve">ithin a </w:t>
      </w:r>
      <w:r w:rsidR="00F438A3">
        <w:t>P</w:t>
      </w:r>
      <w:r w:rsidR="00974D25">
        <w:t xml:space="preserve">roposed </w:t>
      </w:r>
      <w:r w:rsidR="00F438A3">
        <w:t>F</w:t>
      </w:r>
      <w:r w:rsidR="00974D25">
        <w:t>ramework</w:t>
      </w:r>
      <w:bookmarkEnd w:id="48"/>
      <w:bookmarkEnd w:id="49"/>
    </w:p>
    <w:p w:rsidR="00E355DF" w:rsidP="009661B0" w:rsidRDefault="008B38DB" w14:paraId="6C0CD1BB" w14:textId="280ECF5C">
      <w:pPr>
        <w:pStyle w:val="Standard"/>
      </w:pPr>
      <w:r>
        <w:t xml:space="preserve">Parties differ </w:t>
      </w:r>
      <w:r w:rsidR="00A04BEE">
        <w:t xml:space="preserve">on </w:t>
      </w:r>
      <w:r w:rsidR="00CC092D">
        <w:t xml:space="preserve">how IOU applications should address the role </w:t>
      </w:r>
      <w:r w:rsidR="00540CCD">
        <w:t>of DER aggregators within a DER orchestration framework</w:t>
      </w:r>
      <w:r w:rsidR="000D4A5D">
        <w:t xml:space="preserve">. </w:t>
      </w:r>
      <w:r w:rsidR="004931A9">
        <w:t xml:space="preserve">In this proceeding, </w:t>
      </w:r>
      <w:r w:rsidR="00F245E8">
        <w:t xml:space="preserve">the term </w:t>
      </w:r>
      <w:r w:rsidR="00B0524A">
        <w:lastRenderedPageBreak/>
        <w:t>“</w:t>
      </w:r>
      <w:r w:rsidR="00F245E8">
        <w:t>aggregator</w:t>
      </w:r>
      <w:r w:rsidR="00B0524A">
        <w:t>”</w:t>
      </w:r>
      <w:r w:rsidR="00F245E8">
        <w:t xml:space="preserve"> applies to a </w:t>
      </w:r>
      <w:r w:rsidR="005F0C4D">
        <w:t xml:space="preserve">third-party </w:t>
      </w:r>
      <w:r w:rsidR="00F245E8">
        <w:t>technical service provider</w:t>
      </w:r>
      <w:r w:rsidR="004F79A4">
        <w:t xml:space="preserve"> </w:t>
      </w:r>
      <w:r w:rsidR="00A0334D">
        <w:t xml:space="preserve">who </w:t>
      </w:r>
      <w:r w:rsidR="00E02F83">
        <w:t>aggregates</w:t>
      </w:r>
      <w:r w:rsidR="00FD7FF5">
        <w:t xml:space="preserve"> and operates DER programs on behalf of </w:t>
      </w:r>
      <w:r w:rsidR="002173F5">
        <w:t>individual DER owners</w:t>
      </w:r>
      <w:r w:rsidR="00FD7FF5">
        <w:t>.</w:t>
      </w:r>
      <w:r w:rsidR="00520E1F">
        <w:rPr>
          <w:rStyle w:val="FootnoteReference"/>
        </w:rPr>
        <w:footnoteReference w:id="105"/>
      </w:r>
    </w:p>
    <w:p w:rsidR="008664D1" w:rsidP="000D4A5D" w:rsidRDefault="00757AAB" w14:paraId="0E690ECD" w14:textId="4AF4F1F0">
      <w:pPr>
        <w:pStyle w:val="Standard"/>
      </w:pPr>
      <w:proofErr w:type="spellStart"/>
      <w:r>
        <w:t>Nexamp</w:t>
      </w:r>
      <w:proofErr w:type="spellEnd"/>
      <w:r>
        <w:t xml:space="preserve"> </w:t>
      </w:r>
      <w:r w:rsidR="00951F68">
        <w:t xml:space="preserve">and UCAN </w:t>
      </w:r>
      <w:r w:rsidR="00250850">
        <w:t>suggest</w:t>
      </w:r>
      <w:r w:rsidR="00CF4360">
        <w:t xml:space="preserve"> that </w:t>
      </w:r>
      <w:r w:rsidR="00250850">
        <w:t xml:space="preserve">proposed applications treat aggregators as core participants on a comparable </w:t>
      </w:r>
      <w:r w:rsidR="00951F68">
        <w:t xml:space="preserve">or co-equal </w:t>
      </w:r>
      <w:r w:rsidR="00250850">
        <w:t>basis to IOUs.</w:t>
      </w:r>
      <w:r w:rsidR="004906EF">
        <w:rPr>
          <w:rStyle w:val="FootnoteReference"/>
        </w:rPr>
        <w:footnoteReference w:id="106"/>
      </w:r>
      <w:r w:rsidR="00250850">
        <w:t xml:space="preserve"> EDF </w:t>
      </w:r>
      <w:r w:rsidR="00BE2316">
        <w:t xml:space="preserve">explains that DER aggregators </w:t>
      </w:r>
      <w:r w:rsidR="009473C7">
        <w:t xml:space="preserve">will play a critical role in scaling DER orchestration because utilities are unlikely to </w:t>
      </w:r>
      <w:r w:rsidR="00E70116">
        <w:t xml:space="preserve">directly </w:t>
      </w:r>
      <w:r w:rsidR="009473C7">
        <w:t xml:space="preserve">manage millions of customer </w:t>
      </w:r>
      <w:r w:rsidR="00E70116">
        <w:t>devices cost-effectively.</w:t>
      </w:r>
      <w:r w:rsidR="004906EF">
        <w:rPr>
          <w:rStyle w:val="FootnoteReference"/>
        </w:rPr>
        <w:footnoteReference w:id="107"/>
      </w:r>
      <w:r w:rsidR="00532BC1">
        <w:t xml:space="preserve"> </w:t>
      </w:r>
      <w:r w:rsidR="009D752F">
        <w:t>CALSSA</w:t>
      </w:r>
      <w:r w:rsidR="00532BC1">
        <w:t xml:space="preserve"> takes a stronger stance that aggregators should be the primary operators of DER fleets</w:t>
      </w:r>
      <w:r w:rsidR="001213EC">
        <w:t xml:space="preserve"> because </w:t>
      </w:r>
      <w:r w:rsidRPr="001213EC" w:rsidR="001213EC">
        <w:t>energy storage providers have been refining their algorithms for balancing grid services and customer needs and expectations</w:t>
      </w:r>
      <w:r w:rsidR="009D20F2">
        <w:t xml:space="preserve"> since</w:t>
      </w:r>
      <w:r w:rsidR="008A033F">
        <w:t xml:space="preserve"> the</w:t>
      </w:r>
      <w:r w:rsidR="009D20F2">
        <w:t xml:space="preserve"> </w:t>
      </w:r>
      <w:r w:rsidR="008A033F">
        <w:t xml:space="preserve">Commission launched </w:t>
      </w:r>
      <w:r w:rsidR="009D20F2">
        <w:t xml:space="preserve">the </w:t>
      </w:r>
      <w:r w:rsidR="008A033F">
        <w:t>now-</w:t>
      </w:r>
      <w:r w:rsidR="00CD5BFD">
        <w:t>concluded</w:t>
      </w:r>
      <w:r w:rsidR="008A033F">
        <w:t xml:space="preserve"> </w:t>
      </w:r>
      <w:r w:rsidRPr="009D20F2" w:rsidR="009D20F2">
        <w:t>Demand Response Auction Mechanism in 2014</w:t>
      </w:r>
      <w:r w:rsidR="009110B4">
        <w:t>.</w:t>
      </w:r>
      <w:r w:rsidR="004906EF">
        <w:rPr>
          <w:rStyle w:val="FootnoteReference"/>
        </w:rPr>
        <w:footnoteReference w:id="108"/>
      </w:r>
    </w:p>
    <w:p w:rsidR="001F1B11" w:rsidP="0001512F" w:rsidRDefault="00582C14" w14:paraId="566CCC31" w14:textId="74AAB082">
      <w:pPr>
        <w:pStyle w:val="Standard"/>
      </w:pPr>
      <w:r>
        <w:t>Other parties view aggregators as a</w:t>
      </w:r>
      <w:r w:rsidR="00273F7E">
        <w:t xml:space="preserve"> smaller component of DER orchestration. </w:t>
      </w:r>
      <w:r w:rsidR="00526EAD">
        <w:t xml:space="preserve">Universal Devices views the role of aggregators as optional </w:t>
      </w:r>
      <w:r w:rsidR="00070A74">
        <w:t xml:space="preserve">competitive </w:t>
      </w:r>
      <w:r w:rsidR="00526EAD">
        <w:t xml:space="preserve">service </w:t>
      </w:r>
      <w:r w:rsidR="003570DB">
        <w:t>providers, not mandatory intermediaries.</w:t>
      </w:r>
      <w:r w:rsidR="004906EF">
        <w:rPr>
          <w:rStyle w:val="FootnoteReference"/>
        </w:rPr>
        <w:footnoteReference w:id="109"/>
      </w:r>
      <w:r w:rsidR="003570DB">
        <w:t xml:space="preserve"> PG&amp;E suggests aggregators </w:t>
      </w:r>
      <w:r w:rsidR="0001512F">
        <w:t>provide coordinated DER services while utilities retain responsibility for system reliability and operational control.</w:t>
      </w:r>
      <w:r w:rsidR="004906EF">
        <w:rPr>
          <w:rStyle w:val="FootnoteReference"/>
        </w:rPr>
        <w:footnoteReference w:id="110"/>
      </w:r>
      <w:r w:rsidR="0001512F">
        <w:t xml:space="preserve"> </w:t>
      </w:r>
      <w:r w:rsidR="002D0AE1">
        <w:t>PG&amp;E further suggests that aggregator p</w:t>
      </w:r>
      <w:r w:rsidRPr="002D0AE1" w:rsidR="002D0AE1">
        <w:t>articipation should require clear performance standards tied to specific grid services</w:t>
      </w:r>
      <w:r w:rsidR="002D0AE1">
        <w:t>.</w:t>
      </w:r>
      <w:r w:rsidR="002D0AE1">
        <w:rPr>
          <w:rStyle w:val="FootnoteReference"/>
        </w:rPr>
        <w:footnoteReference w:id="111"/>
      </w:r>
      <w:r w:rsidR="002D0AE1">
        <w:t xml:space="preserve"> </w:t>
      </w:r>
      <w:proofErr w:type="spellStart"/>
      <w:r w:rsidR="001F1B11">
        <w:t>EnergyHub</w:t>
      </w:r>
      <w:proofErr w:type="spellEnd"/>
      <w:r w:rsidR="009B7D91">
        <w:t xml:space="preserve"> states that aggregators are not inherently necessary or entitled to a role within a DER orchestration </w:t>
      </w:r>
      <w:r w:rsidR="009B7D91">
        <w:lastRenderedPageBreak/>
        <w:t>framework</w:t>
      </w:r>
      <w:r w:rsidR="00BD3B5C">
        <w:t xml:space="preserve"> </w:t>
      </w:r>
      <w:r w:rsidR="008A033F">
        <w:t>due to the potential for additional</w:t>
      </w:r>
      <w:r w:rsidR="00BD3B5C">
        <w:t xml:space="preserve"> administrative complexity and cost</w:t>
      </w:r>
      <w:r w:rsidR="0001512F">
        <w:t>.</w:t>
      </w:r>
      <w:r w:rsidR="00233CE7">
        <w:rPr>
          <w:rStyle w:val="FootnoteReference"/>
        </w:rPr>
        <w:footnoteReference w:id="112"/>
      </w:r>
    </w:p>
    <w:p w:rsidR="00DD7DFF" w:rsidP="0007469F" w:rsidRDefault="00781630" w14:paraId="085C803E" w14:textId="68806383">
      <w:pPr>
        <w:pStyle w:val="Standard"/>
      </w:pPr>
      <w:r>
        <w:t>SCE</w:t>
      </w:r>
      <w:r w:rsidR="0007469F">
        <w:t xml:space="preserve"> believes it is </w:t>
      </w:r>
      <w:r>
        <w:t>premature to define aggregator</w:t>
      </w:r>
      <w:r w:rsidR="009B36A7">
        <w:t>s’</w:t>
      </w:r>
      <w:r>
        <w:t xml:space="preserve"> full role until program design and cost-benefit outcomes become clear</w:t>
      </w:r>
      <w:r w:rsidR="00087ED3">
        <w:t>.</w:t>
      </w:r>
      <w:r w:rsidR="00233CE7">
        <w:rPr>
          <w:rStyle w:val="FootnoteReference"/>
        </w:rPr>
        <w:footnoteReference w:id="113"/>
      </w:r>
      <w:r w:rsidR="00087ED3">
        <w:t xml:space="preserve"> </w:t>
      </w:r>
      <w:r w:rsidR="00DD7DFF">
        <w:t>C</w:t>
      </w:r>
      <w:r w:rsidR="00523C8A">
        <w:t xml:space="preserve">alCCA </w:t>
      </w:r>
      <w:r w:rsidR="00B47E34">
        <w:t xml:space="preserve">argues that </w:t>
      </w:r>
      <w:r w:rsidR="008A4817">
        <w:t xml:space="preserve">the </w:t>
      </w:r>
      <w:r w:rsidR="00B47E34">
        <w:t xml:space="preserve">DSO framework </w:t>
      </w:r>
      <w:r w:rsidR="007A7083">
        <w:t>should aim</w:t>
      </w:r>
      <w:r w:rsidR="00DF3B49">
        <w:t xml:space="preserve"> to maximize DER participation</w:t>
      </w:r>
      <w:r w:rsidR="00675ACE">
        <w:t xml:space="preserve"> and rejects IOU</w:t>
      </w:r>
      <w:r w:rsidR="00A268A9">
        <w:t xml:space="preserve"> suggestions that the Commission </w:t>
      </w:r>
      <w:r w:rsidR="00C80515">
        <w:t>limit the role of aggregators in DER orchestration.</w:t>
      </w:r>
      <w:r w:rsidR="00087ED3">
        <w:rPr>
          <w:rStyle w:val="FootnoteReference"/>
        </w:rPr>
        <w:footnoteReference w:id="114"/>
      </w:r>
    </w:p>
    <w:p w:rsidRPr="00D56FF8" w:rsidR="00605026" w:rsidP="00D56FF8" w:rsidRDefault="0007469F" w14:paraId="4935DA3A" w14:textId="7142E9CD">
      <w:pPr>
        <w:pStyle w:val="Standard"/>
      </w:pPr>
      <w:r>
        <w:t xml:space="preserve">Parties generally </w:t>
      </w:r>
      <w:proofErr w:type="gramStart"/>
      <w:r>
        <w:t>align on</w:t>
      </w:r>
      <w:proofErr w:type="gramEnd"/>
      <w:r w:rsidR="002E237E">
        <w:t xml:space="preserve"> aspects of aggregator </w:t>
      </w:r>
      <w:r w:rsidR="00BF685D">
        <w:t xml:space="preserve">participation that should be defined in </w:t>
      </w:r>
      <w:r w:rsidR="002E0F9D">
        <w:t xml:space="preserve">an </w:t>
      </w:r>
      <w:r w:rsidR="00BF685D">
        <w:t>IOU application.</w:t>
      </w:r>
      <w:r w:rsidR="00983DBD">
        <w:t xml:space="preserve"> Parties mention </w:t>
      </w:r>
      <w:r w:rsidR="00A16A1F">
        <w:t>non-proprietary open data exchange</w:t>
      </w:r>
      <w:r w:rsidR="00353647">
        <w:t>,</w:t>
      </w:r>
      <w:r w:rsidR="004D59E5">
        <w:rPr>
          <w:rStyle w:val="FootnoteReference"/>
        </w:rPr>
        <w:footnoteReference w:id="115"/>
      </w:r>
      <w:r w:rsidR="0050624B">
        <w:t xml:space="preserve"> </w:t>
      </w:r>
      <w:r w:rsidR="004D59E5">
        <w:t>performance standards</w:t>
      </w:r>
      <w:r w:rsidR="0050624B">
        <w:t>,</w:t>
      </w:r>
      <w:r w:rsidR="00EF359F">
        <w:rPr>
          <w:rStyle w:val="FootnoteReference"/>
        </w:rPr>
        <w:footnoteReference w:id="116"/>
      </w:r>
      <w:r w:rsidR="004D59E5">
        <w:t xml:space="preserve"> </w:t>
      </w:r>
      <w:r w:rsidR="00B510FB">
        <w:t xml:space="preserve">and accountability mechanisms </w:t>
      </w:r>
      <w:r w:rsidR="007F3F47">
        <w:t xml:space="preserve">that include </w:t>
      </w:r>
      <w:r w:rsidR="006F6C46">
        <w:t>consequences</w:t>
      </w:r>
      <w:r w:rsidR="007F3F47">
        <w:t xml:space="preserve"> for </w:t>
      </w:r>
      <w:r w:rsidR="006F6C46">
        <w:t>non-delivery</w:t>
      </w:r>
      <w:r w:rsidR="00FE3B47">
        <w:t>.</w:t>
      </w:r>
      <w:r w:rsidR="00AD296F">
        <w:rPr>
          <w:rStyle w:val="FootnoteReference"/>
        </w:rPr>
        <w:footnoteReference w:id="117"/>
      </w:r>
      <w:r w:rsidR="00FA5E3F">
        <w:t xml:space="preserve"> </w:t>
      </w:r>
      <w:r w:rsidR="00460C28">
        <w:t xml:space="preserve">PG&amp;E highlights that </w:t>
      </w:r>
      <w:r w:rsidR="00717FA9">
        <w:t>“</w:t>
      </w:r>
      <w:r w:rsidR="00C75629">
        <w:t>participation by aggregators and other third parties must occur within a DSO-led operational framework that preserves clear accountability for system reliability and safety.”</w:t>
      </w:r>
      <w:r w:rsidR="00C75629">
        <w:rPr>
          <w:rStyle w:val="FootnoteReference"/>
        </w:rPr>
        <w:footnoteReference w:id="118"/>
      </w:r>
      <w:r w:rsidR="00C75629">
        <w:t xml:space="preserve"> </w:t>
      </w:r>
      <w:r w:rsidR="001E010F">
        <w:t xml:space="preserve">Universal Devices recommends requiring each IOU application to </w:t>
      </w:r>
      <w:r w:rsidRPr="001E010F" w:rsidR="001E010F">
        <w:t>define a published timeline for an open aggregator interface</w:t>
      </w:r>
      <w:r w:rsidR="001E010F">
        <w:t>, as PG&amp;E’s current DERMS aggregator interface is proprietary.</w:t>
      </w:r>
      <w:r w:rsidR="001E010F">
        <w:rPr>
          <w:rStyle w:val="FootnoteReference"/>
        </w:rPr>
        <w:footnoteReference w:id="119"/>
      </w:r>
    </w:p>
    <w:p w:rsidRPr="003042DE" w:rsidR="0019785B" w:rsidP="0019785B" w:rsidRDefault="00DB5A19" w14:paraId="1762D559" w14:textId="2FA6DC65">
      <w:pPr>
        <w:pStyle w:val="Standard"/>
      </w:pPr>
      <w:r>
        <w:lastRenderedPageBreak/>
        <w:t xml:space="preserve">The Commission </w:t>
      </w:r>
      <w:r w:rsidR="00DB631B">
        <w:t xml:space="preserve">agrees </w:t>
      </w:r>
      <w:r w:rsidR="00251B20">
        <w:t xml:space="preserve">with PG&amp;E </w:t>
      </w:r>
      <w:r w:rsidR="00DB631B">
        <w:t xml:space="preserve">that </w:t>
      </w:r>
      <w:r w:rsidR="008A34FE">
        <w:t>participating aggregators should be subject to the same clear performance standards as IOU</w:t>
      </w:r>
      <w:r w:rsidR="00196D5A">
        <w:t xml:space="preserve">s, including clear accountability mechanisms. </w:t>
      </w:r>
      <w:r w:rsidR="0019785B">
        <w:t>The Commission</w:t>
      </w:r>
      <w:r w:rsidR="57F0DFB8">
        <w:t xml:space="preserve"> partially</w:t>
      </w:r>
      <w:r w:rsidR="0019785B">
        <w:t xml:space="preserve"> agrees with </w:t>
      </w:r>
      <w:proofErr w:type="spellStart"/>
      <w:r w:rsidR="0019785B">
        <w:t>EnergyHub</w:t>
      </w:r>
      <w:r w:rsidR="00790201">
        <w:t>’s</w:t>
      </w:r>
      <w:proofErr w:type="spellEnd"/>
      <w:r w:rsidR="00790201">
        <w:t xml:space="preserve"> assertion</w:t>
      </w:r>
      <w:r w:rsidR="0019785B">
        <w:t xml:space="preserve"> that aggregators </w:t>
      </w:r>
      <w:r w:rsidR="007F2F12">
        <w:t xml:space="preserve">should not </w:t>
      </w:r>
      <w:r w:rsidR="00CC65F9">
        <w:t>necessarily be</w:t>
      </w:r>
      <w:r w:rsidR="0019785B">
        <w:t xml:space="preserve"> entitled to a role within DER orchestration, </w:t>
      </w:r>
      <w:r w:rsidR="57F0DFB8">
        <w:t>because when not clearly structured to add value</w:t>
      </w:r>
      <w:r w:rsidR="008F620B">
        <w:t>,</w:t>
      </w:r>
      <w:r w:rsidR="0019785B">
        <w:t xml:space="preserve"> aggregators </w:t>
      </w:r>
      <w:r w:rsidR="57F0DFB8">
        <w:t>co</w:t>
      </w:r>
      <w:r w:rsidR="008F620B">
        <w:t>u</w:t>
      </w:r>
      <w:r w:rsidR="57F0DFB8">
        <w:t xml:space="preserve">ld add complexity and cost. </w:t>
      </w:r>
      <w:r w:rsidR="00CC65F9">
        <w:t>However,</w:t>
      </w:r>
      <w:r w:rsidR="57F0DFB8">
        <w:t xml:space="preserve"> the Commission also finds that aggregators </w:t>
      </w:r>
      <w:r w:rsidR="00CC65F9">
        <w:t>may</w:t>
      </w:r>
      <w:r w:rsidR="57F0DFB8">
        <w:t xml:space="preserve"> </w:t>
      </w:r>
      <w:r w:rsidR="0019785B">
        <w:t>offer enhanced abilities to manage customer assets cost-effectively</w:t>
      </w:r>
      <w:r w:rsidR="57F0DFB8">
        <w:t xml:space="preserve">. </w:t>
      </w:r>
      <w:r w:rsidR="0019785B">
        <w:t>Accordingly, this decision</w:t>
      </w:r>
      <w:r w:rsidR="000A4E59">
        <w:t xml:space="preserve"> </w:t>
      </w:r>
      <w:r w:rsidR="002161EE">
        <w:t>directs the</w:t>
      </w:r>
      <w:r w:rsidR="00ED097B">
        <w:t xml:space="preserve"> working group and the</w:t>
      </w:r>
      <w:r w:rsidR="00E53217">
        <w:t xml:space="preserve"> IOU</w:t>
      </w:r>
      <w:r w:rsidR="0019785B">
        <w:t>s</w:t>
      </w:r>
      <w:r w:rsidR="002E0F9D">
        <w:t xml:space="preserve"> in their application</w:t>
      </w:r>
      <w:r w:rsidR="00E53217">
        <w:t xml:space="preserve"> </w:t>
      </w:r>
      <w:r w:rsidR="002161EE">
        <w:t xml:space="preserve">to </w:t>
      </w:r>
      <w:r w:rsidR="57F0DFB8">
        <w:t xml:space="preserve">carefully </w:t>
      </w:r>
      <w:r w:rsidR="00E53217">
        <w:t xml:space="preserve">consider the </w:t>
      </w:r>
      <w:r w:rsidR="00793E7F">
        <w:t xml:space="preserve">role of DER aggregators </w:t>
      </w:r>
      <w:r w:rsidR="0011608C">
        <w:t>in an orchestration framework</w:t>
      </w:r>
      <w:r w:rsidR="001A2154">
        <w:t xml:space="preserve"> and agrees with </w:t>
      </w:r>
      <w:r w:rsidR="004755F4">
        <w:t xml:space="preserve">PG&amp;E that aggregators should </w:t>
      </w:r>
      <w:r w:rsidR="0019785B">
        <w:t xml:space="preserve">be allowed to </w:t>
      </w:r>
      <w:r w:rsidR="004755F4">
        <w:t xml:space="preserve">provide coordinated </w:t>
      </w:r>
      <w:r w:rsidR="00E23874">
        <w:t>DER services</w:t>
      </w:r>
      <w:r w:rsidR="57F0DFB8">
        <w:t xml:space="preserve"> provided that the role of aggregators adds value</w:t>
      </w:r>
      <w:r w:rsidR="6AEDCCB7">
        <w:t xml:space="preserve">, </w:t>
      </w:r>
      <w:r w:rsidR="57F0DFB8">
        <w:t>does not undermine the goal of cost-effectiveness</w:t>
      </w:r>
      <w:r w:rsidR="2530116B">
        <w:t>, and does not introduce unnecessary complexity.</w:t>
      </w:r>
    </w:p>
    <w:p w:rsidR="00FE0BB8" w:rsidP="002F2E0E" w:rsidRDefault="39F6B6C8" w14:paraId="7E61D412" w14:textId="35BFAF4F">
      <w:pPr>
        <w:pStyle w:val="Heading2"/>
      </w:pPr>
      <w:bookmarkStart w:name="_Toc130646246" w:id="50"/>
      <w:bookmarkStart w:name="_Toc243991450" w:id="51"/>
      <w:r w:rsidRPr="002F2E0E">
        <w:t>Flexible</w:t>
      </w:r>
      <w:r>
        <w:t xml:space="preserve"> </w:t>
      </w:r>
      <w:r w:rsidR="7A618136">
        <w:t>Dispatch</w:t>
      </w:r>
      <w:r w:rsidR="464D7A86">
        <w:t>ing</w:t>
      </w:r>
      <w:r w:rsidR="7A618136">
        <w:t xml:space="preserve"> Mechanisms</w:t>
      </w:r>
      <w:bookmarkEnd w:id="50"/>
      <w:bookmarkEnd w:id="51"/>
      <w:r w:rsidR="7A618136">
        <w:t xml:space="preserve"> </w:t>
      </w:r>
    </w:p>
    <w:p w:rsidR="000D4F89" w:rsidP="00FE5960" w:rsidRDefault="00951984" w14:paraId="0C47EF0B" w14:textId="0C6B1424">
      <w:pPr>
        <w:pStyle w:val="Standard"/>
      </w:pPr>
      <w:r>
        <w:t xml:space="preserve">Several parties commented on </w:t>
      </w:r>
      <w:r w:rsidR="19DC7EDA">
        <w:t>mechanisms</w:t>
      </w:r>
      <w:r w:rsidR="006E0208">
        <w:t xml:space="preserve"> to complement DER orchestration</w:t>
      </w:r>
      <w:r w:rsidR="5AD11793">
        <w:t xml:space="preserve"> by </w:t>
      </w:r>
      <w:r w:rsidR="2E3F10D4">
        <w:t>enabling</w:t>
      </w:r>
      <w:r w:rsidR="374518B3">
        <w:t xml:space="preserve"> DSOs</w:t>
      </w:r>
      <w:r w:rsidR="00E270C6">
        <w:t xml:space="preserve"> to </w:t>
      </w:r>
      <w:r w:rsidR="3F1F4CAD">
        <w:t>dispatch</w:t>
      </w:r>
      <w:r w:rsidR="57F0DFB8">
        <w:t xml:space="preserve"> </w:t>
      </w:r>
      <w:r w:rsidR="7F5985A3">
        <w:t>distribution-level</w:t>
      </w:r>
      <w:r w:rsidR="252A3383">
        <w:t xml:space="preserve"> </w:t>
      </w:r>
      <w:r w:rsidR="0754789E">
        <w:t>flexibil</w:t>
      </w:r>
      <w:r w:rsidR="57F0DFB8">
        <w:t xml:space="preserve">ity </w:t>
      </w:r>
      <w:r w:rsidR="00E270C6">
        <w:t>services from DERs and aggregators.</w:t>
      </w:r>
      <w:r w:rsidRPr="20A0F30E">
        <w:rPr>
          <w:rStyle w:val="FootnoteReference"/>
        </w:rPr>
        <w:footnoteReference w:id="120"/>
      </w:r>
      <w:r w:rsidR="003B791E">
        <w:t xml:space="preserve"> </w:t>
      </w:r>
      <w:r w:rsidR="062AE3F9">
        <w:t>These mechanisms</w:t>
      </w:r>
      <w:r w:rsidR="57F0DFB8">
        <w:t xml:space="preserve"> can </w:t>
      </w:r>
      <w:r w:rsidR="77335FF8">
        <w:t xml:space="preserve">schedule and dispatch </w:t>
      </w:r>
      <w:r w:rsidR="57F0DFB8">
        <w:t xml:space="preserve"> DER capacity available during specified time periods and at locations where distribution-system needs have been identified.</w:t>
      </w:r>
      <w:r w:rsidR="00CC65F9">
        <w:t xml:space="preserve"> </w:t>
      </w:r>
      <w:r w:rsidR="57F0DFB8">
        <w:t>As</w:t>
      </w:r>
      <w:r w:rsidR="003B791E">
        <w:t xml:space="preserve"> Clean Coalition explains, DER </w:t>
      </w:r>
      <w:r w:rsidR="00077724">
        <w:t>providers</w:t>
      </w:r>
      <w:r w:rsidR="003B791E">
        <w:t xml:space="preserve"> </w:t>
      </w:r>
      <w:r w:rsidR="57F0DFB8">
        <w:t>could offer</w:t>
      </w:r>
      <w:r w:rsidR="003B791E">
        <w:t xml:space="preserve"> capacity</w:t>
      </w:r>
      <w:r w:rsidR="00227A09">
        <w:t xml:space="preserve"> capable of operating</w:t>
      </w:r>
      <w:r w:rsidR="005D65AE">
        <w:t xml:space="preserve"> during a specific time window at a needed grid location.</w:t>
      </w:r>
      <w:r w:rsidRPr="20A0F30E">
        <w:rPr>
          <w:rStyle w:val="FootnoteReference"/>
        </w:rPr>
        <w:footnoteReference w:id="121"/>
      </w:r>
    </w:p>
    <w:p w:rsidRPr="00B5131D" w:rsidR="00590854" w:rsidP="00B5131D" w:rsidRDefault="004426DA" w14:paraId="6524FB30" w14:textId="3890F2CB">
      <w:pPr>
        <w:pStyle w:val="Standard"/>
      </w:pPr>
      <w:r>
        <w:t xml:space="preserve">CalCCA recommends </w:t>
      </w:r>
      <w:r w:rsidR="4CD0ACA8">
        <w:t>the use of centralized platforms</w:t>
      </w:r>
      <w:r w:rsidR="433B99AE">
        <w:t xml:space="preserve"> </w:t>
      </w:r>
      <w:r>
        <w:t xml:space="preserve">to complement IOU grid-edge DERMS </w:t>
      </w:r>
      <w:r w:rsidR="003B7AFE">
        <w:t xml:space="preserve">and encourage </w:t>
      </w:r>
      <w:r w:rsidR="007C1421">
        <w:t xml:space="preserve">third-party participation </w:t>
      </w:r>
      <w:r>
        <w:t xml:space="preserve">“by providing a </w:t>
      </w:r>
      <w:r>
        <w:lastRenderedPageBreak/>
        <w:t>centralized platform that more easily facilitates transactions between IOUs and flexibility providers</w:t>
      </w:r>
      <w:r w:rsidR="00DE378B">
        <w:t>.”</w:t>
      </w:r>
      <w:r w:rsidRPr="20A0F30E">
        <w:rPr>
          <w:rStyle w:val="FootnoteReference"/>
        </w:rPr>
        <w:footnoteReference w:id="122"/>
      </w:r>
      <w:r w:rsidR="00880B5B">
        <w:t xml:space="preserve"> CESA </w:t>
      </w:r>
      <w:r w:rsidR="0079116E">
        <w:t xml:space="preserve">encourages the Commission to </w:t>
      </w:r>
      <w:r w:rsidR="0055435E">
        <w:t xml:space="preserve">closely consider the </w:t>
      </w:r>
      <w:r w:rsidR="000F00BC">
        <w:t xml:space="preserve">risks and benefits associated with </w:t>
      </w:r>
      <w:r w:rsidR="000667E4">
        <w:t>IOU-</w:t>
      </w:r>
      <w:r w:rsidR="345A906F">
        <w:t xml:space="preserve">operated </w:t>
      </w:r>
      <w:r w:rsidR="1BE012FC">
        <w:t>flexibility</w:t>
      </w:r>
      <w:r w:rsidR="000667E4">
        <w:t xml:space="preserve"> </w:t>
      </w:r>
      <w:r w:rsidR="3662BD55">
        <w:t xml:space="preserve">mechanisms </w:t>
      </w:r>
      <w:r w:rsidR="000667E4">
        <w:t xml:space="preserve">as compared </w:t>
      </w:r>
      <w:r w:rsidR="6F6AD263">
        <w:t>with</w:t>
      </w:r>
      <w:r w:rsidR="77303C1F">
        <w:t xml:space="preserve"> independently </w:t>
      </w:r>
      <w:r w:rsidR="541208FA">
        <w:t>operated mechanisms</w:t>
      </w:r>
      <w:r w:rsidR="06F112D2">
        <w:t>,</w:t>
      </w:r>
      <w:r w:rsidR="2D4D4D59">
        <w:t xml:space="preserve"> </w:t>
      </w:r>
      <w:r w:rsidR="00364076">
        <w:t>a</w:t>
      </w:r>
      <w:r w:rsidR="00016AE2">
        <w:t>s</w:t>
      </w:r>
      <w:r w:rsidR="00602FB0">
        <w:t xml:space="preserve"> discussed by CalCCA during</w:t>
      </w:r>
      <w:r w:rsidR="00D65658">
        <w:t xml:space="preserve"> the May 21</w:t>
      </w:r>
      <w:r w:rsidR="009A613E">
        <w:t>, 2026 workshop</w:t>
      </w:r>
      <w:r w:rsidR="000667E4">
        <w:t>.</w:t>
      </w:r>
      <w:r w:rsidRPr="20A0F30E">
        <w:rPr>
          <w:rStyle w:val="FootnoteReference"/>
        </w:rPr>
        <w:footnoteReference w:id="123"/>
      </w:r>
      <w:r w:rsidR="00A71FAA">
        <w:t xml:space="preserve"> </w:t>
      </w:r>
      <w:r w:rsidR="00BD5203">
        <w:t>A</w:t>
      </w:r>
      <w:r w:rsidR="002F2E0E">
        <w:t>EU</w:t>
      </w:r>
      <w:r w:rsidR="00BD5203">
        <w:t xml:space="preserve"> suggests that a single, statewide </w:t>
      </w:r>
      <w:r w:rsidR="7F847432">
        <w:t xml:space="preserve">platform </w:t>
      </w:r>
      <w:r w:rsidR="014716F6">
        <w:t xml:space="preserve">for </w:t>
      </w:r>
      <w:r w:rsidR="62E155A5">
        <w:t>enabling</w:t>
      </w:r>
      <w:r w:rsidR="3665F916">
        <w:t xml:space="preserve"> DER flexibility</w:t>
      </w:r>
      <w:r w:rsidR="3A8A769C">
        <w:t xml:space="preserve"> </w:t>
      </w:r>
      <w:r w:rsidR="3741119E">
        <w:t>with vendor-</w:t>
      </w:r>
      <w:r w:rsidR="095CF7C4">
        <w:t>neutral governance</w:t>
      </w:r>
      <w:r w:rsidR="3741119E">
        <w:t xml:space="preserve"> </w:t>
      </w:r>
      <w:r w:rsidR="00BD5203">
        <w:t>should be a threshold parameter before authorizing formal IOU applications to proceed.</w:t>
      </w:r>
      <w:r w:rsidRPr="20A0F30E">
        <w:rPr>
          <w:rStyle w:val="FootnoteReference"/>
        </w:rPr>
        <w:footnoteReference w:id="124"/>
      </w:r>
    </w:p>
    <w:p w:rsidR="314C15B1" w:rsidRDefault="57F0DFB8" w14:paraId="4C6F6EC9" w14:textId="17CAA9A3">
      <w:pPr>
        <w:pStyle w:val="Standard"/>
      </w:pPr>
      <w:r>
        <w:t xml:space="preserve">The Commission agrees </w:t>
      </w:r>
      <w:r w:rsidR="0C2314E0">
        <w:t xml:space="preserve">that DER orchestration should provide </w:t>
      </w:r>
      <w:r>
        <w:t xml:space="preserve">a structured means for </w:t>
      </w:r>
      <w:r w:rsidR="173BC873">
        <w:t>dispatching</w:t>
      </w:r>
      <w:r>
        <w:t xml:space="preserve"> distribution-level services from DERs. The Commission agrees with CESA that the governance implications of IOU-operated and independently operated </w:t>
      </w:r>
      <w:r w:rsidR="049FFCEB">
        <w:t>flexibility</w:t>
      </w:r>
      <w:r>
        <w:t xml:space="preserve"> mechanisms should be considered. However, the Commission declines at this stage to prescribe a particular structure or governance model. The Commission also declines to adopt </w:t>
      </w:r>
      <w:r w:rsidR="002F2E0E">
        <w:t>AEU’s</w:t>
      </w:r>
      <w:r>
        <w:t xml:space="preserve"> proposal to require a single statewide platform before </w:t>
      </w:r>
      <w:r w:rsidR="00BB337B">
        <w:t xml:space="preserve">the Joint </w:t>
      </w:r>
      <w:r>
        <w:t xml:space="preserve">IOU </w:t>
      </w:r>
      <w:r w:rsidR="004800B1">
        <w:t>A</w:t>
      </w:r>
      <w:r>
        <w:t>pplication proceed</w:t>
      </w:r>
      <w:r w:rsidR="00BB337B">
        <w:t>s</w:t>
      </w:r>
      <w:r>
        <w:t>.</w:t>
      </w:r>
      <w:r w:rsidR="00EE3275">
        <w:t xml:space="preserve"> However, the Joint IOU </w:t>
      </w:r>
      <w:r w:rsidR="002F2E0E">
        <w:t>A</w:t>
      </w:r>
      <w:r w:rsidR="00EE3275">
        <w:t xml:space="preserve">pplication shall </w:t>
      </w:r>
      <w:r w:rsidR="00A439FF">
        <w:t>include a</w:t>
      </w:r>
      <w:r w:rsidR="00EE3275">
        <w:t xml:space="preserve"> consistent proposal for the</w:t>
      </w:r>
      <w:r w:rsidR="00A439FF">
        <w:t xml:space="preserve"> common</w:t>
      </w:r>
      <w:r w:rsidR="00EE3275">
        <w:t xml:space="preserve"> DER orchestration</w:t>
      </w:r>
      <w:r w:rsidR="00A439FF">
        <w:t xml:space="preserve"> application</w:t>
      </w:r>
      <w:r w:rsidR="00EE3275">
        <w:t xml:space="preserve"> framework.</w:t>
      </w:r>
      <w:r>
        <w:t xml:space="preserve"> These design and governance issues </w:t>
      </w:r>
      <w:r w:rsidR="00D43139">
        <w:t>will be</w:t>
      </w:r>
      <w:r>
        <w:t xml:space="preserve"> addressed and justified through the formal</w:t>
      </w:r>
      <w:r w:rsidR="00BB337B">
        <w:t xml:space="preserve"> Joint </w:t>
      </w:r>
      <w:r>
        <w:t xml:space="preserve">IOU DER </w:t>
      </w:r>
      <w:r w:rsidR="002F2E0E">
        <w:t>O</w:t>
      </w:r>
      <w:r>
        <w:t xml:space="preserve">rchestration </w:t>
      </w:r>
      <w:r w:rsidR="002F2E0E">
        <w:t>A</w:t>
      </w:r>
      <w:r>
        <w:t>pplication</w:t>
      </w:r>
      <w:r w:rsidR="00A439FF">
        <w:t xml:space="preserve"> proceeding</w:t>
      </w:r>
      <w:r>
        <w:t>.</w:t>
      </w:r>
    </w:p>
    <w:p w:rsidR="0B8FDBC0" w:rsidP="004C5EF4" w:rsidRDefault="006A4659" w14:paraId="36D03F40" w14:textId="6410FCF2">
      <w:pPr>
        <w:pStyle w:val="Standard"/>
      </w:pPr>
      <w:r>
        <w:t>Flexible</w:t>
      </w:r>
      <w:r w:rsidR="28BA7CEA">
        <w:t xml:space="preserve"> </w:t>
      </w:r>
      <w:r w:rsidR="0305CB28">
        <w:t>dispatch</w:t>
      </w:r>
      <w:r w:rsidR="28BA7CEA">
        <w:t xml:space="preserve"> must also be coordinated with the DSO’s operational responsibilities. Operational coordination and dispatch processes must enable DSOs to schedule and activate DER flexibility in response to identified distribution-system needs, including local reliability, </w:t>
      </w:r>
      <w:proofErr w:type="gramStart"/>
      <w:r w:rsidR="28BA7CEA">
        <w:t>infrastructure deferral</w:t>
      </w:r>
      <w:proofErr w:type="gramEnd"/>
      <w:r w:rsidR="28BA7CEA">
        <w:t xml:space="preserve">, and </w:t>
      </w:r>
      <w:r w:rsidR="28BA7CEA">
        <w:lastRenderedPageBreak/>
        <w:t xml:space="preserve">outage mitigation needs, based on real-time and forecasted grid conditions. Proposed approaches should therefore address both how DER flexibility will be </w:t>
      </w:r>
      <w:r w:rsidR="0722CB4E">
        <w:t>enabled</w:t>
      </w:r>
      <w:r w:rsidR="28BA7CEA">
        <w:t xml:space="preserve"> and how resources will be coordinated and dispatched to match DER capabilities with identified distribution</w:t>
      </w:r>
      <w:r w:rsidR="00792982">
        <w:t xml:space="preserve"> </w:t>
      </w:r>
      <w:r w:rsidR="28BA7CEA">
        <w:t>system needs.</w:t>
      </w:r>
    </w:p>
    <w:p w:rsidRPr="003C5834" w:rsidR="00565079" w:rsidP="007E1477" w:rsidRDefault="5D5538F4" w14:paraId="2A1ABB7A" w14:textId="31F1B759">
      <w:pPr>
        <w:pStyle w:val="Standard"/>
      </w:pPr>
      <w:r>
        <w:t xml:space="preserve">Accordingly, the Commission directs </w:t>
      </w:r>
      <w:r w:rsidR="004262BF">
        <w:t>the</w:t>
      </w:r>
      <w:r>
        <w:t xml:space="preserve"> IOU</w:t>
      </w:r>
      <w:r w:rsidR="004262BF">
        <w:t>s</w:t>
      </w:r>
      <w:r>
        <w:t xml:space="preserve"> to propose and justify</w:t>
      </w:r>
      <w:r w:rsidR="00BC23CC">
        <w:t xml:space="preserve"> </w:t>
      </w:r>
      <w:r>
        <w:t xml:space="preserve">in </w:t>
      </w:r>
      <w:r w:rsidR="00162664">
        <w:t>the Joint IOU</w:t>
      </w:r>
      <w:r>
        <w:t xml:space="preserve"> DER </w:t>
      </w:r>
      <w:r w:rsidR="002F2E0E">
        <w:t>O</w:t>
      </w:r>
      <w:r>
        <w:t xml:space="preserve">rchestration </w:t>
      </w:r>
      <w:r w:rsidR="002F2E0E">
        <w:t>A</w:t>
      </w:r>
      <w:r>
        <w:t>pplication a flexib</w:t>
      </w:r>
      <w:r w:rsidR="2F8451D4">
        <w:t>le dispatching</w:t>
      </w:r>
      <w:r>
        <w:t xml:space="preserve"> mechanism that enables DERs to provide distribution grid services. The proposal must address participant eligibility, protections against double payment or double counting, and performance, measurement, and verification requirements. Each IOU must explain </w:t>
      </w:r>
      <w:r w:rsidR="004262BF">
        <w:t xml:space="preserve">its individual plan for implementation, including </w:t>
      </w:r>
      <w:r>
        <w:t xml:space="preserve">how </w:t>
      </w:r>
      <w:r w:rsidR="004262BF">
        <w:t xml:space="preserve">the </w:t>
      </w:r>
      <w:r>
        <w:t>proposed mechanism will schedule</w:t>
      </w:r>
      <w:r w:rsidR="0F1554F0">
        <w:t xml:space="preserve"> and dispatch</w:t>
      </w:r>
      <w:r>
        <w:t xml:space="preserve"> DER flexibility based on identified distribution-system needs and describe the operational coordination, communications, and </w:t>
      </w:r>
      <w:r w:rsidDel="5D5538F4">
        <w:t xml:space="preserve">dispatch </w:t>
      </w:r>
      <w:r>
        <w:t xml:space="preserve">processes necessary to </w:t>
      </w:r>
      <w:r w:rsidR="67D0619B">
        <w:t>enable</w:t>
      </w:r>
      <w:r>
        <w:t xml:space="preserve"> DER</w:t>
      </w:r>
      <w:r w:rsidR="56BCD3D5">
        <w:t>s to</w:t>
      </w:r>
      <w:r>
        <w:t xml:space="preserve"> flexib</w:t>
      </w:r>
      <w:r w:rsidR="21589667">
        <w:t xml:space="preserve">ly </w:t>
      </w:r>
      <w:r>
        <w:t xml:space="preserve">respond to DSO operational needs. </w:t>
      </w:r>
      <w:r w:rsidR="00A439FF">
        <w:t xml:space="preserve">Each IOU shall describe how it will detect communications failures, resource unavailability, and failure to deliver the expected DER response. It shall identify notification responsibilities and procedures, fallback operating arrangements, and coordination necessary to maintain safe and reliable operation when the expected response is unavailable. </w:t>
      </w:r>
      <w:r>
        <w:t>The proposal must also explain how the mechanism provides open and nondiscriminatory participation for utility</w:t>
      </w:r>
      <w:r w:rsidR="2D2AA1CE">
        <w:t>,</w:t>
      </w:r>
      <w:r>
        <w:t xml:space="preserve"> community choice aggregator (CCA</w:t>
      </w:r>
      <w:r w:rsidR="23E67658">
        <w:t>),</w:t>
      </w:r>
      <w:r>
        <w:t xml:space="preserve"> energy service aggregator</w:t>
      </w:r>
      <w:r w:rsidR="23E67658">
        <w:t>,</w:t>
      </w:r>
      <w:r>
        <w:t xml:space="preserve"> and customer-managed DERs. Finally, </w:t>
      </w:r>
      <w:r w:rsidR="00305EB6">
        <w:t xml:space="preserve">the </w:t>
      </w:r>
      <w:r>
        <w:t>IOU</w:t>
      </w:r>
      <w:r w:rsidR="00305EB6">
        <w:t>s</w:t>
      </w:r>
      <w:r>
        <w:t xml:space="preserve"> must identify the respective roles of utilities, aggregators, CCAs, customers, and other DER providers and address safeguards for competitive neutrality and appropriate Commission oversight.</w:t>
      </w:r>
    </w:p>
    <w:p w:rsidR="00361AFA" w:rsidP="007C0571" w:rsidRDefault="007E1477" w14:paraId="6870EF67" w14:textId="09D14E91">
      <w:pPr>
        <w:pStyle w:val="Heading1"/>
      </w:pPr>
      <w:bookmarkStart w:name="_Toc217785497" w:id="52"/>
      <w:bookmarkStart w:name="_Toc243991451" w:id="53"/>
      <w:r>
        <w:lastRenderedPageBreak/>
        <w:t xml:space="preserve">DER Orchestration </w:t>
      </w:r>
      <w:r w:rsidR="00C607C6">
        <w:t>Implementation</w:t>
      </w:r>
      <w:bookmarkEnd w:id="52"/>
      <w:bookmarkEnd w:id="53"/>
    </w:p>
    <w:p w:rsidR="00E37177" w:rsidP="00E37177" w:rsidRDefault="00E37177" w14:paraId="63C671EB" w14:textId="1C1A0FD7">
      <w:pPr>
        <w:pStyle w:val="Heading2"/>
      </w:pPr>
      <w:bookmarkStart w:name="_Toc2055684572" w:id="54"/>
      <w:bookmarkStart w:name="_Toc243991452" w:id="55"/>
      <w:r>
        <w:t>IOU Readiness</w:t>
      </w:r>
      <w:bookmarkEnd w:id="54"/>
      <w:bookmarkEnd w:id="55"/>
    </w:p>
    <w:p w:rsidR="00E0085D" w:rsidP="00E0085D" w:rsidRDefault="00C005A3" w14:paraId="6C5ADE79" w14:textId="4215A10F">
      <w:r w:rsidRPr="00C66FB0">
        <w:t xml:space="preserve">The </w:t>
      </w:r>
      <w:r w:rsidR="006A4967">
        <w:t>March 23 Ruling asked parties to comment on how the Commission s</w:t>
      </w:r>
      <w:r w:rsidRPr="00C66FB0">
        <w:t xml:space="preserve">hould account for differing levels of readiness across </w:t>
      </w:r>
      <w:r w:rsidR="006A4967">
        <w:t>IOU</w:t>
      </w:r>
      <w:r w:rsidRPr="00C66FB0">
        <w:t>s</w:t>
      </w:r>
      <w:r w:rsidR="006A4967">
        <w:t xml:space="preserve"> to implement DER orchestration</w:t>
      </w:r>
      <w:r w:rsidR="007E2657">
        <w:t xml:space="preserve">. </w:t>
      </w:r>
      <w:r w:rsidR="00093CE5">
        <w:t xml:space="preserve">Readiness refers to </w:t>
      </w:r>
      <w:r w:rsidR="005837D9">
        <w:t xml:space="preserve">business and technology readiness across IOUs, including </w:t>
      </w:r>
      <w:r w:rsidR="007125E4">
        <w:t xml:space="preserve">functionality and maturity of DERMS programs. </w:t>
      </w:r>
      <w:r w:rsidR="00E0085D">
        <w:t xml:space="preserve">Parties submitted comments on </w:t>
      </w:r>
      <w:r w:rsidRPr="00C66FB0" w:rsidR="00E0085D">
        <w:t>how future applications could demonstrate utility readiness, including the maturity of ADMS and DERMS platforms, dispatch capabilities, operational metrics, and organizational preparedness.</w:t>
      </w:r>
      <w:r w:rsidR="00E0085D">
        <w:t xml:space="preserve"> </w:t>
      </w:r>
    </w:p>
    <w:p w:rsidR="00E658D6" w:rsidP="00C371DD" w:rsidRDefault="007125E4" w14:paraId="76DF0B52" w14:textId="52D08714">
      <w:pPr>
        <w:ind w:firstLine="0"/>
      </w:pPr>
      <w:r>
        <w:t>As EDF notes</w:t>
      </w:r>
      <w:r w:rsidR="00E0085D">
        <w:t>,</w:t>
      </w:r>
      <w:r>
        <w:t xml:space="preserve"> </w:t>
      </w:r>
    </w:p>
    <w:p w:rsidR="00E658D6" w:rsidP="00C371DD" w:rsidRDefault="004941DA" w14:paraId="7ABED292" w14:textId="7BEF372B">
      <w:pPr>
        <w:spacing w:after="120" w:line="240" w:lineRule="auto"/>
        <w:ind w:left="720" w:right="1440" w:firstLine="0"/>
      </w:pPr>
      <w:r>
        <w:t>“</w:t>
      </w:r>
      <w:r w:rsidR="00B6680E">
        <w:t>O</w:t>
      </w:r>
      <w:r w:rsidRPr="004941DA" w:rsidR="00B6680E">
        <w:t>perability</w:t>
      </w:r>
      <w:r w:rsidRPr="004941DA">
        <w:t xml:space="preserve"> of ADMS/DERMS will likely be a critical component of meaningfully scaling DER orchestration, as real-time or near-</w:t>
      </w:r>
      <w:r w:rsidR="003750FA">
        <w:t>real-time</w:t>
      </w:r>
      <w:r w:rsidRPr="004941DA">
        <w:t xml:space="preserve"> visibility into grid conditions is needed to dispatch DERs without requiring very conservative safety margins</w:t>
      </w:r>
      <w:r w:rsidR="00082998">
        <w:t>.</w:t>
      </w:r>
      <w:r>
        <w:t>”</w:t>
      </w:r>
      <w:r>
        <w:rPr>
          <w:rStyle w:val="FootnoteReference"/>
        </w:rPr>
        <w:footnoteReference w:id="125"/>
      </w:r>
      <w:r>
        <w:t xml:space="preserve"> </w:t>
      </w:r>
    </w:p>
    <w:p w:rsidR="002059B6" w:rsidP="00C74A7F" w:rsidRDefault="002059B6" w14:paraId="09667EE1" w14:textId="6F851786">
      <w:pPr>
        <w:pStyle w:val="Heading3"/>
      </w:pPr>
      <w:bookmarkStart w:name="_Toc464045661" w:id="56"/>
      <w:bookmarkStart w:name="_Toc243991453" w:id="57"/>
      <w:r>
        <w:t xml:space="preserve">Current </w:t>
      </w:r>
      <w:r w:rsidR="000D6390">
        <w:t xml:space="preserve">DER </w:t>
      </w:r>
      <w:r w:rsidR="00F438A3">
        <w:t>O</w:t>
      </w:r>
      <w:r w:rsidR="000D6390">
        <w:t>rchestration</w:t>
      </w:r>
      <w:r>
        <w:t xml:space="preserve"> Offerings</w:t>
      </w:r>
      <w:bookmarkEnd w:id="56"/>
      <w:bookmarkEnd w:id="57"/>
    </w:p>
    <w:p w:rsidR="00D9301D" w:rsidP="009D73D7" w:rsidRDefault="002059B6" w14:paraId="526EB42E" w14:textId="05E48FD8">
      <w:pPr>
        <w:pStyle w:val="Standard"/>
      </w:pPr>
      <w:r w:rsidRPr="00EB527E">
        <w:t>While IOUs are planning and implementing significant upgrades to their capabilities to operate </w:t>
      </w:r>
      <w:r w:rsidR="00496C9A">
        <w:t>distribution systems</w:t>
      </w:r>
      <w:r w:rsidRPr="00A84D47" w:rsidR="00496C9A">
        <w:t xml:space="preserve"> </w:t>
      </w:r>
      <w:r w:rsidRPr="00A84D47" w:rsidR="00AF6066">
        <w:t>with</w:t>
      </w:r>
      <w:r w:rsidR="00AF6066">
        <w:t xml:space="preserve"> high DER penetration</w:t>
      </w:r>
      <w:r w:rsidRPr="00EB527E">
        <w:t>,</w:t>
      </w:r>
      <w:r>
        <w:rPr>
          <w:rStyle w:val="FootnoteReference"/>
        </w:rPr>
        <w:footnoteReference w:id="126"/>
      </w:r>
      <w:r w:rsidRPr="00EB527E">
        <w:t> </w:t>
      </w:r>
      <w:r w:rsidR="00035276">
        <w:t>the</w:t>
      </w:r>
      <w:r w:rsidR="00AF6066">
        <w:t xml:space="preserve"> IOUs</w:t>
      </w:r>
      <w:r w:rsidRPr="00EB527E">
        <w:t xml:space="preserve"> are still </w:t>
      </w:r>
      <w:r>
        <w:t xml:space="preserve">at </w:t>
      </w:r>
      <w:r w:rsidRPr="00EB527E">
        <w:t xml:space="preserve">varying </w:t>
      </w:r>
      <w:r>
        <w:t>stages</w:t>
      </w:r>
      <w:r w:rsidRPr="00EB527E">
        <w:t xml:space="preserve"> of </w:t>
      </w:r>
      <w:r w:rsidR="00AE63EE">
        <w:t xml:space="preserve">technological </w:t>
      </w:r>
      <w:r w:rsidR="00D528E2">
        <w:t xml:space="preserve">and operational </w:t>
      </w:r>
      <w:r w:rsidRPr="00EB527E">
        <w:t>readiness for DER orchestration.</w:t>
      </w:r>
      <w:r w:rsidR="00F16113">
        <w:t xml:space="preserve"> As EDF </w:t>
      </w:r>
      <w:r w:rsidR="00C274AC">
        <w:t>explains</w:t>
      </w:r>
      <w:r w:rsidR="00F16113">
        <w:t xml:space="preserve">, </w:t>
      </w:r>
      <w:r w:rsidR="00C274AC">
        <w:t>“</w:t>
      </w:r>
      <w:r w:rsidRPr="00C274AC" w:rsidR="00C274AC">
        <w:t>DERMS maturity and functionality varies significantly across the three IOUs</w:t>
      </w:r>
      <w:r w:rsidR="00C274AC">
        <w:t>.”</w:t>
      </w:r>
      <w:r w:rsidR="00C274AC">
        <w:rPr>
          <w:rStyle w:val="FootnoteReference"/>
        </w:rPr>
        <w:footnoteReference w:id="127"/>
      </w:r>
      <w:r w:rsidR="0090261B">
        <w:t xml:space="preserve"> </w:t>
      </w:r>
      <w:r>
        <w:t xml:space="preserve">As discussed in </w:t>
      </w:r>
      <w:r w:rsidR="009D752F">
        <w:t>CALSSA</w:t>
      </w:r>
      <w:r>
        <w:t>’s comments to the March 23 Ruling, PG&amp;E and SCE have core DERMS capabilities, and SDG&amp;E intends to build them as needed.</w:t>
      </w:r>
      <w:r>
        <w:rPr>
          <w:rStyle w:val="FootnoteReference"/>
        </w:rPr>
        <w:footnoteReference w:id="128"/>
      </w:r>
    </w:p>
    <w:p w:rsidR="00D9301D" w:rsidP="006047C7" w:rsidRDefault="0066340F" w14:paraId="2292E764" w14:textId="60868F1B">
      <w:r>
        <w:lastRenderedPageBreak/>
        <w:t>PG&amp;E deploy</w:t>
      </w:r>
      <w:r w:rsidR="00603684">
        <w:t>ed</w:t>
      </w:r>
      <w:r>
        <w:t xml:space="preserve"> a DERMS</w:t>
      </w:r>
      <w:r w:rsidR="00603684">
        <w:t xml:space="preserve"> in 2023 that is now actively </w:t>
      </w:r>
      <w:r w:rsidRPr="0096023D" w:rsidR="0096023D">
        <w:t xml:space="preserve">sending commands to two energy storage systems </w:t>
      </w:r>
      <w:r w:rsidR="00256CD0">
        <w:t>being operated</w:t>
      </w:r>
      <w:r w:rsidRPr="0096023D" w:rsidR="0096023D">
        <w:t xml:space="preserve"> to </w:t>
      </w:r>
      <w:r w:rsidR="00256CD0">
        <w:t xml:space="preserve">help </w:t>
      </w:r>
      <w:r w:rsidRPr="0096023D" w:rsidR="0096023D">
        <w:t>avoid distribution system upgrades.</w:t>
      </w:r>
      <w:r w:rsidR="0096023D">
        <w:rPr>
          <w:rStyle w:val="FootnoteReference"/>
        </w:rPr>
        <w:footnoteReference w:id="129"/>
      </w:r>
      <w:r w:rsidR="0063720F">
        <w:t xml:space="preserve"> SCE</w:t>
      </w:r>
      <w:r w:rsidR="00256CD0">
        <w:t xml:space="preserve"> </w:t>
      </w:r>
      <w:r w:rsidR="00656924">
        <w:t xml:space="preserve">completed </w:t>
      </w:r>
      <w:r w:rsidR="0023671A">
        <w:t>site acceptance testing</w:t>
      </w:r>
      <w:r w:rsidR="00656924">
        <w:t xml:space="preserve"> and technical implementation of </w:t>
      </w:r>
      <w:r w:rsidR="001E25B6">
        <w:t>its</w:t>
      </w:r>
      <w:r w:rsidR="006F231E">
        <w:t xml:space="preserve"> phase 1 Base DERMS, which </w:t>
      </w:r>
      <w:r w:rsidR="00256CD0">
        <w:t>will be able to</w:t>
      </w:r>
      <w:r w:rsidR="006F231E">
        <w:t xml:space="preserve"> monitor and dispatch DERs.</w:t>
      </w:r>
      <w:r w:rsidR="006F231E">
        <w:rPr>
          <w:rStyle w:val="FootnoteReference"/>
        </w:rPr>
        <w:footnoteReference w:id="130"/>
      </w:r>
      <w:r w:rsidR="00E72CB7">
        <w:t xml:space="preserve"> </w:t>
      </w:r>
      <w:r w:rsidR="003F34E4">
        <w:t xml:space="preserve">SDG&amp;E </w:t>
      </w:r>
      <w:r w:rsidR="00A439FF">
        <w:t xml:space="preserve">states that it </w:t>
      </w:r>
      <w:r w:rsidRPr="35ABCD6E" w:rsidR="00A439FF">
        <w:rPr>
          <w:rFonts w:eastAsia="Book Antiqua" w:cs="Book Antiqua"/>
          <w:szCs w:val="26"/>
        </w:rPr>
        <w:t>does not currently have an enterprise DERMS and targets procurement for 2027, with pilot-capable environments anticipated after 2027</w:t>
      </w:r>
      <w:r w:rsidR="0030487E">
        <w:t>.</w:t>
      </w:r>
      <w:r w:rsidR="0030487E">
        <w:rPr>
          <w:rStyle w:val="FootnoteReference"/>
        </w:rPr>
        <w:footnoteReference w:id="131"/>
      </w:r>
      <w:r w:rsidR="0030487E">
        <w:t xml:space="preserve"> </w:t>
      </w:r>
      <w:r w:rsidR="00637B9E">
        <w:t>A</w:t>
      </w:r>
      <w:r w:rsidR="00256CD0">
        <w:t>t the same time, a</w:t>
      </w:r>
      <w:r w:rsidR="00637B9E">
        <w:t xml:space="preserve">ll three IOUs are developing more advanced </w:t>
      </w:r>
      <w:r w:rsidR="00256CD0">
        <w:t xml:space="preserve">DERMS </w:t>
      </w:r>
      <w:r w:rsidR="00637B9E">
        <w:t>capabilities.</w:t>
      </w:r>
      <w:r w:rsidR="00637B9E">
        <w:rPr>
          <w:rStyle w:val="FootnoteReference"/>
        </w:rPr>
        <w:footnoteReference w:id="132"/>
      </w:r>
      <w:r w:rsidRPr="00523CD3" w:rsidR="00523CD3">
        <w:t xml:space="preserve"> </w:t>
      </w:r>
      <w:r w:rsidR="00523CD3">
        <w:t>Varying readiness levels among IOUs should therefore be considered for scaling and implementation of DER orchestration.</w:t>
      </w:r>
    </w:p>
    <w:p w:rsidRPr="001838DD" w:rsidR="00C01A9D" w:rsidP="006047C7" w:rsidRDefault="001838DD" w14:paraId="6669F157" w14:textId="02A72EA7">
      <w:pPr>
        <w:pStyle w:val="Heading3"/>
      </w:pPr>
      <w:bookmarkStart w:name="_Toc122624521" w:id="58"/>
      <w:bookmarkStart w:name="_Toc243991454" w:id="59"/>
      <w:r w:rsidRPr="001838DD">
        <w:t>Demonstrating</w:t>
      </w:r>
      <w:r w:rsidRPr="001838DD" w:rsidR="00ED5B12">
        <w:t xml:space="preserve"> IOU Readiness</w:t>
      </w:r>
      <w:bookmarkEnd w:id="58"/>
      <w:bookmarkEnd w:id="59"/>
      <w:r w:rsidRPr="001838DD" w:rsidR="00ED5B12">
        <w:t xml:space="preserve"> </w:t>
      </w:r>
    </w:p>
    <w:p w:rsidR="00001467" w:rsidP="00F0466D" w:rsidRDefault="00D32799" w14:paraId="2918784B" w14:textId="252CEBFB">
      <w:pPr>
        <w:pStyle w:val="Standard"/>
      </w:pPr>
      <w:r w:rsidRPr="00BB0FF3">
        <w:t>PG&amp;E</w:t>
      </w:r>
      <w:r w:rsidRPr="00BB0FF3" w:rsidR="00C517F9">
        <w:t>, SDG&amp;E</w:t>
      </w:r>
      <w:r w:rsidRPr="00BB0FF3" w:rsidR="001A7A85">
        <w:t>, CalCCA</w:t>
      </w:r>
      <w:r w:rsidRPr="00BB0FF3" w:rsidR="008C519E">
        <w:t xml:space="preserve">, </w:t>
      </w:r>
      <w:proofErr w:type="spellStart"/>
      <w:r w:rsidRPr="00BB0FF3" w:rsidR="008C519E">
        <w:t>Nex</w:t>
      </w:r>
      <w:r w:rsidRPr="00BB0FF3" w:rsidR="00875FE5">
        <w:t>amp</w:t>
      </w:r>
      <w:proofErr w:type="spellEnd"/>
      <w:r w:rsidRPr="00BB0FF3" w:rsidR="00010A3E">
        <w:t>, SBUA</w:t>
      </w:r>
      <w:r w:rsidRPr="00BB0FF3" w:rsidR="00E567C2">
        <w:t xml:space="preserve">, </w:t>
      </w:r>
      <w:r w:rsidR="00F13E0C">
        <w:t xml:space="preserve">and </w:t>
      </w:r>
      <w:r w:rsidRPr="00BB0FF3" w:rsidR="00E567C2">
        <w:t>EDF</w:t>
      </w:r>
      <w:r w:rsidR="00F13E0C">
        <w:t xml:space="preserve"> support IOU applications</w:t>
      </w:r>
      <w:r w:rsidR="00CC68B9">
        <w:t xml:space="preserve"> addressing </w:t>
      </w:r>
      <w:r w:rsidR="00D94100">
        <w:t>IOU readiness</w:t>
      </w:r>
      <w:r w:rsidR="005E0C21">
        <w:t>, including existing DERMS/ADMS functionality</w:t>
      </w:r>
      <w:r w:rsidR="00915662">
        <w:t>.</w:t>
      </w:r>
      <w:r w:rsidR="006E5A67">
        <w:rPr>
          <w:rStyle w:val="FootnoteReference"/>
        </w:rPr>
        <w:footnoteReference w:id="133"/>
      </w:r>
      <w:r w:rsidR="00C67FCD">
        <w:t xml:space="preserve"> The IOUs generally agree that readiness should be assessed for each IOU individually, not based on uniform criteria across IOUs.</w:t>
      </w:r>
      <w:r w:rsidR="00133F0C">
        <w:rPr>
          <w:rStyle w:val="FootnoteReference"/>
        </w:rPr>
        <w:footnoteReference w:id="134"/>
      </w:r>
      <w:r w:rsidR="004D5421">
        <w:t xml:space="preserve"> </w:t>
      </w:r>
      <w:r w:rsidR="00001467">
        <w:t>A</w:t>
      </w:r>
      <w:r w:rsidR="008A7AC3">
        <w:t>EU</w:t>
      </w:r>
      <w:r w:rsidR="00001467">
        <w:t xml:space="preserve"> and EDF </w:t>
      </w:r>
      <w:r w:rsidR="00F0466D">
        <w:t>disagree, recommending the</w:t>
      </w:r>
      <w:r w:rsidR="006660AC">
        <w:t xml:space="preserve"> Commission establish a consistent </w:t>
      </w:r>
      <w:r w:rsidR="00D61766">
        <w:t xml:space="preserve">common IOU DER orchestration framework </w:t>
      </w:r>
      <w:r w:rsidR="00892EFE">
        <w:t>for IOUs to individually progress toward.</w:t>
      </w:r>
      <w:r w:rsidR="00A51C7B">
        <w:rPr>
          <w:rStyle w:val="FootnoteReference"/>
        </w:rPr>
        <w:footnoteReference w:id="135"/>
      </w:r>
    </w:p>
    <w:p w:rsidRPr="008870A1" w:rsidR="00623225" w:rsidP="008870A1" w:rsidRDefault="00A12773" w14:paraId="3E1E42DA" w14:textId="3DD74C93">
      <w:pPr>
        <w:pStyle w:val="Standard"/>
      </w:pPr>
      <w:r>
        <w:lastRenderedPageBreak/>
        <w:t xml:space="preserve">PG&amp;E and SCE support evaluating IOU readiness based on </w:t>
      </w:r>
      <w:r w:rsidR="0008204F">
        <w:t>technological and operational maturity, including ADMS and DERM</w:t>
      </w:r>
      <w:r w:rsidR="007E72E0">
        <w:t>S</w:t>
      </w:r>
      <w:r w:rsidR="0008204F">
        <w:t xml:space="preserve"> capability.</w:t>
      </w:r>
      <w:r w:rsidR="00564440">
        <w:rPr>
          <w:rStyle w:val="FootnoteReference"/>
        </w:rPr>
        <w:footnoteReference w:id="136"/>
      </w:r>
      <w:r w:rsidR="007E72E0">
        <w:t xml:space="preserve"> </w:t>
      </w:r>
      <w:r w:rsidR="00A64AF0">
        <w:t xml:space="preserve">PG&amp;E recommends a capability-based approach </w:t>
      </w:r>
      <w:r w:rsidR="00251B78">
        <w:t>that encourages IOUs to advance toward common objectives instead of requiring all IOUs to meet a standard readiness threshold before implementation can begin.</w:t>
      </w:r>
      <w:r w:rsidR="00251B78">
        <w:rPr>
          <w:rStyle w:val="FootnoteReference"/>
        </w:rPr>
        <w:footnoteReference w:id="137"/>
      </w:r>
      <w:r w:rsidR="00251B78">
        <w:t xml:space="preserve"> </w:t>
      </w:r>
      <w:r w:rsidR="007E72E0">
        <w:t>SDG&amp;E suggests demonstrating readiness through pilots and proven capabilities</w:t>
      </w:r>
      <w:r w:rsidR="002A7B30">
        <w:t>, including ability to dispatch DERs in real operational conditions.</w:t>
      </w:r>
      <w:r w:rsidR="000F5B3F">
        <w:rPr>
          <w:rStyle w:val="FootnoteReference"/>
        </w:rPr>
        <w:footnoteReference w:id="138"/>
      </w:r>
      <w:r w:rsidR="002A7B30">
        <w:t xml:space="preserve"> </w:t>
      </w:r>
      <w:r w:rsidR="0062144B">
        <w:t xml:space="preserve">Cal Advocates </w:t>
      </w:r>
      <w:r w:rsidR="00FF2D89">
        <w:t>state</w:t>
      </w:r>
      <w:r w:rsidR="0062144B">
        <w:t xml:space="preserve">s that general platform maturity </w:t>
      </w:r>
      <w:r w:rsidR="004B7EB2">
        <w:t>and future capability claims are not sufficient, and IOU readiness should be shown through tested pilots and results.</w:t>
      </w:r>
      <w:r w:rsidR="00E2620B">
        <w:rPr>
          <w:rStyle w:val="FootnoteReference"/>
        </w:rPr>
        <w:footnoteReference w:id="139"/>
      </w:r>
      <w:r w:rsidR="004B7EB2">
        <w:t xml:space="preserve"> Cal Advocates also highlights that IOUs should demonstrate the feasibility of customer and aggregator participation, and cost-effectiveness </w:t>
      </w:r>
      <w:r w:rsidR="004D43FD">
        <w:t>use cases.</w:t>
      </w:r>
      <w:r w:rsidR="004D43FD">
        <w:rPr>
          <w:rStyle w:val="FootnoteReference"/>
        </w:rPr>
        <w:footnoteReference w:id="140"/>
      </w:r>
      <w:r w:rsidR="004D43FD">
        <w:t xml:space="preserve"> </w:t>
      </w:r>
      <w:r w:rsidR="009D752F">
        <w:t>CALSSA</w:t>
      </w:r>
      <w:r w:rsidRPr="00BB0FF3" w:rsidR="000F2804">
        <w:t xml:space="preserve"> </w:t>
      </w:r>
      <w:r w:rsidRPr="00BB0FF3" w:rsidR="00F24139">
        <w:t xml:space="preserve">notes that existing IOU systems can already support dispatch, forecasting, and limited distribution services, </w:t>
      </w:r>
      <w:r w:rsidR="005A5A46">
        <w:t xml:space="preserve">and recommends prioritizing </w:t>
      </w:r>
      <w:r w:rsidR="00A81AB7">
        <w:t>near-term program implementation</w:t>
      </w:r>
      <w:r w:rsidR="00426610">
        <w:t xml:space="preserve"> over evaluating readiness.</w:t>
      </w:r>
      <w:r w:rsidR="00A81AB7">
        <w:rPr>
          <w:rStyle w:val="FootnoteReference"/>
        </w:rPr>
        <w:footnoteReference w:id="141"/>
      </w:r>
    </w:p>
    <w:p w:rsidR="00A439FF" w:rsidP="00762512" w:rsidRDefault="00455E48" w14:paraId="1E15B2F7" w14:textId="1E62B84F">
      <w:pPr>
        <w:pStyle w:val="Standard"/>
      </w:pPr>
      <w:r w:rsidRPr="00623225">
        <w:t>The Commission agrees with parties</w:t>
      </w:r>
      <w:r w:rsidR="005A36F7">
        <w:t>, such as SDG&amp;E and Cal Advocates,</w:t>
      </w:r>
      <w:r w:rsidRPr="00623225">
        <w:t xml:space="preserve"> that proposed applications should demonstrate IOU readiness, and that </w:t>
      </w:r>
      <w:r w:rsidRPr="00623225" w:rsidR="006D4905">
        <w:t xml:space="preserve">readiness should be assessed based on </w:t>
      </w:r>
      <w:r w:rsidRPr="00623225" w:rsidR="00327373">
        <w:t xml:space="preserve">proven capabilities including </w:t>
      </w:r>
      <w:r w:rsidRPr="00623225" w:rsidR="00B565FA">
        <w:t>tested pilots and results.</w:t>
      </w:r>
      <w:r w:rsidR="00685361">
        <w:t xml:space="preserve"> </w:t>
      </w:r>
    </w:p>
    <w:p w:rsidR="00FE3EE8" w:rsidP="00FE3EE8" w:rsidRDefault="00800489" w14:paraId="254B8F21" w14:textId="18AA8F50">
      <w:pPr>
        <w:pStyle w:val="Standard"/>
      </w:pPr>
      <w:r>
        <w:t xml:space="preserve">As such, the Commission directs the IOUs to file a joint application with a proposed </w:t>
      </w:r>
      <w:r w:rsidR="00D61766">
        <w:t>common IOU DER orchestration framework</w:t>
      </w:r>
      <w:r w:rsidR="00A439FF">
        <w:t xml:space="preserve">, along with  individual </w:t>
      </w:r>
      <w:r w:rsidR="00A439FF">
        <w:lastRenderedPageBreak/>
        <w:t xml:space="preserve">implementation plans specific to each utility. While these implementation </w:t>
      </w:r>
      <w:r w:rsidR="00274495">
        <w:t>plan</w:t>
      </w:r>
      <w:r w:rsidR="00A439FF">
        <w:t xml:space="preserve">s should be included in the joint application to inform the framework development, the proceeding should be conducted through two-phases. The first phase should address the adoption of the orchestration framework, followed by </w:t>
      </w:r>
      <w:r w:rsidR="00274495">
        <w:t xml:space="preserve">consideration of the implementation plans and any necessary revisions to the </w:t>
      </w:r>
      <w:r w:rsidR="00A439FF">
        <w:t>IOUs</w:t>
      </w:r>
      <w:r w:rsidR="00274495">
        <w:t>’</w:t>
      </w:r>
      <w:r w:rsidR="00A439FF">
        <w:t xml:space="preserve"> implementation plan</w:t>
      </w:r>
      <w:r w:rsidR="00274495">
        <w:t>s</w:t>
      </w:r>
      <w:r w:rsidR="00A439FF">
        <w:t xml:space="preserve"> </w:t>
      </w:r>
      <w:r w:rsidR="00274495">
        <w:t xml:space="preserve">to ensure they </w:t>
      </w:r>
      <w:r w:rsidR="00A439FF">
        <w:t>meet the needs</w:t>
      </w:r>
      <w:r w:rsidR="00274495">
        <w:t xml:space="preserve"> and requirements</w:t>
      </w:r>
      <w:r w:rsidR="00A439FF">
        <w:t xml:space="preserve"> of the adopted framework. </w:t>
      </w:r>
      <w:r w:rsidR="00443F06">
        <w:t xml:space="preserve">. </w:t>
      </w:r>
      <w:r w:rsidR="00A439FF">
        <w:t>W</w:t>
      </w:r>
      <w:r w:rsidR="005A36F7">
        <w:t xml:space="preserve">e also see value in the IOUs’ comments that </w:t>
      </w:r>
      <w:r w:rsidR="00E3663C">
        <w:t>readiness should be assessed for each IOU separately. As such, t</w:t>
      </w:r>
      <w:r w:rsidRPr="00623225" w:rsidR="00376058">
        <w:t xml:space="preserve">he Commission </w:t>
      </w:r>
      <w:r w:rsidR="00443F06">
        <w:t xml:space="preserve">further </w:t>
      </w:r>
      <w:r w:rsidR="00762512">
        <w:t>directs the IOUs to include in their</w:t>
      </w:r>
      <w:r w:rsidR="00E3663C">
        <w:t xml:space="preserve"> </w:t>
      </w:r>
      <w:r w:rsidR="00A439FF">
        <w:t>j</w:t>
      </w:r>
      <w:r w:rsidR="00E3663C">
        <w:t>oint</w:t>
      </w:r>
      <w:r w:rsidR="00762512">
        <w:t xml:space="preserve"> </w:t>
      </w:r>
      <w:r w:rsidR="00A439FF">
        <w:t xml:space="preserve"> a</w:t>
      </w:r>
      <w:r w:rsidR="00762512">
        <w:t>pplication</w:t>
      </w:r>
      <w:r w:rsidR="287C73B7">
        <w:t xml:space="preserve"> the</w:t>
      </w:r>
      <w:r w:rsidR="00762512">
        <w:t xml:space="preserve"> </w:t>
      </w:r>
      <w:r w:rsidR="00741B59">
        <w:t>utility-</w:t>
      </w:r>
      <w:r w:rsidR="00762512">
        <w:t xml:space="preserve">specific criteria by which </w:t>
      </w:r>
      <w:r w:rsidR="00741B59">
        <w:t xml:space="preserve">each utility </w:t>
      </w:r>
      <w:r w:rsidR="00762512">
        <w:t xml:space="preserve">will demonstrate </w:t>
      </w:r>
      <w:r w:rsidR="00741B59">
        <w:t xml:space="preserve">its </w:t>
      </w:r>
      <w:r w:rsidR="00762512">
        <w:t xml:space="preserve">technological and operational readiness to deploy DER orchestration efforts at scale. </w:t>
      </w:r>
      <w:r w:rsidR="00A439FF">
        <w:t xml:space="preserve">Capabilities not yet demonstrated should be identified separately as implementation dependencies. Such capabilities may inform phased implementation schedules but should not constitute authorization for additional investment. Each IOU should explain how planned capabilities will be validated before broader deployment. </w:t>
      </w:r>
      <w:r w:rsidR="00762512">
        <w:t>A</w:t>
      </w:r>
      <w:r w:rsidR="00AC26E4">
        <w:t>lthoug</w:t>
      </w:r>
      <w:r w:rsidR="003201D7">
        <w:t>h</w:t>
      </w:r>
      <w:r w:rsidR="00762512">
        <w:t xml:space="preserve"> the state’s three large electric IOUs are at different stages of readiness to deploy DER orchestration</w:t>
      </w:r>
      <w:r w:rsidR="00AC26E4">
        <w:t>, having a</w:t>
      </w:r>
      <w:r w:rsidR="00D61766">
        <w:t xml:space="preserve"> </w:t>
      </w:r>
      <w:r w:rsidR="00A439FF">
        <w:t xml:space="preserve">foundational </w:t>
      </w:r>
      <w:r w:rsidR="00D61766">
        <w:t>common framework</w:t>
      </w:r>
      <w:r w:rsidR="00AC26E4">
        <w:t xml:space="preserve"> to </w:t>
      </w:r>
      <w:r w:rsidR="00A439FF">
        <w:t xml:space="preserve">inform DER orchestration deployment </w:t>
      </w:r>
      <w:r w:rsidR="00AC26E4">
        <w:t xml:space="preserve">will allow for </w:t>
      </w:r>
      <w:r w:rsidR="00A439FF">
        <w:t xml:space="preserve">a more consistent evaluation of utility-specific implementation and </w:t>
      </w:r>
      <w:r w:rsidR="00AC26E4">
        <w:t xml:space="preserve">provide better visibility </w:t>
      </w:r>
      <w:r w:rsidR="00FE3EE8">
        <w:t>into</w:t>
      </w:r>
      <w:r w:rsidR="00AC26E4">
        <w:t xml:space="preserve"> demand side resources for the CAISO</w:t>
      </w:r>
      <w:r w:rsidR="0077376A">
        <w:t>, customers, and third</w:t>
      </w:r>
      <w:r w:rsidR="003201D7">
        <w:t xml:space="preserve"> </w:t>
      </w:r>
      <w:r w:rsidR="0077376A">
        <w:t>parties</w:t>
      </w:r>
      <w:r w:rsidR="00FE3EE8">
        <w:t>. T</w:t>
      </w:r>
      <w:r w:rsidR="00762512">
        <w:t xml:space="preserve">he Commission directs the </w:t>
      </w:r>
      <w:r w:rsidR="0098223B">
        <w:t>work</w:t>
      </w:r>
      <w:r w:rsidR="00CF6A2F">
        <w:t>ing</w:t>
      </w:r>
      <w:r w:rsidR="0098223B">
        <w:t xml:space="preserve"> group to examine the </w:t>
      </w:r>
      <w:r w:rsidR="00762512">
        <w:t>IOUs</w:t>
      </w:r>
      <w:r w:rsidR="00B51BBA">
        <w:t>’</w:t>
      </w:r>
      <w:r w:rsidR="00762512">
        <w:t xml:space="preserve"> </w:t>
      </w:r>
      <w:r w:rsidR="0098223B">
        <w:t>readiness</w:t>
      </w:r>
      <w:r w:rsidR="00FE3EE8">
        <w:t xml:space="preserve"> for implementing DER orchestration in a timely manner, </w:t>
      </w:r>
      <w:proofErr w:type="gramStart"/>
      <w:r w:rsidR="00FE3EE8">
        <w:t>taking into account</w:t>
      </w:r>
      <w:proofErr w:type="gramEnd"/>
      <w:r w:rsidR="00FE3EE8">
        <w:t xml:space="preserve"> each IOU’s technical and operational capabilities. </w:t>
      </w:r>
    </w:p>
    <w:p w:rsidR="00FE3EE8" w:rsidP="00FE3EE8" w:rsidRDefault="00FE3EE8" w14:paraId="7CFC2D0F" w14:textId="4C9B9B54">
      <w:pPr>
        <w:pStyle w:val="Standard"/>
      </w:pPr>
    </w:p>
    <w:p w:rsidR="00FE3EE8" w:rsidP="00FE3EE8" w:rsidRDefault="00FE3EE8" w14:paraId="4F2499ED" w14:textId="08A2CFEB">
      <w:pPr>
        <w:pStyle w:val="Standard"/>
      </w:pPr>
      <w:r>
        <w:t xml:space="preserve">The </w:t>
      </w:r>
      <w:r w:rsidR="006C7509">
        <w:t xml:space="preserve">IOUs </w:t>
      </w:r>
      <w:r w:rsidR="00C05581">
        <w:t>currently have DERMS capabilities or plan to build them as needed</w:t>
      </w:r>
      <w:r w:rsidR="002A3D7E">
        <w:t xml:space="preserve">. </w:t>
      </w:r>
      <w:r w:rsidR="00191269">
        <w:t xml:space="preserve">The Commission </w:t>
      </w:r>
      <w:r w:rsidR="00762512">
        <w:t>does not see a need to wait for</w:t>
      </w:r>
      <w:r w:rsidR="009A5FE5">
        <w:t xml:space="preserve"> </w:t>
      </w:r>
      <w:proofErr w:type="gramStart"/>
      <w:r>
        <w:t>the</w:t>
      </w:r>
      <w:r w:rsidR="004800B1">
        <w:t xml:space="preserve"> </w:t>
      </w:r>
      <w:r>
        <w:t>t</w:t>
      </w:r>
      <w:proofErr w:type="gramEnd"/>
      <w:r w:rsidR="009A5FE5">
        <w:t xml:space="preserve"> IOU</w:t>
      </w:r>
      <w:r>
        <w:t>s</w:t>
      </w:r>
      <w:r w:rsidR="002C1768">
        <w:t xml:space="preserve"> to</w:t>
      </w:r>
      <w:r w:rsidR="001163D5">
        <w:t xml:space="preserve"> be at the </w:t>
      </w:r>
      <w:r w:rsidR="001163D5">
        <w:lastRenderedPageBreak/>
        <w:t xml:space="preserve">same point of </w:t>
      </w:r>
      <w:r w:rsidR="009A5FE5">
        <w:t>readiness</w:t>
      </w:r>
      <w:r>
        <w:t xml:space="preserve"> to establish an orchestration framework and subsequently review individual IOU’s phased implementation proposals. Relevant existing </w:t>
      </w:r>
      <w:proofErr w:type="gramStart"/>
      <w:r>
        <w:t>demonstration</w:t>
      </w:r>
      <w:proofErr w:type="gramEnd"/>
      <w:r>
        <w:t xml:space="preserve"> and operational results may be used to establish each IOU’s readiness for its proposed implementation. </w:t>
      </w:r>
    </w:p>
    <w:p w:rsidR="00C221E0" w:rsidP="00F12A79" w:rsidRDefault="00C221E0" w14:paraId="2C42234C" w14:textId="755F8012">
      <w:pPr>
        <w:pStyle w:val="Heading3"/>
      </w:pPr>
      <w:bookmarkStart w:name="_Toc1609537766" w:id="60"/>
      <w:bookmarkStart w:name="_Toc243991455" w:id="61"/>
      <w:r w:rsidRPr="00F12A79">
        <w:t>Investments</w:t>
      </w:r>
      <w:r>
        <w:t xml:space="preserve"> Required to Support </w:t>
      </w:r>
      <w:r w:rsidR="000D6390">
        <w:t xml:space="preserve">DER </w:t>
      </w:r>
      <w:r w:rsidR="00F438A3">
        <w:t>O</w:t>
      </w:r>
      <w:r w:rsidR="000D6390">
        <w:t>rchestration</w:t>
      </w:r>
      <w:r>
        <w:t xml:space="preserve"> Implementation</w:t>
      </w:r>
      <w:bookmarkEnd w:id="60"/>
      <w:bookmarkEnd w:id="61"/>
    </w:p>
    <w:p w:rsidR="00443624" w:rsidP="00124B35" w:rsidRDefault="00443624" w14:paraId="1C443BA5" w14:textId="6BC12A46">
      <w:pPr>
        <w:pStyle w:val="paragraph"/>
        <w:spacing w:before="0" w:beforeAutospacing="0" w:after="0" w:afterAutospacing="0" w:line="360" w:lineRule="auto"/>
        <w:ind w:firstLine="720"/>
        <w:textAlignment w:val="baseline"/>
        <w:rPr>
          <w:rFonts w:ascii="Segoe UI" w:hAnsi="Segoe UI" w:cs="Segoe UI"/>
          <w:sz w:val="18"/>
          <w:szCs w:val="18"/>
        </w:rPr>
      </w:pPr>
      <w:r>
        <w:rPr>
          <w:rStyle w:val="normaltextrun"/>
          <w:rFonts w:ascii="Book Antiqua" w:hAnsi="Book Antiqua" w:cs="Segoe UI"/>
          <w:sz w:val="26"/>
          <w:szCs w:val="26"/>
        </w:rPr>
        <w:t xml:space="preserve">The March 23 Ruling asked whether the proposed </w:t>
      </w:r>
      <w:r w:rsidR="000D6390">
        <w:rPr>
          <w:rStyle w:val="normaltextrun"/>
          <w:rFonts w:ascii="Book Antiqua" w:hAnsi="Book Antiqua" w:cs="Segoe UI"/>
          <w:sz w:val="26"/>
          <w:szCs w:val="26"/>
        </w:rPr>
        <w:t>DER orchestration</w:t>
      </w:r>
      <w:r>
        <w:rPr>
          <w:rStyle w:val="normaltextrun"/>
          <w:rFonts w:ascii="Book Antiqua" w:hAnsi="Book Antiqua" w:cs="Segoe UI"/>
          <w:sz w:val="26"/>
          <w:szCs w:val="26"/>
        </w:rPr>
        <w:t xml:space="preserve"> applications</w:t>
      </w:r>
      <w:r w:rsidR="00486EFA">
        <w:rPr>
          <w:rStyle w:val="normaltextrun"/>
          <w:rFonts w:ascii="Book Antiqua" w:hAnsi="Book Antiqua" w:cs="Segoe UI"/>
          <w:sz w:val="26"/>
          <w:szCs w:val="26"/>
        </w:rPr>
        <w:t xml:space="preserve"> should identify </w:t>
      </w:r>
      <w:r>
        <w:rPr>
          <w:rStyle w:val="normaltextrun"/>
          <w:rFonts w:ascii="Book Antiqua" w:hAnsi="Book Antiqua" w:cs="Segoe UI"/>
          <w:sz w:val="26"/>
          <w:szCs w:val="26"/>
        </w:rPr>
        <w:t>additional technology investments required to support DER orchestration implementation.</w:t>
      </w:r>
      <w:r>
        <w:rPr>
          <w:rStyle w:val="eop"/>
          <w:rFonts w:ascii="Book Antiqua" w:hAnsi="Book Antiqua" w:cs="Segoe UI"/>
          <w:sz w:val="26"/>
          <w:szCs w:val="26"/>
        </w:rPr>
        <w:t> </w:t>
      </w:r>
    </w:p>
    <w:p w:rsidR="00443624" w:rsidP="00124B35" w:rsidRDefault="00443624" w14:paraId="00B0F932" w14:textId="55F9A6FD">
      <w:pPr>
        <w:pStyle w:val="paragraph"/>
        <w:spacing w:before="0" w:beforeAutospacing="0" w:after="0" w:afterAutospacing="0" w:line="360" w:lineRule="auto"/>
        <w:ind w:firstLine="720"/>
        <w:textAlignment w:val="baseline"/>
        <w:rPr>
          <w:rFonts w:ascii="Segoe UI" w:hAnsi="Segoe UI" w:cs="Segoe UI"/>
          <w:sz w:val="18"/>
          <w:szCs w:val="18"/>
        </w:rPr>
      </w:pPr>
      <w:r>
        <w:rPr>
          <w:rStyle w:val="normaltextrun"/>
          <w:rFonts w:ascii="Book Antiqua" w:hAnsi="Book Antiqua" w:cs="Segoe UI"/>
          <w:sz w:val="26"/>
          <w:szCs w:val="26"/>
        </w:rPr>
        <w:t>PG&amp;E, SDG&amp;E, </w:t>
      </w:r>
      <w:proofErr w:type="spellStart"/>
      <w:r>
        <w:rPr>
          <w:rStyle w:val="normaltextrun"/>
          <w:rFonts w:ascii="Book Antiqua" w:hAnsi="Book Antiqua" w:cs="Segoe UI"/>
          <w:sz w:val="26"/>
          <w:szCs w:val="26"/>
        </w:rPr>
        <w:t>Nexamp</w:t>
      </w:r>
      <w:proofErr w:type="spellEnd"/>
      <w:r>
        <w:rPr>
          <w:rStyle w:val="normaltextrun"/>
          <w:rFonts w:ascii="Book Antiqua" w:hAnsi="Book Antiqua" w:cs="Segoe UI"/>
          <w:sz w:val="26"/>
          <w:szCs w:val="26"/>
        </w:rPr>
        <w:t>,</w:t>
      </w:r>
      <w:r w:rsidR="00D23A05">
        <w:rPr>
          <w:rStyle w:val="normaltextrun"/>
          <w:rFonts w:ascii="Book Antiqua" w:hAnsi="Book Antiqua" w:cs="Segoe UI"/>
          <w:sz w:val="26"/>
          <w:szCs w:val="26"/>
        </w:rPr>
        <w:t xml:space="preserve"> </w:t>
      </w:r>
      <w:proofErr w:type="spellStart"/>
      <w:r>
        <w:rPr>
          <w:rStyle w:val="normaltextrun"/>
          <w:rFonts w:ascii="Book Antiqua" w:hAnsi="Book Antiqua" w:cs="Segoe UI"/>
          <w:sz w:val="26"/>
          <w:szCs w:val="26"/>
        </w:rPr>
        <w:t>EnergyHub</w:t>
      </w:r>
      <w:proofErr w:type="spellEnd"/>
      <w:r>
        <w:rPr>
          <w:rStyle w:val="normaltextrun"/>
          <w:rFonts w:ascii="Book Antiqua" w:hAnsi="Book Antiqua" w:cs="Segoe UI"/>
          <w:sz w:val="26"/>
          <w:szCs w:val="26"/>
        </w:rPr>
        <w:t>, 350 Bay Area, SBUA, and EDF all support the proposed applications identifying additional technology investments.</w:t>
      </w:r>
      <w:r w:rsidR="002D19EE">
        <w:rPr>
          <w:rStyle w:val="FootnoteReference"/>
          <w:rFonts w:ascii="Book Antiqua" w:hAnsi="Book Antiqua" w:cs="Segoe UI"/>
          <w:sz w:val="26"/>
          <w:szCs w:val="26"/>
        </w:rPr>
        <w:footnoteReference w:id="142"/>
      </w:r>
      <w:r>
        <w:rPr>
          <w:rStyle w:val="normaltextrun"/>
          <w:rFonts w:ascii="Book Antiqua" w:hAnsi="Book Antiqua" w:cs="Segoe UI"/>
          <w:sz w:val="26"/>
          <w:szCs w:val="26"/>
        </w:rPr>
        <w:t> SDG&amp;E notes that customer-side technologies will likely not be addressed in the application.</w:t>
      </w:r>
      <w:r w:rsidR="002D19EE">
        <w:rPr>
          <w:rStyle w:val="FootnoteReference"/>
          <w:rFonts w:ascii="Book Antiqua" w:hAnsi="Book Antiqua" w:cs="Segoe UI"/>
          <w:sz w:val="26"/>
          <w:szCs w:val="26"/>
        </w:rPr>
        <w:footnoteReference w:id="143"/>
      </w:r>
      <w:r>
        <w:rPr>
          <w:rStyle w:val="normaltextrun"/>
          <w:rFonts w:ascii="Book Antiqua" w:hAnsi="Book Antiqua" w:cs="Segoe UI"/>
          <w:sz w:val="26"/>
          <w:szCs w:val="26"/>
        </w:rPr>
        <w:t> </w:t>
      </w:r>
      <w:proofErr w:type="spellStart"/>
      <w:r>
        <w:rPr>
          <w:rStyle w:val="normaltextrun"/>
          <w:rFonts w:ascii="Book Antiqua" w:hAnsi="Book Antiqua" w:cs="Segoe UI"/>
          <w:sz w:val="26"/>
          <w:szCs w:val="26"/>
        </w:rPr>
        <w:t>Nexamp</w:t>
      </w:r>
      <w:proofErr w:type="spellEnd"/>
      <w:r>
        <w:rPr>
          <w:rStyle w:val="normaltextrun"/>
          <w:rFonts w:ascii="Book Antiqua" w:hAnsi="Book Antiqua" w:cs="Segoe UI"/>
          <w:sz w:val="26"/>
          <w:szCs w:val="26"/>
        </w:rPr>
        <w:t xml:space="preserve"> states that proposed applications should distinguish between capabilities needed now versus later-phase upgrades.</w:t>
      </w:r>
      <w:r w:rsidR="003817F7">
        <w:rPr>
          <w:rStyle w:val="FootnoteReference"/>
          <w:rFonts w:ascii="Book Antiqua" w:hAnsi="Book Antiqua" w:cs="Segoe UI"/>
          <w:sz w:val="26"/>
          <w:szCs w:val="26"/>
        </w:rPr>
        <w:footnoteReference w:id="144"/>
      </w:r>
      <w:r>
        <w:rPr>
          <w:rStyle w:val="normaltextrun"/>
          <w:rFonts w:ascii="Book Antiqua" w:hAnsi="Book Antiqua" w:cs="Segoe UI"/>
          <w:sz w:val="26"/>
          <w:szCs w:val="26"/>
        </w:rPr>
        <w:t> </w:t>
      </w:r>
      <w:proofErr w:type="spellStart"/>
      <w:r>
        <w:rPr>
          <w:rStyle w:val="normaltextrun"/>
          <w:rFonts w:ascii="Book Antiqua" w:hAnsi="Book Antiqua" w:cs="Segoe UI"/>
          <w:sz w:val="26"/>
          <w:szCs w:val="26"/>
        </w:rPr>
        <w:t>EnergyHub</w:t>
      </w:r>
      <w:proofErr w:type="spellEnd"/>
      <w:r>
        <w:rPr>
          <w:rStyle w:val="normaltextrun"/>
          <w:rFonts w:ascii="Book Antiqua" w:hAnsi="Book Antiqua" w:cs="Segoe UI"/>
          <w:sz w:val="26"/>
          <w:szCs w:val="26"/>
        </w:rPr>
        <w:t xml:space="preserve"> emphasizes </w:t>
      </w:r>
      <w:r w:rsidR="003201D7">
        <w:rPr>
          <w:rStyle w:val="normaltextrun"/>
          <w:rFonts w:ascii="Book Antiqua" w:hAnsi="Book Antiqua" w:cs="Segoe UI"/>
          <w:sz w:val="26"/>
          <w:szCs w:val="26"/>
        </w:rPr>
        <w:t>e</w:t>
      </w:r>
      <w:r>
        <w:rPr>
          <w:rStyle w:val="normaltextrun"/>
          <w:rFonts w:ascii="Book Antiqua" w:hAnsi="Book Antiqua" w:cs="Segoe UI"/>
          <w:sz w:val="26"/>
          <w:szCs w:val="26"/>
        </w:rPr>
        <w:t>dge DERMS functionality as a technology investment that should be identified in proposed applications.</w:t>
      </w:r>
      <w:r w:rsidR="007F12F2">
        <w:rPr>
          <w:rStyle w:val="FootnoteReference"/>
          <w:rFonts w:ascii="Book Antiqua" w:hAnsi="Book Antiqua" w:cs="Segoe UI"/>
          <w:sz w:val="26"/>
          <w:szCs w:val="26"/>
        </w:rPr>
        <w:footnoteReference w:id="145"/>
      </w:r>
      <w:r>
        <w:rPr>
          <w:rStyle w:val="normaltextrun"/>
          <w:rFonts w:ascii="Book Antiqua" w:hAnsi="Book Antiqua" w:cs="Segoe UI"/>
          <w:sz w:val="26"/>
          <w:szCs w:val="26"/>
        </w:rPr>
        <w:t> SBUA recommends consideration of non-technological investments required to effectively implement enhancements.</w:t>
      </w:r>
      <w:r w:rsidR="007F12F2">
        <w:rPr>
          <w:rStyle w:val="FootnoteReference"/>
          <w:rFonts w:ascii="Book Antiqua" w:hAnsi="Book Antiqua" w:cs="Segoe UI"/>
          <w:sz w:val="26"/>
          <w:szCs w:val="26"/>
        </w:rPr>
        <w:footnoteReference w:id="146"/>
      </w:r>
      <w:r>
        <w:rPr>
          <w:rStyle w:val="eop"/>
          <w:rFonts w:ascii="Book Antiqua" w:hAnsi="Book Antiqua" w:cs="Segoe UI"/>
          <w:sz w:val="26"/>
          <w:szCs w:val="26"/>
        </w:rPr>
        <w:t> </w:t>
      </w:r>
    </w:p>
    <w:p w:rsidR="00443624" w:rsidP="332D6C23" w:rsidRDefault="00443624" w14:paraId="205494E2" w14:textId="1215389E">
      <w:pPr>
        <w:pStyle w:val="paragraph"/>
        <w:spacing w:before="0" w:beforeAutospacing="0" w:after="0" w:afterAutospacing="0" w:line="360" w:lineRule="auto"/>
        <w:ind w:firstLine="720"/>
        <w:textAlignment w:val="baseline"/>
      </w:pPr>
      <w:r>
        <w:rPr>
          <w:rStyle w:val="normaltextrun"/>
          <w:rFonts w:ascii="Book Antiqua" w:hAnsi="Book Antiqua" w:cs="Segoe UI"/>
          <w:sz w:val="26"/>
          <w:szCs w:val="26"/>
        </w:rPr>
        <w:lastRenderedPageBreak/>
        <w:t>SCE recommends the GRC as the preferred mechanism to propose technology-related investments.</w:t>
      </w:r>
      <w:r w:rsidR="007713D2">
        <w:rPr>
          <w:rStyle w:val="FootnoteReference"/>
          <w:rFonts w:ascii="Book Antiqua" w:hAnsi="Book Antiqua" w:cs="Segoe UI"/>
          <w:sz w:val="26"/>
          <w:szCs w:val="26"/>
        </w:rPr>
        <w:footnoteReference w:id="147"/>
      </w:r>
      <w:r>
        <w:rPr>
          <w:rStyle w:val="normaltextrun"/>
          <w:rFonts w:ascii="Book Antiqua" w:hAnsi="Book Antiqua" w:cs="Segoe UI"/>
          <w:sz w:val="26"/>
          <w:szCs w:val="26"/>
        </w:rPr>
        <w:t> Cal Advocates and A</w:t>
      </w:r>
      <w:r w:rsidR="003201D7">
        <w:rPr>
          <w:rStyle w:val="normaltextrun"/>
          <w:rFonts w:ascii="Book Antiqua" w:hAnsi="Book Antiqua" w:cs="Segoe UI"/>
          <w:sz w:val="26"/>
          <w:szCs w:val="26"/>
        </w:rPr>
        <w:t>EU</w:t>
      </w:r>
      <w:r>
        <w:rPr>
          <w:rStyle w:val="normaltextrun"/>
          <w:rFonts w:ascii="Book Antiqua" w:hAnsi="Book Antiqua" w:cs="Segoe UI"/>
          <w:sz w:val="26"/>
          <w:szCs w:val="26"/>
        </w:rPr>
        <w:t xml:space="preserve"> oppose the inclusion of additional technology investments in IOU applications</w:t>
      </w:r>
      <w:r w:rsidR="00890930">
        <w:rPr>
          <w:rStyle w:val="normaltextrun"/>
          <w:rFonts w:ascii="Book Antiqua" w:hAnsi="Book Antiqua" w:cs="Segoe UI"/>
          <w:sz w:val="26"/>
          <w:szCs w:val="26"/>
        </w:rPr>
        <w:t xml:space="preserve"> </w:t>
      </w:r>
      <w:r>
        <w:rPr>
          <w:rStyle w:val="normaltextrun"/>
          <w:rFonts w:ascii="Book Antiqua" w:hAnsi="Book Antiqua" w:cs="Segoe UI"/>
          <w:sz w:val="26"/>
          <w:szCs w:val="26"/>
        </w:rPr>
        <w:t>and </w:t>
      </w:r>
      <w:r w:rsidR="00BB7708">
        <w:rPr>
          <w:rStyle w:val="normaltextrun"/>
          <w:rFonts w:ascii="Book Antiqua" w:hAnsi="Book Antiqua" w:cs="Segoe UI"/>
          <w:sz w:val="26"/>
          <w:szCs w:val="26"/>
        </w:rPr>
        <w:t>agree that the</w:t>
      </w:r>
      <w:r>
        <w:rPr>
          <w:rStyle w:val="normaltextrun"/>
          <w:rFonts w:ascii="Book Antiqua" w:hAnsi="Book Antiqua" w:cs="Segoe UI"/>
          <w:sz w:val="26"/>
          <w:szCs w:val="26"/>
        </w:rPr>
        <w:t xml:space="preserve"> GRC is the appropriate forum for seeking recovery of broad technology investments.</w:t>
      </w:r>
      <w:r w:rsidR="001B15A5">
        <w:rPr>
          <w:rStyle w:val="FootnoteReference"/>
          <w:rFonts w:ascii="Book Antiqua" w:hAnsi="Book Antiqua" w:cs="Segoe UI"/>
          <w:sz w:val="26"/>
          <w:szCs w:val="26"/>
        </w:rPr>
        <w:footnoteReference w:id="148"/>
      </w:r>
      <w:r>
        <w:rPr>
          <w:rStyle w:val="normaltextrun"/>
          <w:rFonts w:ascii="Book Antiqua" w:hAnsi="Book Antiqua" w:cs="Segoe UI"/>
          <w:sz w:val="26"/>
          <w:szCs w:val="26"/>
        </w:rPr>
        <w:t xml:space="preserve"> UCAN urges the Commission to apply rigorous cost-effectiveness scrutiny to any utility proposals for new technology investments to support DER orchestration.</w:t>
      </w:r>
      <w:r w:rsidR="007713D2">
        <w:rPr>
          <w:rStyle w:val="FootnoteReference"/>
          <w:rFonts w:ascii="Book Antiqua" w:hAnsi="Book Antiqua" w:cs="Segoe UI"/>
          <w:sz w:val="26"/>
          <w:szCs w:val="26"/>
        </w:rPr>
        <w:footnoteReference w:id="149"/>
      </w:r>
      <w:r>
        <w:rPr>
          <w:rStyle w:val="eop"/>
          <w:rFonts w:ascii="Book Antiqua" w:hAnsi="Book Antiqua" w:cs="Segoe UI"/>
          <w:sz w:val="26"/>
          <w:szCs w:val="26"/>
        </w:rPr>
        <w:t> </w:t>
      </w:r>
      <w:r w:rsidR="009D4975">
        <w:rPr>
          <w:rStyle w:val="eop"/>
          <w:rFonts w:ascii="Book Antiqua" w:hAnsi="Book Antiqua" w:cs="Segoe UI"/>
          <w:sz w:val="26"/>
          <w:szCs w:val="26"/>
        </w:rPr>
        <w:t xml:space="preserve">SBUA is similarly concerned about </w:t>
      </w:r>
      <w:r w:rsidR="00F85E42">
        <w:rPr>
          <w:rStyle w:val="eop"/>
          <w:rFonts w:ascii="Book Antiqua" w:hAnsi="Book Antiqua" w:cs="Segoe UI"/>
          <w:sz w:val="26"/>
          <w:szCs w:val="26"/>
        </w:rPr>
        <w:t xml:space="preserve">utility expenditures </w:t>
      </w:r>
      <w:r w:rsidR="00C96119">
        <w:rPr>
          <w:rStyle w:val="eop"/>
          <w:rFonts w:ascii="Book Antiqua" w:hAnsi="Book Antiqua" w:cs="Segoe UI"/>
          <w:sz w:val="26"/>
          <w:szCs w:val="26"/>
        </w:rPr>
        <w:t>and the difficulty of controlling costs outside of GRC proceedings.</w:t>
      </w:r>
      <w:r w:rsidR="007158AE">
        <w:rPr>
          <w:rStyle w:val="eop"/>
          <w:rFonts w:ascii="Book Antiqua" w:hAnsi="Book Antiqua" w:cs="Segoe UI"/>
          <w:sz w:val="26"/>
          <w:szCs w:val="26"/>
        </w:rPr>
        <w:t xml:space="preserve"> </w:t>
      </w:r>
      <w:r w:rsidRPr="0033179B" w:rsidR="0033179B">
        <w:rPr>
          <w:rFonts w:ascii="Book Antiqua" w:hAnsi="Book Antiqua" w:cs="Segoe UI"/>
          <w:sz w:val="26"/>
          <w:szCs w:val="26"/>
        </w:rPr>
        <w:t>SBUA agrees with Cal Advocates that the “Commission should avoid using DER orchestration as a backdoor justification for broad</w:t>
      </w:r>
      <w:r w:rsidR="001A15C2">
        <w:rPr>
          <w:rFonts w:ascii="Book Antiqua" w:hAnsi="Book Antiqua" w:cs="Segoe UI"/>
          <w:sz w:val="26"/>
          <w:szCs w:val="26"/>
        </w:rPr>
        <w:t xml:space="preserve"> advanced metering infrastructure (</w:t>
      </w:r>
      <w:r w:rsidRPr="0033179B" w:rsidR="0033179B">
        <w:rPr>
          <w:rFonts w:ascii="Book Antiqua" w:hAnsi="Book Antiqua" w:cs="Segoe UI"/>
          <w:sz w:val="26"/>
          <w:szCs w:val="26"/>
        </w:rPr>
        <w:t>AMI</w:t>
      </w:r>
      <w:r w:rsidR="001A15C2">
        <w:rPr>
          <w:rFonts w:ascii="Book Antiqua" w:hAnsi="Book Antiqua" w:cs="Segoe UI"/>
          <w:sz w:val="26"/>
          <w:szCs w:val="26"/>
        </w:rPr>
        <w:t>)</w:t>
      </w:r>
      <w:r w:rsidRPr="0033179B" w:rsidR="0033179B">
        <w:rPr>
          <w:rFonts w:ascii="Book Antiqua" w:hAnsi="Book Antiqua" w:cs="Segoe UI"/>
          <w:sz w:val="26"/>
          <w:szCs w:val="26"/>
        </w:rPr>
        <w:t>, DERMS, communications, or platform investments that should be reviewed in the GRC where the Commission and parties can review the costs requested in a more fulsome way.”</w:t>
      </w:r>
      <w:r w:rsidR="0033179B">
        <w:rPr>
          <w:rStyle w:val="FootnoteReference"/>
          <w:rFonts w:ascii="Book Antiqua" w:hAnsi="Book Antiqua" w:cs="Segoe UI"/>
          <w:sz w:val="26"/>
          <w:szCs w:val="26"/>
        </w:rPr>
        <w:footnoteReference w:id="150"/>
      </w:r>
    </w:p>
    <w:p w:rsidRPr="007E1477" w:rsidR="00833E89" w:rsidP="007E1477" w:rsidRDefault="332D6C23" w14:paraId="3E7055B2" w14:textId="57F0DF16">
      <w:pPr>
        <w:pStyle w:val="paragraph"/>
        <w:spacing w:before="0" w:beforeAutospacing="0" w:after="0" w:afterAutospacing="0" w:line="360" w:lineRule="auto"/>
        <w:ind w:firstLine="720"/>
        <w:rPr>
          <w:rFonts w:ascii="Book Antiqua" w:hAnsi="Book Antiqua" w:cs="Segoe UI"/>
          <w:sz w:val="26"/>
          <w:szCs w:val="26"/>
        </w:rPr>
      </w:pPr>
      <w:r w:rsidRPr="332D6C23">
        <w:rPr>
          <w:rFonts w:ascii="Book Antiqua" w:hAnsi="Book Antiqua" w:cs="Segoe UI"/>
          <w:sz w:val="26"/>
          <w:szCs w:val="26"/>
        </w:rPr>
        <w:t>The Commission agrees with SCE, Cal Advocates, A</w:t>
      </w:r>
      <w:r w:rsidR="003201D7">
        <w:rPr>
          <w:rFonts w:ascii="Book Antiqua" w:hAnsi="Book Antiqua" w:cs="Segoe UI"/>
          <w:sz w:val="26"/>
          <w:szCs w:val="26"/>
        </w:rPr>
        <w:t>EU</w:t>
      </w:r>
      <w:r w:rsidRPr="332D6C23">
        <w:rPr>
          <w:rFonts w:ascii="Book Antiqua" w:hAnsi="Book Antiqua" w:cs="Segoe UI"/>
          <w:sz w:val="26"/>
          <w:szCs w:val="26"/>
        </w:rPr>
        <w:t xml:space="preserve">, UCAN, and SBUA that broad technology investments should generally be reviewed through the GRC or other applicable cost-recovery proceedings where the impacts of those investments can be properly evaluated. The Commission also agrees that DER </w:t>
      </w:r>
      <w:r w:rsidR="00D06A88">
        <w:rPr>
          <w:rFonts w:ascii="Book Antiqua" w:hAnsi="Book Antiqua" w:cs="Segoe UI"/>
          <w:sz w:val="26"/>
          <w:szCs w:val="26"/>
        </w:rPr>
        <w:t>o</w:t>
      </w:r>
      <w:r w:rsidRPr="332D6C23">
        <w:rPr>
          <w:rFonts w:ascii="Book Antiqua" w:hAnsi="Book Antiqua" w:cs="Segoe UI"/>
          <w:sz w:val="26"/>
          <w:szCs w:val="26"/>
        </w:rPr>
        <w:t>rchestration should not serve as a basis for duplicative technology investments or funding that is already authorized or pending authorization in another proceeding.</w:t>
      </w:r>
    </w:p>
    <w:p w:rsidR="0C9C5995" w:rsidP="0C9C5995" w:rsidRDefault="332D6C23" w14:paraId="6C1C4F06" w14:textId="1CCC2616">
      <w:pPr>
        <w:pStyle w:val="paragraph"/>
        <w:spacing w:before="0" w:beforeAutospacing="0" w:after="0" w:afterAutospacing="0" w:line="360" w:lineRule="auto"/>
        <w:ind w:firstLine="720"/>
      </w:pPr>
      <w:r w:rsidRPr="332D6C23">
        <w:rPr>
          <w:rStyle w:val="eop"/>
          <w:rFonts w:ascii="Book Antiqua" w:hAnsi="Book Antiqua" w:cs="Segoe UI"/>
          <w:sz w:val="26"/>
          <w:szCs w:val="26"/>
        </w:rPr>
        <w:lastRenderedPageBreak/>
        <w:t xml:space="preserve">Accordingly, this decision directs the IOUs to first leverage existing technology investment authorizations or pending </w:t>
      </w:r>
      <w:r w:rsidR="00B02B32">
        <w:rPr>
          <w:rStyle w:val="eop"/>
          <w:rFonts w:ascii="Book Antiqua" w:hAnsi="Book Antiqua" w:cs="Segoe UI"/>
          <w:sz w:val="26"/>
          <w:szCs w:val="26"/>
        </w:rPr>
        <w:t xml:space="preserve">technology investment </w:t>
      </w:r>
      <w:r w:rsidRPr="332D6C23">
        <w:rPr>
          <w:rStyle w:val="eop"/>
          <w:rFonts w:ascii="Book Antiqua" w:hAnsi="Book Antiqua" w:cs="Segoe UI"/>
          <w:sz w:val="26"/>
          <w:szCs w:val="26"/>
        </w:rPr>
        <w:t xml:space="preserve">authorizations to </w:t>
      </w:r>
      <w:r w:rsidR="00DF0DDD">
        <w:rPr>
          <w:rStyle w:val="eop"/>
          <w:rFonts w:ascii="Book Antiqua" w:hAnsi="Book Antiqua" w:cs="Segoe UI"/>
          <w:sz w:val="26"/>
          <w:szCs w:val="26"/>
        </w:rPr>
        <w:t>implement</w:t>
      </w:r>
      <w:r w:rsidR="00B02B32">
        <w:rPr>
          <w:rStyle w:val="eop"/>
          <w:rFonts w:ascii="Book Antiqua" w:hAnsi="Book Antiqua" w:cs="Segoe UI"/>
          <w:sz w:val="26"/>
          <w:szCs w:val="26"/>
        </w:rPr>
        <w:t xml:space="preserve"> their</w:t>
      </w:r>
      <w:r w:rsidRPr="332D6C23">
        <w:rPr>
          <w:rStyle w:val="eop"/>
          <w:rFonts w:ascii="Book Antiqua" w:hAnsi="Book Antiqua" w:cs="Segoe UI"/>
          <w:sz w:val="26"/>
          <w:szCs w:val="26"/>
        </w:rPr>
        <w:t xml:space="preserve"> DER orchestration framewor</w:t>
      </w:r>
      <w:r w:rsidR="00B02B32">
        <w:rPr>
          <w:rStyle w:val="eop"/>
          <w:rFonts w:ascii="Book Antiqua" w:hAnsi="Book Antiqua" w:cs="Segoe UI"/>
          <w:sz w:val="26"/>
          <w:szCs w:val="26"/>
        </w:rPr>
        <w:t xml:space="preserve">k </w:t>
      </w:r>
      <w:r w:rsidRPr="332D6C23">
        <w:rPr>
          <w:rStyle w:val="eop"/>
          <w:rFonts w:ascii="Book Antiqua" w:hAnsi="Book Antiqua" w:cs="Segoe UI"/>
          <w:sz w:val="26"/>
          <w:szCs w:val="26"/>
        </w:rPr>
        <w:t>before requesting any incremental technological investment in the application. If</w:t>
      </w:r>
      <w:r w:rsidR="00457494">
        <w:rPr>
          <w:rStyle w:val="eop"/>
          <w:rFonts w:ascii="Book Antiqua" w:hAnsi="Book Antiqua" w:cs="Segoe UI"/>
          <w:sz w:val="26"/>
          <w:szCs w:val="26"/>
        </w:rPr>
        <w:t xml:space="preserve"> the</w:t>
      </w:r>
      <w:r w:rsidRPr="332D6C23">
        <w:rPr>
          <w:rStyle w:val="eop"/>
          <w:rFonts w:ascii="Book Antiqua" w:hAnsi="Book Antiqua" w:cs="Segoe UI"/>
          <w:sz w:val="26"/>
          <w:szCs w:val="26"/>
        </w:rPr>
        <w:t xml:space="preserve"> IOUs seek any incremental technology investment authorization in their application</w:t>
      </w:r>
      <w:r w:rsidR="00D06A88">
        <w:rPr>
          <w:rStyle w:val="eop"/>
          <w:rFonts w:ascii="Book Antiqua" w:hAnsi="Book Antiqua" w:cs="Segoe UI"/>
          <w:sz w:val="26"/>
          <w:szCs w:val="26"/>
        </w:rPr>
        <w:t>,</w:t>
      </w:r>
      <w:r w:rsidRPr="332D6C23">
        <w:rPr>
          <w:rStyle w:val="eop"/>
          <w:rFonts w:ascii="Book Antiqua" w:hAnsi="Book Antiqua" w:cs="Segoe UI"/>
          <w:sz w:val="26"/>
          <w:szCs w:val="26"/>
        </w:rPr>
        <w:t xml:space="preserve"> they must demonstrate why the funding cannot be leveraged from the GRC or other cost recovery proceedings. The Commission sets a high bar for approving any incremental technology investment to best protect ratepayers from unnecessary costs.   </w:t>
      </w:r>
    </w:p>
    <w:p w:rsidR="6E58F640" w:rsidP="003201D7" w:rsidRDefault="6E58F640" w14:paraId="240F3765" w14:textId="72A988B3">
      <w:pPr>
        <w:pStyle w:val="paragraph"/>
        <w:spacing w:before="0" w:beforeAutospacing="0" w:after="0" w:afterAutospacing="0" w:line="360" w:lineRule="auto"/>
        <w:ind w:firstLine="720"/>
      </w:pPr>
      <w:r w:rsidRPr="0CD48164">
        <w:rPr>
          <w:rFonts w:ascii="Book Antiqua" w:hAnsi="Book Antiqua" w:eastAsia="Calibri" w:cs="Segoe UI"/>
          <w:sz w:val="26"/>
          <w:szCs w:val="26"/>
        </w:rPr>
        <w:t>In the interim</w:t>
      </w:r>
      <w:r w:rsidRPr="05359213" w:rsidR="672987A5">
        <w:rPr>
          <w:rFonts w:ascii="Book Antiqua" w:hAnsi="Book Antiqua" w:eastAsia="Calibri" w:cs="Segoe UI"/>
          <w:sz w:val="26"/>
          <w:szCs w:val="26"/>
        </w:rPr>
        <w:t xml:space="preserve"> period</w:t>
      </w:r>
      <w:r w:rsidRPr="0CD48164">
        <w:rPr>
          <w:rFonts w:ascii="Book Antiqua" w:hAnsi="Book Antiqua" w:eastAsia="Calibri" w:cs="Segoe UI"/>
          <w:sz w:val="26"/>
          <w:szCs w:val="26"/>
        </w:rPr>
        <w:t xml:space="preserve"> between adoption of this decision and the</w:t>
      </w:r>
      <w:r w:rsidR="00AF4B4B">
        <w:rPr>
          <w:rFonts w:ascii="Book Antiqua" w:hAnsi="Book Antiqua" w:eastAsia="Calibri" w:cs="Segoe UI"/>
          <w:sz w:val="26"/>
          <w:szCs w:val="26"/>
        </w:rPr>
        <w:t xml:space="preserve"> conclusion of the DER orchestration framework application proceeding</w:t>
      </w:r>
      <w:r w:rsidRPr="0CD48164">
        <w:rPr>
          <w:rFonts w:ascii="Book Antiqua" w:hAnsi="Book Antiqua" w:eastAsia="Calibri" w:cs="Segoe UI"/>
          <w:sz w:val="26"/>
          <w:szCs w:val="26"/>
        </w:rPr>
        <w:t xml:space="preserve">, </w:t>
      </w:r>
      <w:r w:rsidRPr="1A4BE202" w:rsidR="1D6CB088">
        <w:rPr>
          <w:rFonts w:ascii="Book Antiqua" w:hAnsi="Book Antiqua" w:eastAsia="Calibri" w:cs="Segoe UI"/>
          <w:sz w:val="26"/>
          <w:szCs w:val="26"/>
        </w:rPr>
        <w:t xml:space="preserve">the Commission </w:t>
      </w:r>
      <w:r w:rsidRPr="09F1581F" w:rsidR="1D6CB088">
        <w:rPr>
          <w:rFonts w:ascii="Book Antiqua" w:hAnsi="Book Antiqua" w:eastAsia="Calibri" w:cs="Segoe UI"/>
          <w:sz w:val="26"/>
          <w:szCs w:val="26"/>
        </w:rPr>
        <w:t>recognizes that</w:t>
      </w:r>
      <w:r w:rsidRPr="1A4BE202">
        <w:rPr>
          <w:rFonts w:ascii="Book Antiqua" w:hAnsi="Book Antiqua" w:eastAsia="Calibri" w:cs="Segoe UI"/>
          <w:sz w:val="26"/>
          <w:szCs w:val="26"/>
        </w:rPr>
        <w:t xml:space="preserve"> </w:t>
      </w:r>
      <w:r w:rsidRPr="14D8E3F3" w:rsidR="1D6CB088">
        <w:rPr>
          <w:rFonts w:ascii="Book Antiqua" w:hAnsi="Book Antiqua" w:eastAsia="Calibri" w:cs="Segoe UI"/>
          <w:sz w:val="26"/>
          <w:szCs w:val="26"/>
        </w:rPr>
        <w:t xml:space="preserve">some incremental cost </w:t>
      </w:r>
      <w:r w:rsidRPr="25C16E04" w:rsidR="1D6CB088">
        <w:rPr>
          <w:rFonts w:ascii="Book Antiqua" w:hAnsi="Book Antiqua" w:eastAsia="Calibri" w:cs="Segoe UI"/>
          <w:sz w:val="26"/>
          <w:szCs w:val="26"/>
        </w:rPr>
        <w:t>recovery may</w:t>
      </w:r>
      <w:r w:rsidRPr="25C16E04" w:rsidR="3D2306BB">
        <w:rPr>
          <w:rFonts w:ascii="Book Antiqua" w:hAnsi="Book Antiqua" w:eastAsia="Calibri" w:cs="Segoe UI"/>
          <w:sz w:val="26"/>
          <w:szCs w:val="26"/>
        </w:rPr>
        <w:t xml:space="preserve"> be needed to</w:t>
      </w:r>
      <w:r w:rsidR="00B37BFC">
        <w:rPr>
          <w:rFonts w:ascii="Book Antiqua" w:hAnsi="Book Antiqua" w:eastAsia="Calibri" w:cs="Segoe UI"/>
          <w:sz w:val="26"/>
          <w:szCs w:val="26"/>
        </w:rPr>
        <w:t xml:space="preserve"> support the development of the joint application, including support for facilitating the working group and any </w:t>
      </w:r>
      <w:r w:rsidR="00D41361">
        <w:rPr>
          <w:rFonts w:ascii="Book Antiqua" w:hAnsi="Book Antiqua" w:eastAsia="Calibri" w:cs="Segoe UI"/>
          <w:sz w:val="26"/>
          <w:szCs w:val="26"/>
        </w:rPr>
        <w:t>minor studies to inform the development of the joint application</w:t>
      </w:r>
      <w:r w:rsidRPr="03EA2CD9" w:rsidR="52747E55">
        <w:rPr>
          <w:rFonts w:ascii="Book Antiqua" w:hAnsi="Book Antiqua" w:eastAsia="Calibri" w:cs="Segoe UI"/>
          <w:sz w:val="26"/>
          <w:szCs w:val="26"/>
        </w:rPr>
        <w:t xml:space="preserve">. </w:t>
      </w:r>
      <w:r w:rsidRPr="0CD48164">
        <w:rPr>
          <w:rFonts w:ascii="Book Antiqua" w:hAnsi="Book Antiqua" w:eastAsia="Calibri" w:cs="Segoe UI"/>
          <w:sz w:val="26"/>
          <w:szCs w:val="26"/>
        </w:rPr>
        <w:t xml:space="preserve">The IOUs must, to the greatest extent possible, leverage existing funding </w:t>
      </w:r>
      <w:r w:rsidRPr="2B6FCC19" w:rsidR="7ABF1C67">
        <w:rPr>
          <w:rFonts w:ascii="Book Antiqua" w:hAnsi="Book Antiqua" w:eastAsia="Calibri" w:cs="Segoe UI"/>
          <w:sz w:val="26"/>
          <w:szCs w:val="26"/>
        </w:rPr>
        <w:t xml:space="preserve">vehicles </w:t>
      </w:r>
      <w:r w:rsidRPr="0CD48164">
        <w:rPr>
          <w:rFonts w:ascii="Book Antiqua" w:hAnsi="Book Antiqua" w:eastAsia="Calibri" w:cs="Segoe UI"/>
          <w:sz w:val="26"/>
          <w:szCs w:val="26"/>
        </w:rPr>
        <w:t>for these activities</w:t>
      </w:r>
      <w:r w:rsidRPr="2B6FCC19" w:rsidR="4EEACDE8">
        <w:rPr>
          <w:rFonts w:ascii="Book Antiqua" w:hAnsi="Book Antiqua" w:eastAsia="Calibri" w:cs="Segoe UI"/>
          <w:sz w:val="26"/>
          <w:szCs w:val="26"/>
        </w:rPr>
        <w:t xml:space="preserve"> such as GRCs</w:t>
      </w:r>
      <w:r w:rsidRPr="2B6FCC19">
        <w:rPr>
          <w:rFonts w:ascii="Book Antiqua" w:hAnsi="Book Antiqua" w:eastAsia="Calibri" w:cs="Segoe UI"/>
          <w:sz w:val="26"/>
          <w:szCs w:val="26"/>
        </w:rPr>
        <w:t>.</w:t>
      </w:r>
      <w:r w:rsidRPr="0CD48164">
        <w:rPr>
          <w:rFonts w:ascii="Book Antiqua" w:hAnsi="Book Antiqua" w:eastAsia="Calibri" w:cs="Segoe UI"/>
          <w:sz w:val="26"/>
          <w:szCs w:val="26"/>
        </w:rPr>
        <w:t xml:space="preserve"> </w:t>
      </w:r>
      <w:r w:rsidRPr="59F588E9" w:rsidR="2641EE5D">
        <w:rPr>
          <w:rFonts w:ascii="Book Antiqua" w:hAnsi="Book Antiqua" w:eastAsia="Calibri" w:cs="Segoe UI"/>
          <w:sz w:val="26"/>
          <w:szCs w:val="26"/>
        </w:rPr>
        <w:t>If additional</w:t>
      </w:r>
      <w:r w:rsidRPr="0CD48164">
        <w:rPr>
          <w:rFonts w:ascii="Book Antiqua" w:hAnsi="Book Antiqua" w:eastAsia="Calibri" w:cs="Segoe UI"/>
          <w:sz w:val="26"/>
          <w:szCs w:val="26"/>
        </w:rPr>
        <w:t xml:space="preserve"> incremental funding is necessary, the IOUs must exercise judicious caution and seek recovery only for </w:t>
      </w:r>
      <w:r w:rsidRPr="00A3505F" w:rsidR="40EA989B">
        <w:rPr>
          <w:rFonts w:ascii="Book Antiqua" w:hAnsi="Book Antiqua" w:eastAsia="Calibri" w:cs="Segoe UI"/>
          <w:sz w:val="26"/>
          <w:szCs w:val="26"/>
        </w:rPr>
        <w:t xml:space="preserve">incremental </w:t>
      </w:r>
      <w:r w:rsidRPr="00A3505F">
        <w:rPr>
          <w:rFonts w:ascii="Book Antiqua" w:hAnsi="Book Antiqua" w:eastAsia="Calibri" w:cs="Segoe UI"/>
          <w:sz w:val="26"/>
          <w:szCs w:val="26"/>
        </w:rPr>
        <w:t>costs</w:t>
      </w:r>
      <w:r w:rsidRPr="0CD48164">
        <w:rPr>
          <w:rFonts w:ascii="Book Antiqua" w:hAnsi="Book Antiqua" w:eastAsia="Calibri" w:cs="Segoe UI"/>
          <w:sz w:val="26"/>
          <w:szCs w:val="26"/>
        </w:rPr>
        <w:t xml:space="preserve"> </w:t>
      </w:r>
      <w:r w:rsidR="00637196">
        <w:rPr>
          <w:rFonts w:ascii="Book Antiqua" w:hAnsi="Book Antiqua" w:eastAsia="Calibri" w:cs="Segoe UI"/>
          <w:sz w:val="26"/>
          <w:szCs w:val="26"/>
        </w:rPr>
        <w:t>to support the development of the application</w:t>
      </w:r>
      <w:r w:rsidRPr="272AB492" w:rsidR="6AD06BCB">
        <w:rPr>
          <w:rFonts w:ascii="Book Antiqua" w:hAnsi="Book Antiqua" w:eastAsia="Calibri" w:cs="Segoe UI"/>
          <w:sz w:val="26"/>
          <w:szCs w:val="26"/>
        </w:rPr>
        <w:t>.</w:t>
      </w:r>
      <w:r w:rsidRPr="272AB492" w:rsidR="4C2371BD">
        <w:rPr>
          <w:rFonts w:ascii="Book Antiqua" w:hAnsi="Book Antiqua" w:eastAsia="Calibri" w:cs="Segoe UI"/>
          <w:sz w:val="26"/>
          <w:szCs w:val="26"/>
        </w:rPr>
        <w:t xml:space="preserve"> </w:t>
      </w:r>
    </w:p>
    <w:p w:rsidR="6E58F640" w:rsidP="27567E9C" w:rsidRDefault="4C2371BD" w14:paraId="2037CEE6" w14:textId="0CBA6042">
      <w:pPr>
        <w:pStyle w:val="paragraph"/>
        <w:spacing w:before="0" w:beforeAutospacing="0" w:after="0" w:afterAutospacing="0" w:line="360" w:lineRule="auto"/>
        <w:ind w:firstLine="720"/>
        <w:rPr>
          <w:rFonts w:ascii="Book Antiqua" w:hAnsi="Book Antiqua" w:eastAsia="Calibri" w:cs="Segoe UI"/>
          <w:sz w:val="26"/>
          <w:szCs w:val="26"/>
        </w:rPr>
      </w:pPr>
      <w:r w:rsidRPr="272AB492">
        <w:rPr>
          <w:rFonts w:ascii="Book Antiqua" w:hAnsi="Book Antiqua" w:eastAsia="Calibri" w:cs="Segoe UI"/>
          <w:sz w:val="26"/>
          <w:szCs w:val="26"/>
        </w:rPr>
        <w:t xml:space="preserve">Accordingly, </w:t>
      </w:r>
      <w:r w:rsidRPr="272AB492" w:rsidR="4AB53FE4">
        <w:rPr>
          <w:rFonts w:ascii="Book Antiqua" w:hAnsi="Book Antiqua" w:eastAsia="Calibri" w:cs="Segoe UI"/>
          <w:sz w:val="26"/>
          <w:szCs w:val="26"/>
        </w:rPr>
        <w:t xml:space="preserve">the IOUs </w:t>
      </w:r>
      <w:r w:rsidRPr="150DA36F" w:rsidR="6BA61158">
        <w:rPr>
          <w:rFonts w:ascii="Book Antiqua" w:hAnsi="Book Antiqua" w:eastAsia="Calibri" w:cs="Segoe UI"/>
          <w:sz w:val="26"/>
          <w:szCs w:val="26"/>
        </w:rPr>
        <w:t>may</w:t>
      </w:r>
      <w:r w:rsidRPr="272AB492" w:rsidR="465941E5">
        <w:rPr>
          <w:rFonts w:ascii="Book Antiqua" w:hAnsi="Book Antiqua" w:eastAsia="Calibri" w:cs="Segoe UI"/>
          <w:sz w:val="26"/>
          <w:szCs w:val="26"/>
        </w:rPr>
        <w:t xml:space="preserve"> establish</w:t>
      </w:r>
      <w:r w:rsidRPr="0CD48164" w:rsidR="6E58F640">
        <w:rPr>
          <w:rFonts w:ascii="Book Antiqua" w:hAnsi="Book Antiqua" w:eastAsia="Calibri" w:cs="Segoe UI"/>
          <w:sz w:val="26"/>
          <w:szCs w:val="26"/>
        </w:rPr>
        <w:t xml:space="preserve"> </w:t>
      </w:r>
      <w:r w:rsidRPr="272AB492" w:rsidR="6E58F640">
        <w:rPr>
          <w:rFonts w:ascii="Book Antiqua" w:hAnsi="Book Antiqua" w:eastAsia="Calibri" w:cs="Segoe UI"/>
          <w:sz w:val="26"/>
          <w:szCs w:val="26"/>
        </w:rPr>
        <w:t>memorandum account</w:t>
      </w:r>
      <w:r w:rsidRPr="272AB492" w:rsidR="78684DFC">
        <w:rPr>
          <w:rFonts w:ascii="Book Antiqua" w:hAnsi="Book Antiqua" w:eastAsia="Calibri" w:cs="Segoe UI"/>
          <w:sz w:val="26"/>
          <w:szCs w:val="26"/>
        </w:rPr>
        <w:t>s</w:t>
      </w:r>
      <w:r w:rsidRPr="272AB492" w:rsidR="6E58F640">
        <w:rPr>
          <w:rFonts w:ascii="Book Antiqua" w:hAnsi="Book Antiqua" w:eastAsia="Calibri" w:cs="Segoe UI"/>
          <w:sz w:val="26"/>
          <w:szCs w:val="26"/>
        </w:rPr>
        <w:t xml:space="preserve"> to track incremental costs associated with</w:t>
      </w:r>
      <w:r w:rsidR="00212DA8">
        <w:rPr>
          <w:rFonts w:ascii="Book Antiqua" w:hAnsi="Book Antiqua" w:eastAsia="Calibri" w:cs="Segoe UI"/>
          <w:sz w:val="26"/>
          <w:szCs w:val="26"/>
        </w:rPr>
        <w:t xml:space="preserve"> administrative costs to prepare the application, consultant fees and administrative costs to support the working group, and minor studies to inform the development of the application. </w:t>
      </w:r>
      <w:r w:rsidR="00C45896">
        <w:rPr>
          <w:rFonts w:ascii="Book Antiqua" w:hAnsi="Book Antiqua" w:eastAsia="Calibri" w:cs="Segoe UI"/>
          <w:sz w:val="26"/>
          <w:szCs w:val="26"/>
        </w:rPr>
        <w:t xml:space="preserve">These costs must not exceed $500,000 across the three IOUs. Further, each IOU must justify any costs recorded in these accounts, as they will be subject to reasonableness review. </w:t>
      </w:r>
      <w:r w:rsidRPr="272AB492" w:rsidR="6E58F640">
        <w:rPr>
          <w:rFonts w:ascii="Book Antiqua" w:hAnsi="Book Antiqua" w:eastAsia="Calibri" w:cs="Segoe UI"/>
          <w:sz w:val="26"/>
          <w:szCs w:val="26"/>
        </w:rPr>
        <w:t>E</w:t>
      </w:r>
      <w:r w:rsidRPr="272AB492" w:rsidR="4970DFE2">
        <w:rPr>
          <w:rFonts w:ascii="Book Antiqua" w:hAnsi="Book Antiqua" w:eastAsia="Calibri" w:cs="Segoe UI"/>
          <w:sz w:val="26"/>
          <w:szCs w:val="26"/>
        </w:rPr>
        <w:t xml:space="preserve">ach IOU is authorized to submit a Tier 2 </w:t>
      </w:r>
      <w:r w:rsidR="003201D7">
        <w:rPr>
          <w:rFonts w:ascii="Book Antiqua" w:hAnsi="Book Antiqua" w:eastAsia="Calibri" w:cs="Segoe UI"/>
          <w:sz w:val="26"/>
          <w:szCs w:val="26"/>
        </w:rPr>
        <w:t>a</w:t>
      </w:r>
      <w:r w:rsidRPr="272AB492" w:rsidR="4970DFE2">
        <w:rPr>
          <w:rFonts w:ascii="Book Antiqua" w:hAnsi="Book Antiqua" w:eastAsia="Calibri" w:cs="Segoe UI"/>
          <w:sz w:val="26"/>
          <w:szCs w:val="26"/>
        </w:rPr>
        <w:t xml:space="preserve">dvice </w:t>
      </w:r>
      <w:r w:rsidR="003201D7">
        <w:rPr>
          <w:rFonts w:ascii="Book Antiqua" w:hAnsi="Book Antiqua" w:eastAsia="Calibri" w:cs="Segoe UI"/>
          <w:sz w:val="26"/>
          <w:szCs w:val="26"/>
        </w:rPr>
        <w:t>l</w:t>
      </w:r>
      <w:r w:rsidRPr="272AB492" w:rsidR="4970DFE2">
        <w:rPr>
          <w:rFonts w:ascii="Book Antiqua" w:hAnsi="Book Antiqua" w:eastAsia="Calibri" w:cs="Segoe UI"/>
          <w:sz w:val="26"/>
          <w:szCs w:val="26"/>
        </w:rPr>
        <w:t xml:space="preserve">etter to establish a </w:t>
      </w:r>
      <w:r w:rsidR="003201D7">
        <w:rPr>
          <w:rFonts w:ascii="Book Antiqua" w:hAnsi="Book Antiqua" w:eastAsia="Calibri" w:cs="Segoe UI"/>
          <w:sz w:val="26"/>
          <w:szCs w:val="26"/>
        </w:rPr>
        <w:t>m</w:t>
      </w:r>
      <w:r w:rsidRPr="272AB492" w:rsidR="4970DFE2">
        <w:rPr>
          <w:rFonts w:ascii="Book Antiqua" w:hAnsi="Book Antiqua" w:eastAsia="Calibri" w:cs="Segoe UI"/>
          <w:sz w:val="26"/>
          <w:szCs w:val="26"/>
        </w:rPr>
        <w:t>emor</w:t>
      </w:r>
      <w:r w:rsidRPr="272AB492" w:rsidR="0F7B2334">
        <w:rPr>
          <w:rFonts w:ascii="Book Antiqua" w:hAnsi="Book Antiqua" w:eastAsia="Calibri" w:cs="Segoe UI"/>
          <w:sz w:val="26"/>
          <w:szCs w:val="26"/>
        </w:rPr>
        <w:t xml:space="preserve">andum </w:t>
      </w:r>
      <w:r w:rsidR="003201D7">
        <w:rPr>
          <w:rFonts w:ascii="Book Antiqua" w:hAnsi="Book Antiqua" w:eastAsia="Calibri" w:cs="Segoe UI"/>
          <w:sz w:val="26"/>
          <w:szCs w:val="26"/>
        </w:rPr>
        <w:t>a</w:t>
      </w:r>
      <w:r w:rsidRPr="272AB492" w:rsidR="0F7B2334">
        <w:rPr>
          <w:rFonts w:ascii="Book Antiqua" w:hAnsi="Book Antiqua" w:eastAsia="Calibri" w:cs="Segoe UI"/>
          <w:sz w:val="26"/>
          <w:szCs w:val="26"/>
        </w:rPr>
        <w:t xml:space="preserve">ccount </w:t>
      </w:r>
      <w:r w:rsidRPr="272AB492" w:rsidR="6E58F640">
        <w:rPr>
          <w:rFonts w:ascii="Book Antiqua" w:hAnsi="Book Antiqua" w:eastAsia="Calibri" w:cs="Segoe UI"/>
          <w:sz w:val="26"/>
          <w:szCs w:val="26"/>
        </w:rPr>
        <w:t>within two months of the adoption date of this decision.</w:t>
      </w:r>
      <w:r w:rsidRPr="2B6FCC19" w:rsidR="58084B75">
        <w:rPr>
          <w:rFonts w:ascii="Book Antiqua" w:hAnsi="Book Antiqua" w:eastAsia="Calibri" w:cs="Segoe UI"/>
          <w:sz w:val="26"/>
          <w:szCs w:val="26"/>
        </w:rPr>
        <w:t xml:space="preserve"> </w:t>
      </w:r>
      <w:r w:rsidRPr="00CF480A" w:rsidR="00CF480A">
        <w:rPr>
          <w:rFonts w:ascii="Book Antiqua" w:hAnsi="Book Antiqua" w:eastAsia="Calibri" w:cs="Segoe UI"/>
          <w:sz w:val="26"/>
          <w:szCs w:val="26"/>
        </w:rPr>
        <w:t xml:space="preserve">The advice </w:t>
      </w:r>
      <w:r w:rsidRPr="00CF480A" w:rsidR="00CF480A">
        <w:rPr>
          <w:rFonts w:ascii="Book Antiqua" w:hAnsi="Book Antiqua" w:eastAsia="Calibri" w:cs="Segoe UI"/>
          <w:sz w:val="26"/>
          <w:szCs w:val="26"/>
        </w:rPr>
        <w:lastRenderedPageBreak/>
        <w:t>letters sh</w:t>
      </w:r>
      <w:r w:rsidR="00005C49">
        <w:rPr>
          <w:rFonts w:ascii="Book Antiqua" w:hAnsi="Book Antiqua" w:eastAsia="Calibri" w:cs="Segoe UI"/>
          <w:sz w:val="26"/>
          <w:szCs w:val="26"/>
        </w:rPr>
        <w:t>ould</w:t>
      </w:r>
      <w:r w:rsidRPr="00CF480A" w:rsidR="00CF480A">
        <w:rPr>
          <w:rFonts w:ascii="Book Antiqua" w:hAnsi="Book Antiqua" w:eastAsia="Calibri" w:cs="Segoe UI"/>
          <w:sz w:val="26"/>
          <w:szCs w:val="26"/>
        </w:rPr>
        <w:t xml:space="preserve"> describe anticipated incremental application-development costs and explain why existing authorized funding is insufficient. The IOUs sh</w:t>
      </w:r>
      <w:r w:rsidR="00005C49">
        <w:rPr>
          <w:rFonts w:ascii="Book Antiqua" w:hAnsi="Book Antiqua" w:eastAsia="Calibri" w:cs="Segoe UI"/>
          <w:sz w:val="26"/>
          <w:szCs w:val="26"/>
        </w:rPr>
        <w:t>ould record application-development costs in</w:t>
      </w:r>
      <w:r w:rsidR="00FE3EE8">
        <w:rPr>
          <w:rFonts w:ascii="Book Antiqua" w:hAnsi="Book Antiqua" w:eastAsia="Calibri" w:cs="Segoe UI"/>
          <w:sz w:val="26"/>
          <w:szCs w:val="26"/>
        </w:rPr>
        <w:t xml:space="preserve"> </w:t>
      </w:r>
      <w:r w:rsidR="00005C49">
        <w:rPr>
          <w:rFonts w:ascii="Book Antiqua" w:hAnsi="Book Antiqua" w:eastAsia="Calibri" w:cs="Segoe UI"/>
          <w:sz w:val="26"/>
          <w:szCs w:val="26"/>
        </w:rPr>
        <w:t>their memorandum accounts established in their Tier 2 advice letters and</w:t>
      </w:r>
      <w:r w:rsidRPr="00CF480A" w:rsidR="00CF480A">
        <w:rPr>
          <w:rFonts w:ascii="Book Antiqua" w:hAnsi="Book Antiqua" w:eastAsia="Calibri" w:cs="Segoe UI"/>
          <w:sz w:val="26"/>
          <w:szCs w:val="26"/>
        </w:rPr>
        <w:t xml:space="preserve"> coordinate accounting for shared expenses to remain within the $500,000 aggregate cap and avoid duplicate recording or recovery. Eligible costs sh</w:t>
      </w:r>
      <w:r w:rsidR="00005C49">
        <w:rPr>
          <w:rFonts w:ascii="Book Antiqua" w:hAnsi="Book Antiqua" w:eastAsia="Calibri" w:cs="Segoe UI"/>
          <w:sz w:val="26"/>
          <w:szCs w:val="26"/>
        </w:rPr>
        <w:t>ould</w:t>
      </w:r>
      <w:r w:rsidRPr="00CF480A" w:rsidR="00CF480A">
        <w:rPr>
          <w:rFonts w:ascii="Book Antiqua" w:hAnsi="Book Antiqua" w:eastAsia="Calibri" w:cs="Segoe UI"/>
          <w:sz w:val="26"/>
          <w:szCs w:val="26"/>
        </w:rPr>
        <w:t xml:space="preserve"> be limited to application development, rather than technology acquisition or deployment, pilot operations, customer incentives, or ongoing program implementation. Recording costs does not establish their reasonableness or authorize recovery.</w:t>
      </w:r>
      <w:r w:rsidR="00CF480A">
        <w:rPr>
          <w:rFonts w:ascii="Book Antiqua" w:hAnsi="Book Antiqua" w:eastAsia="Calibri" w:cs="Segoe UI"/>
          <w:sz w:val="26"/>
          <w:szCs w:val="26"/>
        </w:rPr>
        <w:t xml:space="preserve"> </w:t>
      </w:r>
    </w:p>
    <w:p w:rsidR="00C01A9D" w:rsidP="00F12A79" w:rsidRDefault="00137256" w14:paraId="56DE25A0" w14:textId="64496C59">
      <w:pPr>
        <w:pStyle w:val="Heading3"/>
      </w:pPr>
      <w:bookmarkStart w:name="_Toc1612877674" w:id="62"/>
      <w:bookmarkStart w:name="_Toc243991456" w:id="63"/>
      <w:r>
        <w:t>Predefining</w:t>
      </w:r>
      <w:r w:rsidR="00354E4B">
        <w:t xml:space="preserve"> </w:t>
      </w:r>
      <w:r w:rsidR="003D0D01">
        <w:t xml:space="preserve">Ownership of </w:t>
      </w:r>
      <w:r w:rsidR="00004C9E">
        <w:t>Technolog</w:t>
      </w:r>
      <w:r w:rsidR="001029A8">
        <w:t>y</w:t>
      </w:r>
      <w:bookmarkEnd w:id="62"/>
      <w:bookmarkEnd w:id="63"/>
    </w:p>
    <w:p w:rsidR="00D804C2" w:rsidP="00CE65BF" w:rsidRDefault="000E6D1B" w14:paraId="186734C4" w14:textId="2F76D415">
      <w:pPr>
        <w:pStyle w:val="Standard"/>
      </w:pPr>
      <w:r>
        <w:t xml:space="preserve">The IOUs oppose requiring </w:t>
      </w:r>
      <w:r w:rsidR="009E5CCE">
        <w:t xml:space="preserve">applicants </w:t>
      </w:r>
      <w:r w:rsidR="00A84E01">
        <w:t xml:space="preserve">to </w:t>
      </w:r>
      <w:r w:rsidR="00FB1B1F">
        <w:t xml:space="preserve">specify </w:t>
      </w:r>
      <w:r w:rsidR="009A38D7">
        <w:t xml:space="preserve">whether </w:t>
      </w:r>
      <w:r w:rsidR="00B51006">
        <w:t xml:space="preserve">technological </w:t>
      </w:r>
      <w:r w:rsidR="009543D0">
        <w:t>capabilities</w:t>
      </w:r>
      <w:r w:rsidR="00F74F0E">
        <w:t xml:space="preserve"> should be customer- or utility-owned.</w:t>
      </w:r>
      <w:r w:rsidR="00F74F0E">
        <w:rPr>
          <w:rStyle w:val="FootnoteReference"/>
        </w:rPr>
        <w:footnoteReference w:id="151"/>
      </w:r>
      <w:r w:rsidR="008804D5">
        <w:t xml:space="preserve"> </w:t>
      </w:r>
      <w:r w:rsidR="00D804C2">
        <w:t xml:space="preserve">PG&amp;E </w:t>
      </w:r>
      <w:r w:rsidR="00C1071B">
        <w:t>argues</w:t>
      </w:r>
      <w:r w:rsidR="00A22A24">
        <w:t xml:space="preserve"> that </w:t>
      </w:r>
      <w:r w:rsidR="00C1071B">
        <w:t>“requiring applicants to specify ownership models ex ante could unnecessarily constrain solutions and limit innovation.”</w:t>
      </w:r>
      <w:r w:rsidR="00C1071B">
        <w:rPr>
          <w:rStyle w:val="FootnoteReference"/>
        </w:rPr>
        <w:footnoteReference w:id="152"/>
      </w:r>
      <w:r w:rsidR="00121EF4">
        <w:t xml:space="preserve"> SCE </w:t>
      </w:r>
      <w:r w:rsidR="0073745F">
        <w:t>find</w:t>
      </w:r>
      <w:r w:rsidR="00007B7E">
        <w:t>s</w:t>
      </w:r>
      <w:r w:rsidR="0073745F">
        <w:t xml:space="preserve"> it unnecessary to further define ownership in IOU applications </w:t>
      </w:r>
      <w:r w:rsidR="00F82D17">
        <w:t>because</w:t>
      </w:r>
      <w:r w:rsidR="0073745F">
        <w:t xml:space="preserve"> </w:t>
      </w:r>
      <w:r w:rsidR="003A5BCB">
        <w:t>ownership and cost allocation of proposed technology investments would already be transparent.</w:t>
      </w:r>
      <w:r w:rsidR="003A5BCB">
        <w:rPr>
          <w:rStyle w:val="FootnoteReference"/>
        </w:rPr>
        <w:footnoteReference w:id="153"/>
      </w:r>
      <w:r w:rsidR="000E1968">
        <w:t xml:space="preserve"> </w:t>
      </w:r>
      <w:r w:rsidR="00007B7E">
        <w:t>SDG&amp;E</w:t>
      </w:r>
      <w:r w:rsidR="00A42BA3">
        <w:t xml:space="preserve"> also sees no need for ownership or cost breakdowns in </w:t>
      </w:r>
      <w:r w:rsidR="008249DE">
        <w:t>IOU</w:t>
      </w:r>
      <w:r w:rsidR="00A42BA3">
        <w:t xml:space="preserve"> applications.</w:t>
      </w:r>
      <w:r w:rsidR="00A42BA3">
        <w:rPr>
          <w:rStyle w:val="FootnoteReference"/>
        </w:rPr>
        <w:footnoteReference w:id="154"/>
      </w:r>
    </w:p>
    <w:p w:rsidR="005E4A97" w:rsidP="00EF7BF5" w:rsidRDefault="00672588" w14:paraId="0C4AA449" w14:textId="6EC35D9D">
      <w:pPr>
        <w:pStyle w:val="Standard"/>
      </w:pPr>
      <w:r>
        <w:t>CalCCA</w:t>
      </w:r>
      <w:r w:rsidR="00EF7BF5">
        <w:t xml:space="preserve">, </w:t>
      </w:r>
      <w:proofErr w:type="spellStart"/>
      <w:r w:rsidR="007176AB">
        <w:t>Nexamp</w:t>
      </w:r>
      <w:proofErr w:type="spellEnd"/>
      <w:r w:rsidR="00EF7BF5">
        <w:t xml:space="preserve">, and </w:t>
      </w:r>
      <w:r w:rsidR="005E4A97">
        <w:t>EDF</w:t>
      </w:r>
      <w:r w:rsidR="00EF7BF5">
        <w:t xml:space="preserve"> support</w:t>
      </w:r>
      <w:r w:rsidR="00AC6F35">
        <w:t xml:space="preserve"> applications specifying</w:t>
      </w:r>
      <w:r w:rsidR="00EF7BF5">
        <w:t xml:space="preserve"> whether technological capabilities should be customer- or utility-owned</w:t>
      </w:r>
      <w:r w:rsidR="00AC6F35">
        <w:t>.</w:t>
      </w:r>
      <w:r w:rsidR="00AC6F35">
        <w:rPr>
          <w:rStyle w:val="FootnoteReference"/>
        </w:rPr>
        <w:footnoteReference w:id="155"/>
      </w:r>
      <w:r w:rsidR="00777091">
        <w:t xml:space="preserve"> </w:t>
      </w:r>
      <w:proofErr w:type="spellStart"/>
      <w:r w:rsidR="00317001">
        <w:t>Nexamp</w:t>
      </w:r>
      <w:proofErr w:type="spellEnd"/>
      <w:r w:rsidR="00317001">
        <w:t xml:space="preserve"> </w:t>
      </w:r>
      <w:r w:rsidR="002455F3">
        <w:t xml:space="preserve">supports </w:t>
      </w:r>
      <w:r w:rsidR="00464B16">
        <w:t xml:space="preserve">ownership specification because </w:t>
      </w:r>
      <w:r w:rsidR="00111A86">
        <w:t>“</w:t>
      </w:r>
      <w:r w:rsidRPr="00111A86" w:rsidR="00111A86">
        <w:t xml:space="preserve">ownership and cost allocation </w:t>
      </w:r>
      <w:r w:rsidRPr="00111A86" w:rsidR="00111A86">
        <w:lastRenderedPageBreak/>
        <w:t>directly affect participation, interoperability, and whether DER orchestration delivers actual net ratepayer value.</w:t>
      </w:r>
      <w:r w:rsidR="00111A86">
        <w:t>”</w:t>
      </w:r>
      <w:r w:rsidR="00111A86">
        <w:rPr>
          <w:rStyle w:val="FootnoteReference"/>
        </w:rPr>
        <w:footnoteReference w:id="156"/>
      </w:r>
      <w:r w:rsidR="00111A86">
        <w:t xml:space="preserve"> </w:t>
      </w:r>
      <w:r w:rsidR="00777091">
        <w:t xml:space="preserve">EDF </w:t>
      </w:r>
      <w:r w:rsidR="0023439B">
        <w:t>further</w:t>
      </w:r>
      <w:r w:rsidR="007D036B">
        <w:t xml:space="preserve"> supports applications evaluating which technologies could be either utility</w:t>
      </w:r>
      <w:r w:rsidR="008249DE">
        <w:t>-</w:t>
      </w:r>
      <w:r w:rsidR="007D036B">
        <w:t xml:space="preserve"> or customer</w:t>
      </w:r>
      <w:r w:rsidR="008249DE">
        <w:t>-</w:t>
      </w:r>
      <w:r w:rsidR="007D036B">
        <w:t xml:space="preserve">owned, and </w:t>
      </w:r>
      <w:r w:rsidR="008249DE">
        <w:t xml:space="preserve">the </w:t>
      </w:r>
      <w:r w:rsidR="007D036B">
        <w:t>benefits of each ownership model.</w:t>
      </w:r>
      <w:r w:rsidR="0023439B">
        <w:rPr>
          <w:rStyle w:val="FootnoteReference"/>
        </w:rPr>
        <w:footnoteReference w:id="157"/>
      </w:r>
    </w:p>
    <w:p w:rsidRPr="00F12A79" w:rsidR="00712052" w:rsidP="5529A72C" w:rsidRDefault="332D6C23" w14:paraId="712C6313" w14:textId="650B7ECB">
      <w:pPr>
        <w:pStyle w:val="Standard"/>
      </w:pPr>
      <w:r w:rsidRPr="00F12A79">
        <w:t xml:space="preserve">The Commission agrees that </w:t>
      </w:r>
      <w:r w:rsidRPr="00F12A79" w:rsidR="001629B9">
        <w:t xml:space="preserve">the </w:t>
      </w:r>
      <w:r w:rsidR="00F12A79">
        <w:t>Joint IOU A</w:t>
      </w:r>
      <w:r w:rsidRPr="00F12A79">
        <w:t xml:space="preserve">pplication should </w:t>
      </w:r>
      <w:proofErr w:type="gramStart"/>
      <w:r w:rsidRPr="00F12A79" w:rsidR="00453C4B">
        <w:t>provide at a</w:t>
      </w:r>
      <w:r w:rsidR="003225B0">
        <w:t xml:space="preserve"> </w:t>
      </w:r>
      <w:r w:rsidRPr="00F12A79" w:rsidR="00453C4B">
        <w:t>minimum</w:t>
      </w:r>
      <w:proofErr w:type="gramEnd"/>
      <w:r w:rsidRPr="00F12A79" w:rsidR="00453C4B">
        <w:t xml:space="preserve"> general information as to </w:t>
      </w:r>
      <w:r w:rsidRPr="00F12A79">
        <w:t xml:space="preserve">the </w:t>
      </w:r>
      <w:r w:rsidRPr="00F12A79" w:rsidR="00453C4B">
        <w:t xml:space="preserve">proposed </w:t>
      </w:r>
      <w:r w:rsidRPr="00F12A79">
        <w:t xml:space="preserve">source of funding for proposed technology investments or whether those investments would be customer- or utility owned </w:t>
      </w:r>
      <w:r w:rsidRPr="00F12A79" w:rsidR="005E140D">
        <w:t>as this information will be needed to assess the value and cost to ratepayers for the proposed orchestration framework</w:t>
      </w:r>
      <w:r w:rsidRPr="00F12A79" w:rsidR="003E387A">
        <w:t>.</w:t>
      </w:r>
    </w:p>
    <w:p w:rsidR="007156B9" w:rsidP="0088786D" w:rsidRDefault="00C01A9D" w14:paraId="67C750A5" w14:textId="2219B9FA">
      <w:pPr>
        <w:pStyle w:val="Heading2"/>
      </w:pPr>
      <w:bookmarkStart w:name="_Toc489470672" w:id="64"/>
      <w:bookmarkStart w:name="_Toc243991457" w:id="65"/>
      <w:r>
        <w:t>Phased Implementation and Deployment</w:t>
      </w:r>
      <w:bookmarkEnd w:id="64"/>
      <w:bookmarkEnd w:id="65"/>
    </w:p>
    <w:p w:rsidRPr="005B1EED" w:rsidR="001F2819" w:rsidP="007A645A" w:rsidRDefault="007C130A" w14:paraId="28CDFC36" w14:textId="090B1397">
      <w:pPr>
        <w:pStyle w:val="Standard"/>
      </w:pPr>
      <w:r w:rsidRPr="005B1EED">
        <w:t xml:space="preserve">The March 23 Ruling asked parties to comment on whether the proposed DER </w:t>
      </w:r>
      <w:r w:rsidRPr="005B1EED" w:rsidR="00704B46">
        <w:t xml:space="preserve">orchestration applications </w:t>
      </w:r>
      <w:r w:rsidRPr="005B1EED" w:rsidR="0074578F">
        <w:t>should include a proposed phased implementation and deployment plan, and what elements the plan should contain.</w:t>
      </w:r>
    </w:p>
    <w:p w:rsidRPr="005B1EED" w:rsidR="0074578F" w:rsidP="007A645A" w:rsidRDefault="00F93965" w14:paraId="26CFD832" w14:textId="6AF27BAB">
      <w:pPr>
        <w:pStyle w:val="Standard"/>
      </w:pPr>
      <w:r w:rsidRPr="005B1EED">
        <w:t xml:space="preserve">PG&amp;E, </w:t>
      </w:r>
      <w:r w:rsidRPr="005B1EED" w:rsidR="00862123">
        <w:t xml:space="preserve">SCE, </w:t>
      </w:r>
      <w:r w:rsidRPr="005B1EED" w:rsidR="00587AC6">
        <w:t xml:space="preserve">SDG&amp;E, </w:t>
      </w:r>
      <w:r w:rsidRPr="005B1EED" w:rsidR="004C44A6">
        <w:t xml:space="preserve">CalCCA, </w:t>
      </w:r>
      <w:proofErr w:type="spellStart"/>
      <w:r w:rsidRPr="005B1EED" w:rsidR="008D6369">
        <w:t>Nexamp</w:t>
      </w:r>
      <w:proofErr w:type="spellEnd"/>
      <w:r w:rsidRPr="005B1EED" w:rsidR="008D6369">
        <w:t xml:space="preserve">, </w:t>
      </w:r>
      <w:r w:rsidRPr="005B1EED" w:rsidR="007A0CEC">
        <w:t xml:space="preserve">SBUA, </w:t>
      </w:r>
      <w:r w:rsidRPr="005B1EED" w:rsidR="00C73A86">
        <w:t xml:space="preserve">EDF, and </w:t>
      </w:r>
      <w:proofErr w:type="spellStart"/>
      <w:r w:rsidRPr="005B1EED" w:rsidR="00C73A86">
        <w:t>EnergyHub</w:t>
      </w:r>
      <w:proofErr w:type="spellEnd"/>
      <w:r w:rsidRPr="005B1EED" w:rsidR="00C92668">
        <w:t xml:space="preserve"> support</w:t>
      </w:r>
      <w:r w:rsidRPr="005B1EED">
        <w:t xml:space="preserve"> proposed applications including a phased implementation and deployment plan.</w:t>
      </w:r>
      <w:r w:rsidRPr="00DF7927" w:rsidR="00A91DA3">
        <w:rPr>
          <w:rStyle w:val="FootnoteReference"/>
        </w:rPr>
        <w:footnoteReference w:id="158"/>
      </w:r>
      <w:r w:rsidRPr="005B1EED" w:rsidR="00A91DA3">
        <w:t xml:space="preserve"> </w:t>
      </w:r>
      <w:proofErr w:type="spellStart"/>
      <w:r w:rsidR="002A1363">
        <w:t>EnergyHub</w:t>
      </w:r>
      <w:proofErr w:type="spellEnd"/>
      <w:r w:rsidR="002A1363">
        <w:t xml:space="preserve"> </w:t>
      </w:r>
      <w:r w:rsidR="00991E27">
        <w:t>stresses an incremental phased implementation approach with priority for scalable applications.</w:t>
      </w:r>
      <w:r w:rsidR="00F3119B">
        <w:rPr>
          <w:rStyle w:val="FootnoteReference"/>
        </w:rPr>
        <w:footnoteReference w:id="159"/>
      </w:r>
      <w:r w:rsidR="00F3119B">
        <w:t xml:space="preserve"> </w:t>
      </w:r>
      <w:r w:rsidRPr="005B1EED" w:rsidR="005B0A44">
        <w:t>The IOUs</w:t>
      </w:r>
      <w:r w:rsidRPr="005B1EED" w:rsidR="00BD77B9">
        <w:t xml:space="preserve"> </w:t>
      </w:r>
      <w:r w:rsidRPr="005B1EED" w:rsidR="003D4752">
        <w:t xml:space="preserve">propose </w:t>
      </w:r>
      <w:r w:rsidRPr="005B1EED" w:rsidR="00FC161A">
        <w:t xml:space="preserve">a phased </w:t>
      </w:r>
      <w:r w:rsidRPr="005B1EED" w:rsidR="00FC161A">
        <w:lastRenderedPageBreak/>
        <w:t xml:space="preserve">approach starting with </w:t>
      </w:r>
      <w:r w:rsidRPr="005B1EED" w:rsidR="00AC585C">
        <w:t>pilots</w:t>
      </w:r>
      <w:r w:rsidRPr="005B1EED" w:rsidR="00D44F5F">
        <w:t xml:space="preserve"> to inform operational readiness.</w:t>
      </w:r>
      <w:r w:rsidRPr="00BF134A" w:rsidR="004F48FD">
        <w:rPr>
          <w:rStyle w:val="FootnoteReference"/>
        </w:rPr>
        <w:footnoteReference w:id="160"/>
      </w:r>
      <w:r w:rsidRPr="005B1EED" w:rsidR="00702D6E">
        <w:t xml:space="preserve"> </w:t>
      </w:r>
      <w:r w:rsidR="00211009">
        <w:t xml:space="preserve">PG&amp;E further suggests that </w:t>
      </w:r>
      <w:r w:rsidRPr="00541203" w:rsidR="00541203">
        <w:t>“rather than delaying implementation until all outstanding policy questions have been resolved, the Commission should establish core guardrails and enable a pathway for targeted demonstration activities designed to generate operational experience</w:t>
      </w:r>
      <w:r w:rsidR="00596EAE">
        <w:t>.”</w:t>
      </w:r>
      <w:r w:rsidR="00596EAE">
        <w:rPr>
          <w:rStyle w:val="FootnoteReference"/>
        </w:rPr>
        <w:footnoteReference w:id="161"/>
      </w:r>
      <w:r w:rsidR="00596EAE">
        <w:t xml:space="preserve"> </w:t>
      </w:r>
      <w:r w:rsidR="001F62F2">
        <w:t xml:space="preserve">SCE has several </w:t>
      </w:r>
      <w:r w:rsidR="00A31362">
        <w:t>relevant planned demonstrations, pilots, and studies</w:t>
      </w:r>
      <w:r w:rsidR="00A5332B">
        <w:t xml:space="preserve"> underway.</w:t>
      </w:r>
      <w:r w:rsidR="00A5332B">
        <w:rPr>
          <w:rStyle w:val="FootnoteReference"/>
        </w:rPr>
        <w:footnoteReference w:id="162"/>
      </w:r>
      <w:r w:rsidR="00913EBC">
        <w:t xml:space="preserve"> </w:t>
      </w:r>
      <w:r w:rsidRPr="005B1EED" w:rsidR="00702D6E">
        <w:t xml:space="preserve">CalCCA </w:t>
      </w:r>
      <w:r w:rsidRPr="005B1EED" w:rsidR="002F6455">
        <w:t xml:space="preserve">recommends </w:t>
      </w:r>
      <w:r w:rsidRPr="005B1EED" w:rsidR="00840880">
        <w:t xml:space="preserve">joint pilots between IOUs and CCAs to leverage </w:t>
      </w:r>
      <w:r w:rsidRPr="005B1EED" w:rsidR="00F233D0">
        <w:t xml:space="preserve">existing CCA customer agreements </w:t>
      </w:r>
      <w:r w:rsidRPr="005B1EED" w:rsidR="00EC23E4">
        <w:t>and</w:t>
      </w:r>
      <w:r w:rsidRPr="005B1EED" w:rsidR="009F14F4">
        <w:t xml:space="preserve"> </w:t>
      </w:r>
      <w:r w:rsidRPr="005B1EED" w:rsidR="00222A69">
        <w:t>DERMS</w:t>
      </w:r>
      <w:r w:rsidRPr="005B1EED" w:rsidR="00110BFE">
        <w:t xml:space="preserve"> that can integrate with IOU</w:t>
      </w:r>
      <w:r w:rsidRPr="005B1EED" w:rsidR="005516A4">
        <w:t xml:space="preserve"> systems.</w:t>
      </w:r>
      <w:r w:rsidRPr="00BF134A" w:rsidR="00C266ED">
        <w:rPr>
          <w:rStyle w:val="FootnoteReference"/>
        </w:rPr>
        <w:footnoteReference w:id="163"/>
      </w:r>
      <w:r w:rsidRPr="005B1EED" w:rsidR="004D2EE6">
        <w:t xml:space="preserve"> </w:t>
      </w:r>
      <w:r w:rsidR="009D752F">
        <w:t>CALSSA</w:t>
      </w:r>
      <w:r w:rsidRPr="005B1EED" w:rsidR="004D2EE6">
        <w:t xml:space="preserve"> </w:t>
      </w:r>
      <w:r w:rsidRPr="005B1EED" w:rsidR="00860326">
        <w:t xml:space="preserve">opposes </w:t>
      </w:r>
      <w:r w:rsidRPr="005B1EED" w:rsidR="00F777A6">
        <w:t xml:space="preserve">continuing pilots </w:t>
      </w:r>
      <w:r w:rsidRPr="005B1EED" w:rsidR="002B6EA5">
        <w:t xml:space="preserve">and </w:t>
      </w:r>
      <w:r w:rsidRPr="005B1EED" w:rsidR="00850834">
        <w:t xml:space="preserve">recommends </w:t>
      </w:r>
      <w:r w:rsidRPr="005B1EED" w:rsidR="009C55C2">
        <w:t xml:space="preserve">focusing phased implementation on </w:t>
      </w:r>
      <w:r w:rsidRPr="005B1EED" w:rsidR="00850834">
        <w:t xml:space="preserve">real programs </w:t>
      </w:r>
      <w:r w:rsidRPr="005B1EED" w:rsidR="009C55C2">
        <w:t xml:space="preserve">launched </w:t>
      </w:r>
      <w:r w:rsidRPr="005B1EED" w:rsidR="006E42B4">
        <w:t>in priority regions</w:t>
      </w:r>
      <w:r w:rsidRPr="005B1EED" w:rsidR="009C55C2">
        <w:t>.</w:t>
      </w:r>
      <w:r w:rsidRPr="00BF134A" w:rsidR="00607C0C">
        <w:rPr>
          <w:rStyle w:val="FootnoteReference"/>
        </w:rPr>
        <w:footnoteReference w:id="164"/>
      </w:r>
    </w:p>
    <w:p w:rsidR="00906312" w:rsidP="008D0218" w:rsidRDefault="004212C7" w14:paraId="1345273F" w14:textId="2B991E81">
      <w:proofErr w:type="spellStart"/>
      <w:r w:rsidRPr="003532F5">
        <w:t>Nexamp</w:t>
      </w:r>
      <w:proofErr w:type="spellEnd"/>
      <w:r w:rsidRPr="003532F5" w:rsidR="00AD1752">
        <w:t xml:space="preserve"> </w:t>
      </w:r>
      <w:r w:rsidRPr="003532F5" w:rsidR="008056ED">
        <w:t xml:space="preserve">states that phased implementation plans, if </w:t>
      </w:r>
      <w:r w:rsidRPr="003532F5" w:rsidR="00A00625">
        <w:t>included in IOU applications, should identify pilot locations and use cases</w:t>
      </w:r>
      <w:r w:rsidR="00BC6508">
        <w:t>;</w:t>
      </w:r>
      <w:r w:rsidRPr="003532F5" w:rsidR="00A00625">
        <w:t xml:space="preserve"> rea</w:t>
      </w:r>
      <w:r w:rsidRPr="003532F5" w:rsidR="005F46DF">
        <w:t>diness and technology requirements (including ADMS/DERMS, data, communications, and interoperability); customer eligibility and participation pathways; performance metrics and evaluation criteria; a timeline for scaling from static/scheduled approaches to more dynamic orchestration; and clear decision points for expansion, refinement, or termination based on results</w:t>
      </w:r>
      <w:r w:rsidR="000E374F">
        <w:t>.</w:t>
      </w:r>
      <w:r w:rsidRPr="003532F5" w:rsidR="005F46DF">
        <w:t>"</w:t>
      </w:r>
      <w:r w:rsidR="004D3539">
        <w:rPr>
          <w:rStyle w:val="FootnoteReference"/>
        </w:rPr>
        <w:footnoteReference w:id="165"/>
      </w:r>
      <w:r w:rsidR="00730B1D">
        <w:t xml:space="preserve"> SDG&amp;E recommends </w:t>
      </w:r>
      <w:r w:rsidR="00730B1D">
        <w:lastRenderedPageBreak/>
        <w:t>that the Commission define a standardized pilot-reporting template so that pilots are documented consistently across IOUs.</w:t>
      </w:r>
      <w:r w:rsidR="00730B1D">
        <w:rPr>
          <w:rStyle w:val="FootnoteReference"/>
        </w:rPr>
        <w:footnoteReference w:id="166"/>
      </w:r>
    </w:p>
    <w:p w:rsidR="000F57B3" w:rsidP="008A18EB" w:rsidRDefault="00F75A88" w14:paraId="3B7FFA82" w14:textId="3B3B5BDE">
      <w:r w:rsidRPr="005B1EED">
        <w:t>Cal Advocates argues that the Commission does not yet have sufficient information to evaluate</w:t>
      </w:r>
      <w:r w:rsidR="00714556">
        <w:t xml:space="preserve"> the merits of </w:t>
      </w:r>
      <w:r w:rsidRPr="005B1EED">
        <w:t>phased DER orchestration deployment</w:t>
      </w:r>
      <w:r w:rsidR="00714556">
        <w:t xml:space="preserve"> by IOUs</w:t>
      </w:r>
      <w:r w:rsidRPr="005B1EED">
        <w:t>.</w:t>
      </w:r>
      <w:r w:rsidRPr="00032827">
        <w:rPr>
          <w:rStyle w:val="FootnoteReference"/>
        </w:rPr>
        <w:footnoteReference w:id="167"/>
      </w:r>
      <w:r w:rsidRPr="005B1EED">
        <w:t xml:space="preserve"> A</w:t>
      </w:r>
      <w:r w:rsidR="00B328F2">
        <w:t>EU</w:t>
      </w:r>
      <w:r w:rsidRPr="005B1EED">
        <w:t xml:space="preserve"> suggests that phased implementation should be considered after the Commission has defined clear objectives regarding fundamental framework components and consistent statewide infrastructure, platforms</w:t>
      </w:r>
      <w:r w:rsidR="008A18EB">
        <w:t>,</w:t>
      </w:r>
      <w:r w:rsidRPr="005B1EED">
        <w:t xml:space="preserve"> and processes.</w:t>
      </w:r>
      <w:r>
        <w:rPr>
          <w:rStyle w:val="FootnoteReference"/>
        </w:rPr>
        <w:footnoteReference w:id="168"/>
      </w:r>
      <w:r w:rsidRPr="005B1EED">
        <w:t xml:space="preserve"> Cal</w:t>
      </w:r>
      <w:r>
        <w:t xml:space="preserve"> </w:t>
      </w:r>
      <w:r w:rsidRPr="005B1EED">
        <w:t xml:space="preserve">Advocates </w:t>
      </w:r>
      <w:r w:rsidR="000E374F">
        <w:t>argues</w:t>
      </w:r>
      <w:r w:rsidRPr="005B1EED">
        <w:t xml:space="preserve"> that phasing should be included in the GRC, not </w:t>
      </w:r>
      <w:r w:rsidR="000E374F">
        <w:t xml:space="preserve">in </w:t>
      </w:r>
      <w:r w:rsidRPr="005B1EED">
        <w:t>a stand</w:t>
      </w:r>
      <w:r w:rsidR="00E33C96">
        <w:t>-</w:t>
      </w:r>
      <w:r w:rsidRPr="005B1EED">
        <w:t>alone IOU application</w:t>
      </w:r>
      <w:r>
        <w:t>.</w:t>
      </w:r>
      <w:r w:rsidRPr="00032827">
        <w:rPr>
          <w:rStyle w:val="FootnoteReference"/>
        </w:rPr>
        <w:footnoteReference w:id="169"/>
      </w:r>
    </w:p>
    <w:p w:rsidR="00FE3EE8" w:rsidP="00FE3EE8" w:rsidRDefault="00FE3EE8" w14:paraId="20C7B28A" w14:textId="6C488E58">
      <w:r>
        <w:t xml:space="preserve">The Commission agrees with CALSSA that the IOUs should focus on phased DER orchestration program implementation and deployment rather than launch new pilots or limited deployment programs. The working group shall develop recommendations for a common DER orchestration application framework to guide the IOUs’ proposals. As mentioned above, the proceeding should take a two-phase approach, addressing the framework prior to </w:t>
      </w:r>
      <w:r w:rsidR="00741A25">
        <w:t xml:space="preserve">further review and refinement of the proposed </w:t>
      </w:r>
      <w:r>
        <w:t>implementation and program deployment p</w:t>
      </w:r>
      <w:r w:rsidR="00741A25">
        <w:t>lan</w:t>
      </w:r>
      <w:r>
        <w:t xml:space="preserve">s </w:t>
      </w:r>
      <w:r w:rsidR="00741A25">
        <w:t xml:space="preserve">submitted with the joint application </w:t>
      </w:r>
      <w:r>
        <w:t xml:space="preserve">to ensure the implementation supports the adopted common framework. Each IOU shall propose a utility-specific approach to design, phased implementation, and deployment that reflects its capabilities and readiness and is consistent with the proposed common framework. This </w:t>
      </w:r>
      <w:r w:rsidR="00274495">
        <w:t>proposal</w:t>
      </w:r>
      <w:r>
        <w:t xml:space="preserve"> should be included in the joint </w:t>
      </w:r>
      <w:proofErr w:type="gramStart"/>
      <w:r>
        <w:t>application, but</w:t>
      </w:r>
      <w:proofErr w:type="gramEnd"/>
      <w:r>
        <w:t xml:space="preserve"> </w:t>
      </w:r>
      <w:r w:rsidR="00274495">
        <w:t>may require subsequent revisions or additional detail</w:t>
      </w:r>
      <w:r>
        <w:t xml:space="preserve"> in the </w:t>
      </w:r>
      <w:r>
        <w:lastRenderedPageBreak/>
        <w:t>second phase of the proceeding to ensure that the implementation proposals are designed to support the adopted framework. A dedicated application proceeding will allow the Commission to consider the common framework and utility-specific proposals through a phased approach, conduct workshops as necessary, and address implementation and cost recovery. Additionally, an application will allow for record development under the direct control of the Commission, as compared to the advice letter process proposed by PG&amp;E</w:t>
      </w:r>
      <w:r w:rsidDel="00CD345B">
        <w:t>.</w:t>
      </w:r>
      <w:r>
        <w:t xml:space="preserve"> This will allow for robust review and modification as needed, with opportunity for further party participation. </w:t>
      </w:r>
    </w:p>
    <w:p w:rsidRPr="008A18EB" w:rsidR="00FE3EE8" w:rsidP="00FE3EE8" w:rsidRDefault="00FE3EE8" w14:paraId="4DE403ED" w14:textId="424A8825">
      <w:r>
        <w:t>Accordingly, PG&amp;E, SCE, and SDG&amp;E shall file a joint DER Orchestration Application within 12 months of issuance of this decision, proposing the common DER Orchestration framework and including each respective utility-specific implementation and deployment plan that will be further developed in the second phase of the proceeding.</w:t>
      </w:r>
      <w:r w:rsidRPr="35ABCD6E">
        <w:rPr>
          <w:rStyle w:val="FootnoteReference"/>
        </w:rPr>
        <w:footnoteReference w:id="170"/>
      </w:r>
      <w:r>
        <w:t xml:space="preserve"> </w:t>
      </w:r>
    </w:p>
    <w:p w:rsidR="00906312" w:rsidP="00B328F2" w:rsidRDefault="00906312" w14:paraId="5EFF5548" w14:textId="7DC2D329">
      <w:pPr>
        <w:pStyle w:val="Heading2"/>
      </w:pPr>
      <w:bookmarkStart w:name="_Toc1946901504" w:id="66"/>
      <w:bookmarkStart w:name="_Toc243991458" w:id="67"/>
      <w:r>
        <w:t xml:space="preserve">Compatibility of </w:t>
      </w:r>
      <w:r w:rsidR="000D6390">
        <w:t xml:space="preserve">DER </w:t>
      </w:r>
      <w:r w:rsidR="00E149A8">
        <w:t>O</w:t>
      </w:r>
      <w:r w:rsidR="000D6390">
        <w:t>rchestration</w:t>
      </w:r>
      <w:r>
        <w:t xml:space="preserve"> with Potential Rollout of Real-Time Pricing</w:t>
      </w:r>
      <w:bookmarkEnd w:id="66"/>
      <w:bookmarkEnd w:id="67"/>
    </w:p>
    <w:p w:rsidRPr="00EF70B0" w:rsidR="00906312" w:rsidP="008848B3" w:rsidRDefault="00B24594" w14:paraId="04778A3F" w14:textId="50E1442A">
      <w:pPr>
        <w:pStyle w:val="Standard"/>
      </w:pPr>
      <w:r w:rsidRPr="00EF70B0">
        <w:t xml:space="preserve">The IOUs offer </w:t>
      </w:r>
      <w:r w:rsidR="00315B2F">
        <w:t>dynamic</w:t>
      </w:r>
      <w:r w:rsidRPr="00EF70B0">
        <w:t xml:space="preserve"> pricing that reflects the hourly variation in electricity costs due to changes in demand.</w:t>
      </w:r>
      <w:r w:rsidRPr="00EF70B0" w:rsidR="00A46BE2">
        <w:t xml:space="preserve"> </w:t>
      </w:r>
      <w:r w:rsidR="00EF70B0">
        <w:t>The March 23 Ruling asked parties</w:t>
      </w:r>
      <w:r w:rsidRPr="00EF70B0" w:rsidR="00A46BE2">
        <w:t xml:space="preserve"> to comment o</w:t>
      </w:r>
      <w:r w:rsidRPr="00EF70B0" w:rsidR="00334293">
        <w:t xml:space="preserve">n how DER orchestration </w:t>
      </w:r>
      <w:r w:rsidRPr="00EF70B0" w:rsidR="00F07FD2">
        <w:t xml:space="preserve">can be complementary and compatible with </w:t>
      </w:r>
      <w:r w:rsidRPr="00EF70B0" w:rsidR="003A3512">
        <w:t>real-time pricing.</w:t>
      </w:r>
    </w:p>
    <w:p w:rsidR="00C14476" w:rsidP="00906312" w:rsidRDefault="00906312" w14:paraId="15949B27" w14:textId="77777777">
      <w:pPr>
        <w:pStyle w:val="Standard"/>
      </w:pPr>
      <w:r>
        <w:t xml:space="preserve">PG&amp;E, SCE, SDG&amp;E, UCAN, </w:t>
      </w:r>
      <w:r w:rsidR="009D752F">
        <w:t>CALSSA</w:t>
      </w:r>
      <w:r>
        <w:t xml:space="preserve">, </w:t>
      </w:r>
      <w:r w:rsidR="007A7163">
        <w:t xml:space="preserve">Weave Grid, </w:t>
      </w:r>
      <w:r>
        <w:t xml:space="preserve">and </w:t>
      </w:r>
      <w:proofErr w:type="spellStart"/>
      <w:r>
        <w:t>Nexamp</w:t>
      </w:r>
      <w:proofErr w:type="spellEnd"/>
      <w:r>
        <w:t xml:space="preserve"> support DER orchestration </w:t>
      </w:r>
      <w:r w:rsidR="00DD2186">
        <w:t xml:space="preserve">and real-time </w:t>
      </w:r>
      <w:r w:rsidR="002D216A">
        <w:t xml:space="preserve">(or </w:t>
      </w:r>
      <w:r w:rsidR="009F1B9E">
        <w:t>dynamic</w:t>
      </w:r>
      <w:r w:rsidR="002D216A">
        <w:t>)</w:t>
      </w:r>
      <w:r w:rsidR="009F1B9E">
        <w:t xml:space="preserve"> </w:t>
      </w:r>
      <w:r w:rsidR="00DD2186">
        <w:t xml:space="preserve">pricing </w:t>
      </w:r>
      <w:r>
        <w:t>remaining complementary but separate tools.</w:t>
      </w:r>
      <w:r w:rsidR="007A7163">
        <w:rPr>
          <w:rStyle w:val="FootnoteReference"/>
        </w:rPr>
        <w:footnoteReference w:id="171"/>
      </w:r>
      <w:r>
        <w:t xml:space="preserve"> As PG&amp;E explains, </w:t>
      </w:r>
      <w:r w:rsidR="00CD7AFA">
        <w:t>“r</w:t>
      </w:r>
      <w:r w:rsidRPr="00CD7AFA" w:rsidR="00CD7AFA">
        <w:t xml:space="preserve">eal-time pricing is best suited for use </w:t>
      </w:r>
      <w:r w:rsidRPr="00CD7AFA" w:rsidR="00CD7AFA">
        <w:lastRenderedPageBreak/>
        <w:t xml:space="preserve">cases where safe and reliable operation of the utility system isn’t contingent upon voluntary customer action. </w:t>
      </w:r>
      <w:r w:rsidR="000D6390">
        <w:t>DER orchestration</w:t>
      </w:r>
      <w:r w:rsidRPr="00CD7AFA" w:rsidR="00CD7AFA">
        <w:t xml:space="preserve"> is complementary to real-time pricing in that it delivers more precise, dispatchable, and firm load management that can be deployed against localized distribution and transmission grid needs</w:t>
      </w:r>
      <w:r>
        <w:t>.</w:t>
      </w:r>
      <w:r w:rsidR="00E159E3">
        <w:t>”</w:t>
      </w:r>
      <w:r>
        <w:rPr>
          <w:rStyle w:val="FootnoteReference"/>
        </w:rPr>
        <w:footnoteReference w:id="172"/>
      </w:r>
      <w:r>
        <w:t xml:space="preserve"> SCE explains that its dynamic rate system is limited in its ability to target localized constraints, and DER orchestration is better positioned to defer investment in the distribution system.</w:t>
      </w:r>
      <w:r>
        <w:rPr>
          <w:rStyle w:val="FootnoteReference"/>
        </w:rPr>
        <w:footnoteReference w:id="173"/>
      </w:r>
      <w:r>
        <w:t xml:space="preserve"> SDG&amp;E notes several beneficial interaction points between orchestration and </w:t>
      </w:r>
      <w:r w:rsidR="003750FA">
        <w:t>real-time</w:t>
      </w:r>
      <w:r>
        <w:t xml:space="preserve"> pricing, including the fact that DER orchestration planning must account for expected customer responses to pricing.</w:t>
      </w:r>
      <w:r>
        <w:rPr>
          <w:rStyle w:val="FootnoteReference"/>
        </w:rPr>
        <w:footnoteReference w:id="174"/>
      </w:r>
      <w:r>
        <w:t xml:space="preserve"> </w:t>
      </w:r>
    </w:p>
    <w:p w:rsidR="00906312" w:rsidP="00906312" w:rsidRDefault="00906312" w14:paraId="78FF3341" w14:textId="60EA3F8B">
      <w:pPr>
        <w:pStyle w:val="Standard"/>
      </w:pPr>
      <w:r>
        <w:t>EDF and 350 Bay Area discuss these interaction points by noting that DER orchestration, when coordinated with real-time pricing structures, could ensure that price signals and dispatch signals are aligned.</w:t>
      </w:r>
      <w:r>
        <w:rPr>
          <w:rStyle w:val="FootnoteReference"/>
        </w:rPr>
        <w:footnoteReference w:id="175"/>
      </w:r>
      <w:r>
        <w:t xml:space="preserve"> </w:t>
      </w:r>
      <w:proofErr w:type="spellStart"/>
      <w:r>
        <w:t>EnergyHub</w:t>
      </w:r>
      <w:proofErr w:type="spellEnd"/>
      <w:r>
        <w:t xml:space="preserve"> further explains the beneficial interaction between coordinated real-time pricing structures and DER orchestration as “dual optimization</w:t>
      </w:r>
      <w:r w:rsidR="00B92553">
        <w:t>,</w:t>
      </w:r>
      <w:r>
        <w:t>” ensuring that customers save money while maintaining grid reliability.</w:t>
      </w:r>
      <w:r w:rsidR="009B5271">
        <w:rPr>
          <w:rStyle w:val="FootnoteReference"/>
        </w:rPr>
        <w:footnoteReference w:id="176"/>
      </w:r>
      <w:r>
        <w:t xml:space="preserve"> </w:t>
      </w:r>
      <w:proofErr w:type="spellStart"/>
      <w:r>
        <w:t>EnergyHub</w:t>
      </w:r>
      <w:proofErr w:type="spellEnd"/>
      <w:r>
        <w:t xml:space="preserve"> illustrates this concept </w:t>
      </w:r>
      <w:r w:rsidR="008C7A05">
        <w:t xml:space="preserve">by </w:t>
      </w:r>
      <w:r>
        <w:t>using the example of Edge-DERMS software adjusting device behavior based on grid reliability needs and real-time price signals.</w:t>
      </w:r>
      <w:r>
        <w:rPr>
          <w:rStyle w:val="FootnoteReference"/>
        </w:rPr>
        <w:footnoteReference w:id="177"/>
      </w:r>
    </w:p>
    <w:p w:rsidRPr="007655E2" w:rsidR="00900C5B" w:rsidP="007655E2" w:rsidRDefault="00906312" w14:paraId="1FB061C7" w14:textId="6F8FEFF6">
      <w:pPr>
        <w:pStyle w:val="Standard"/>
      </w:pPr>
      <w:r>
        <w:lastRenderedPageBreak/>
        <w:t xml:space="preserve">Cal Advocates argues that real-time pricing </w:t>
      </w:r>
      <w:r w:rsidR="00BB0D94">
        <w:t xml:space="preserve">is </w:t>
      </w:r>
      <w:r>
        <w:t>not central to DER orchestration at this stage, and coordination should only be considered after further evaluation of pricing effectiveness.</w:t>
      </w:r>
      <w:r>
        <w:rPr>
          <w:rStyle w:val="FootnoteReference"/>
        </w:rPr>
        <w:footnoteReference w:id="178"/>
      </w:r>
    </w:p>
    <w:p w:rsidRPr="00900C5B" w:rsidR="00D124C0" w:rsidP="34DB8FE0" w:rsidRDefault="00D124C0" w14:paraId="7F29CE51" w14:textId="04EB4EA7">
      <w:pPr>
        <w:pStyle w:val="Standard"/>
      </w:pPr>
      <w:r w:rsidRPr="00900C5B">
        <w:t xml:space="preserve">The Commission agrees that </w:t>
      </w:r>
      <w:r w:rsidR="5C1C840D">
        <w:t>dynamic pricing and DER orchestration are compl</w:t>
      </w:r>
      <w:r w:rsidR="00DC1E57">
        <w:t>e</w:t>
      </w:r>
      <w:r w:rsidR="5C1C840D">
        <w:t xml:space="preserve">mentary but distinct tools. </w:t>
      </w:r>
      <w:r w:rsidRPr="5740249D" w:rsidR="5C1C840D">
        <w:rPr>
          <w:rFonts w:eastAsia="Calibri" w:cs="Arial"/>
        </w:rPr>
        <w:t xml:space="preserve">Whereas dynamic pricing </w:t>
      </w:r>
      <w:r w:rsidR="00D06808">
        <w:rPr>
          <w:rFonts w:eastAsia="Calibri" w:cs="Arial"/>
        </w:rPr>
        <w:t>typically</w:t>
      </w:r>
      <w:r w:rsidRPr="5740249D" w:rsidR="5C1C840D">
        <w:rPr>
          <w:rFonts w:eastAsia="Calibri" w:cs="Arial"/>
        </w:rPr>
        <w:t xml:space="preserve"> </w:t>
      </w:r>
      <w:r w:rsidRPr="7D2681C1" w:rsidR="7D2681C1">
        <w:rPr>
          <w:rFonts w:eastAsia="Calibri" w:cs="Arial"/>
        </w:rPr>
        <w:t>assigns</w:t>
      </w:r>
      <w:r w:rsidRPr="5740249D" w:rsidR="5C1C840D">
        <w:rPr>
          <w:rFonts w:eastAsia="Calibri" w:cs="Arial"/>
        </w:rPr>
        <w:t xml:space="preserve"> value through price signals based on system conditions, DER orchestration </w:t>
      </w:r>
      <w:r w:rsidRPr="3688753C" w:rsidR="3688753C">
        <w:rPr>
          <w:rFonts w:eastAsia="Calibri" w:cs="Arial"/>
        </w:rPr>
        <w:t>more</w:t>
      </w:r>
      <w:r w:rsidRPr="5740249D" w:rsidR="5C1C840D">
        <w:rPr>
          <w:rFonts w:eastAsia="Calibri" w:cs="Arial"/>
        </w:rPr>
        <w:t xml:space="preserve"> directly </w:t>
      </w:r>
      <w:r w:rsidRPr="3688753C" w:rsidR="3688753C">
        <w:rPr>
          <w:rFonts w:eastAsia="Calibri" w:cs="Arial"/>
        </w:rPr>
        <w:t>targets</w:t>
      </w:r>
      <w:r w:rsidRPr="5740249D" w:rsidR="5C1C840D">
        <w:rPr>
          <w:rFonts w:eastAsia="Calibri" w:cs="Arial"/>
        </w:rPr>
        <w:t xml:space="preserve"> specific system needs that vary by location and use case.</w:t>
      </w:r>
      <w:r w:rsidRPr="5740249D" w:rsidR="6BB8F5D4">
        <w:rPr>
          <w:rFonts w:eastAsia="Calibri" w:cs="Arial"/>
        </w:rPr>
        <w:t xml:space="preserve"> </w:t>
      </w:r>
      <w:r w:rsidRPr="15CB5B96" w:rsidR="15CB5B96">
        <w:t xml:space="preserve">The Commission also recognizes, consistent with SDG&amp;E, EDF, 350 Bay Area, and </w:t>
      </w:r>
      <w:proofErr w:type="spellStart"/>
      <w:r w:rsidRPr="15CB5B96" w:rsidR="15CB5B96">
        <w:t>EnergyHub</w:t>
      </w:r>
      <w:proofErr w:type="spellEnd"/>
      <w:r w:rsidRPr="15CB5B96" w:rsidR="15CB5B96">
        <w:t xml:space="preserve">, that dynamic pricing is closely related to DER orchestration and may inform aspects of its development. For example, customer responses to dynamic pricing may affect load patterns and the availability or timing of DER flexibility. </w:t>
      </w:r>
      <w:r w:rsidR="008B3A6A">
        <w:t xml:space="preserve">Dynamic pricing may </w:t>
      </w:r>
      <w:r w:rsidR="00530F86">
        <w:t xml:space="preserve">also </w:t>
      </w:r>
      <w:r w:rsidR="00B86BC9">
        <w:t xml:space="preserve">influence the cost-effectiveness of specific DER </w:t>
      </w:r>
      <w:r w:rsidR="00C43504">
        <w:t xml:space="preserve">technology </w:t>
      </w:r>
      <w:r w:rsidR="001B7046">
        <w:t>deployment use</w:t>
      </w:r>
      <w:r w:rsidR="00B328F2">
        <w:t xml:space="preserve"> </w:t>
      </w:r>
      <w:r w:rsidR="001B7046">
        <w:t xml:space="preserve">cases or </w:t>
      </w:r>
      <w:r w:rsidR="00410E05">
        <w:t>investments by customers to deploy specific DERs</w:t>
      </w:r>
      <w:r w:rsidR="00403D0B">
        <w:t xml:space="preserve"> that </w:t>
      </w:r>
      <w:r w:rsidR="00C44EDD">
        <w:t>could</w:t>
      </w:r>
      <w:r w:rsidR="0098649F">
        <w:t xml:space="preserve"> </w:t>
      </w:r>
      <w:r w:rsidR="00773925">
        <w:t xml:space="preserve">in turn </w:t>
      </w:r>
      <w:r w:rsidR="0098649F">
        <w:t xml:space="preserve">affect </w:t>
      </w:r>
      <w:r w:rsidR="00C44EDD">
        <w:t xml:space="preserve">the </w:t>
      </w:r>
      <w:r w:rsidR="00C43504">
        <w:t>capabilities</w:t>
      </w:r>
      <w:r w:rsidR="00C44EDD">
        <w:t xml:space="preserve"> or value of</w:t>
      </w:r>
      <w:r w:rsidR="0098649F">
        <w:t xml:space="preserve"> </w:t>
      </w:r>
      <w:r w:rsidR="00773925">
        <w:t>a</w:t>
      </w:r>
      <w:r w:rsidR="00C44EDD">
        <w:t xml:space="preserve"> </w:t>
      </w:r>
      <w:r w:rsidR="008B1D8B">
        <w:t>DER orchestration</w:t>
      </w:r>
      <w:r w:rsidR="00C43504">
        <w:t xml:space="preserve"> </w:t>
      </w:r>
      <w:r w:rsidR="00773925">
        <w:t>mechanism</w:t>
      </w:r>
      <w:r w:rsidR="00C43504">
        <w:t xml:space="preserve">. </w:t>
      </w:r>
    </w:p>
    <w:p w:rsidRPr="00900C5B" w:rsidR="00D124C0" w:rsidP="00906312" w:rsidRDefault="0CE3352A" w14:paraId="7C7895EF" w14:textId="6227820B">
      <w:pPr>
        <w:pStyle w:val="Standard"/>
      </w:pPr>
      <w:r w:rsidRPr="0CE3352A">
        <w:t>The record demonstrates sufficient interaction between the two to</w:t>
      </w:r>
      <w:r w:rsidR="00B736C8">
        <w:t xml:space="preserve"> require </w:t>
      </w:r>
      <w:r w:rsidR="00E2285E">
        <w:t>the Joint</w:t>
      </w:r>
      <w:r w:rsidR="00B736C8">
        <w:t xml:space="preserve"> IOU DER </w:t>
      </w:r>
      <w:r w:rsidR="003841AE">
        <w:t>O</w:t>
      </w:r>
      <w:r w:rsidR="00B736C8">
        <w:t xml:space="preserve">rchestration </w:t>
      </w:r>
      <w:r w:rsidR="003841AE">
        <w:t>A</w:t>
      </w:r>
      <w:r w:rsidR="00B736C8">
        <w:t>pplication to include</w:t>
      </w:r>
      <w:r w:rsidRPr="0CE3352A">
        <w:t xml:space="preserve"> consideration of dynamic pricing, where relevant, in the development of DER orchestration.</w:t>
      </w:r>
      <w:r w:rsidR="77C8CFAF">
        <w:t xml:space="preserve"> </w:t>
      </w:r>
    </w:p>
    <w:p w:rsidR="00625464" w:rsidP="003841AE" w:rsidRDefault="001E488F" w14:paraId="1AB7F2A2" w14:textId="6EC6FBE7">
      <w:pPr>
        <w:pStyle w:val="Heading1"/>
      </w:pPr>
      <w:bookmarkStart w:name="_Toc286998456" w:id="68"/>
      <w:bookmarkStart w:name="_Toc243991459" w:id="69"/>
      <w:r>
        <w:t xml:space="preserve">Track 1 </w:t>
      </w:r>
      <w:bookmarkStart w:name="_Toc236126277" w:id="70"/>
      <w:r w:rsidR="003025AE">
        <w:t>DP</w:t>
      </w:r>
      <w:r w:rsidR="003A56A8">
        <w:t>E</w:t>
      </w:r>
      <w:r w:rsidR="003025AE">
        <w:t>P Issues</w:t>
      </w:r>
      <w:bookmarkEnd w:id="68"/>
      <w:bookmarkEnd w:id="69"/>
    </w:p>
    <w:p w:rsidRPr="00121089" w:rsidR="00625464" w:rsidP="003841AE" w:rsidRDefault="00625464" w14:paraId="1D562FEA" w14:textId="1245CC36">
      <w:pPr>
        <w:pStyle w:val="Heading2"/>
      </w:pPr>
      <w:bookmarkStart w:name="_Toc2101614008" w:id="71"/>
      <w:bookmarkStart w:name="_Toc243991460" w:id="72"/>
      <w:r w:rsidRPr="00121089">
        <w:t>Background</w:t>
      </w:r>
      <w:bookmarkEnd w:id="70"/>
      <w:bookmarkEnd w:id="71"/>
      <w:bookmarkEnd w:id="72"/>
    </w:p>
    <w:p w:rsidR="00625464" w:rsidP="003841AE" w:rsidRDefault="00BE4B79" w14:paraId="0E78DF81" w14:textId="308C2104">
      <w:pPr>
        <w:pStyle w:val="Heading3"/>
      </w:pPr>
      <w:bookmarkStart w:name="_Toc236126278" w:id="73"/>
      <w:bookmarkStart w:name="_Toc17029888" w:id="74"/>
      <w:bookmarkStart w:name="_Toc243991461" w:id="75"/>
      <w:r>
        <w:t xml:space="preserve">Electrification Impact </w:t>
      </w:r>
      <w:r w:rsidRPr="003841AE">
        <w:t>Study</w:t>
      </w:r>
      <w:r>
        <w:t xml:space="preserve"> Part 2 (EIS</w:t>
      </w:r>
      <w:r w:rsidR="00095A50">
        <w:t xml:space="preserve"> Part </w:t>
      </w:r>
      <w:r>
        <w:t>2)</w:t>
      </w:r>
      <w:bookmarkEnd w:id="73"/>
      <w:bookmarkEnd w:id="74"/>
      <w:bookmarkEnd w:id="75"/>
    </w:p>
    <w:p w:rsidR="00625464" w:rsidP="00625464" w:rsidRDefault="00625464" w14:paraId="4E2313E1" w14:textId="4259D0DF">
      <w:pPr>
        <w:pStyle w:val="Standard"/>
      </w:pPr>
      <w:r w:rsidRPr="00AC53BE">
        <w:t>P</w:t>
      </w:r>
      <w:r w:rsidR="00FD66BB">
        <w:t>u</w:t>
      </w:r>
      <w:r w:rsidRPr="00AC53BE">
        <w:t>r</w:t>
      </w:r>
      <w:r w:rsidR="00BE4B79">
        <w:t>suant to</w:t>
      </w:r>
      <w:r w:rsidR="003841AE">
        <w:t xml:space="preserve"> Code</w:t>
      </w:r>
      <w:r w:rsidR="5AE3A926">
        <w:t xml:space="preserve"> </w:t>
      </w:r>
      <w:r>
        <w:t>Section</w:t>
      </w:r>
      <w:r w:rsidRPr="00AC53BE">
        <w:t xml:space="preserve"> 218, </w:t>
      </w:r>
      <w:r w:rsidR="00BE4B79">
        <w:t>each IOU</w:t>
      </w:r>
      <w:r>
        <w:t xml:space="preserve"> is responsible for </w:t>
      </w:r>
      <w:r w:rsidR="00BD05AD">
        <w:t>owning, controlling, operating, and managing the distribution system. As part of th</w:t>
      </w:r>
      <w:r w:rsidR="007C2FF0">
        <w:t>is role</w:t>
      </w:r>
      <w:r w:rsidR="00BD05AD">
        <w:t xml:space="preserve">, the IOUs </w:t>
      </w:r>
      <w:r>
        <w:t>engag</w:t>
      </w:r>
      <w:r w:rsidR="00BD05AD">
        <w:t>e</w:t>
      </w:r>
      <w:r>
        <w:t xml:space="preserve"> in an annual</w:t>
      </w:r>
      <w:r w:rsidRPr="005A7589">
        <w:t xml:space="preserve"> DP</w:t>
      </w:r>
      <w:r w:rsidR="00617FA3">
        <w:t>E</w:t>
      </w:r>
      <w:r w:rsidRPr="005A7589">
        <w:t>P</w:t>
      </w:r>
      <w:r w:rsidR="00BE4B79">
        <w:t>,</w:t>
      </w:r>
      <w:r w:rsidRPr="005A7589">
        <w:t xml:space="preserve"> </w:t>
      </w:r>
      <w:r>
        <w:t xml:space="preserve">which </w:t>
      </w:r>
      <w:r w:rsidRPr="005A7589">
        <w:t xml:space="preserve">uses forecasts of future electricity </w:t>
      </w:r>
      <w:r w:rsidRPr="005A7589">
        <w:lastRenderedPageBreak/>
        <w:t>demand</w:t>
      </w:r>
      <w:r>
        <w:t xml:space="preserve"> and a historical load profile review</w:t>
      </w:r>
      <w:r w:rsidRPr="005A7589">
        <w:t xml:space="preserve"> to identify grid needs and </w:t>
      </w:r>
      <w:r w:rsidR="00FD66BB">
        <w:t xml:space="preserve">to </w:t>
      </w:r>
      <w:r w:rsidRPr="005A7589">
        <w:t xml:space="preserve">plan solutions to upgrade the grid. For each solution, an </w:t>
      </w:r>
      <w:r w:rsidR="003841AE">
        <w:t>e</w:t>
      </w:r>
      <w:r w:rsidRPr="005A7589">
        <w:t xml:space="preserve">xecution </w:t>
      </w:r>
      <w:r w:rsidR="003841AE">
        <w:t>p</w:t>
      </w:r>
      <w:r w:rsidRPr="005A7589">
        <w:t xml:space="preserve">rocess </w:t>
      </w:r>
      <w:r>
        <w:t>creat</w:t>
      </w:r>
      <w:r w:rsidR="00FD66BB">
        <w:t>e</w:t>
      </w:r>
      <w:r w:rsidR="7654D617">
        <w:t>s</w:t>
      </w:r>
      <w:r w:rsidRPr="005A7589">
        <w:t xml:space="preserve"> the workplan and schedule</w:t>
      </w:r>
      <w:r w:rsidR="008A37C9">
        <w:t xml:space="preserve"> and complete</w:t>
      </w:r>
      <w:r w:rsidRPr="005A7589">
        <w:t xml:space="preserve"> detailed project planning, design, </w:t>
      </w:r>
      <w:r w:rsidR="00B640C2">
        <w:t>p</w:t>
      </w:r>
      <w:r w:rsidRPr="005A7589">
        <w:t>ermitting, and construction.</w:t>
      </w:r>
      <w:r w:rsidRPr="00D27E3F">
        <w:t xml:space="preserve"> </w:t>
      </w:r>
    </w:p>
    <w:p w:rsidR="00625464" w:rsidP="00625464" w:rsidRDefault="332D6C23" w14:paraId="32BE8B89" w14:textId="34D2F325">
      <w:pPr>
        <w:pStyle w:val="Standard"/>
      </w:pPr>
      <w:r>
        <w:t xml:space="preserve">D.24-10-030 </w:t>
      </w:r>
      <w:r w:rsidR="003D5F4E">
        <w:t xml:space="preserve">directed the </w:t>
      </w:r>
      <w:r w:rsidR="00017CD6">
        <w:t>large IOUs to conduct an Electrification Impact Study</w:t>
      </w:r>
      <w:r>
        <w:t xml:space="preserve"> </w:t>
      </w:r>
      <w:r w:rsidR="00017CD6">
        <w:t>(</w:t>
      </w:r>
      <w:r>
        <w:t>EIS</w:t>
      </w:r>
      <w:r w:rsidR="00017CD6">
        <w:t>)</w:t>
      </w:r>
      <w:r w:rsidR="003573C6">
        <w:t xml:space="preserve"> Part </w:t>
      </w:r>
      <w:r>
        <w:t>2</w:t>
      </w:r>
      <w:r w:rsidR="00017CD6">
        <w:t xml:space="preserve"> t</w:t>
      </w:r>
      <w:r w:rsidR="00FB18DD">
        <w:t>o</w:t>
      </w:r>
      <w:r>
        <w:t xml:space="preserve"> estimat</w:t>
      </w:r>
      <w:r w:rsidR="00091075">
        <w:t>e</w:t>
      </w:r>
      <w:r>
        <w:t xml:space="preserve"> and assess</w:t>
      </w:r>
      <w:r w:rsidR="00091075">
        <w:t xml:space="preserve"> the</w:t>
      </w:r>
      <w:r>
        <w:t xml:space="preserve"> potential costs of meeting electrification needs under multiple mitigated scenarios</w:t>
      </w:r>
      <w:r w:rsidR="004B37FD">
        <w:t>.</w:t>
      </w:r>
      <w:r w:rsidR="004C5A03">
        <w:rPr>
          <w:rStyle w:val="FootnoteReference"/>
        </w:rPr>
        <w:footnoteReference w:id="179"/>
      </w:r>
      <w:r w:rsidR="004B37FD">
        <w:t xml:space="preserve"> This would then</w:t>
      </w:r>
      <w:r>
        <w:t xml:space="preserve"> produce learnings that could be applied to each utility’s DPEP to improve</w:t>
      </w:r>
      <w:r w:rsidR="00DC54CA">
        <w:t xml:space="preserve"> </w:t>
      </w:r>
      <w:r w:rsidR="004B37FD">
        <w:t>d</w:t>
      </w:r>
      <w:r>
        <w:t xml:space="preserve">istribution planning to leverage the potential for load flexibility to reduce distribution infrastructure capital costs. </w:t>
      </w:r>
    </w:p>
    <w:p w:rsidR="00625464" w:rsidP="00625464" w:rsidRDefault="332D6C23" w14:paraId="52FBD6B8" w14:textId="25FC95B7">
      <w:pPr>
        <w:pStyle w:val="Standard"/>
      </w:pPr>
      <w:proofErr w:type="gramStart"/>
      <w:r>
        <w:t>The EIS</w:t>
      </w:r>
      <w:proofErr w:type="gramEnd"/>
      <w:r w:rsidR="00F0592F">
        <w:t xml:space="preserve"> Part </w:t>
      </w:r>
      <w:r>
        <w:t xml:space="preserve">2 estimates and assesses the potential impacts (e.g., potential costs of upgrading the primary and secondary distribution grid) of meeting electrification needs under multiple scenarios (Base Case, Equity, </w:t>
      </w:r>
      <w:r w:rsidR="224658C8">
        <w:t xml:space="preserve">and </w:t>
      </w:r>
      <w:r>
        <w:t xml:space="preserve">Demand Flexibility). It includes scenarios that estimate a range of costs and resources required to address identified grid needs. The first scenario is the Base Scenario, which uses the 2023 California Energy Commission (CEC) Integrated Energy Policy Report (IEPR) Local Reliability forecast to model the distribution system impacts of DER integration. Another scenario, the Equity Scenario, forecasts the distribution system impacts of adopting DERs in </w:t>
      </w:r>
      <w:r w:rsidR="00E80C5C">
        <w:t>“</w:t>
      </w:r>
      <w:r>
        <w:t>high-priority communities</w:t>
      </w:r>
      <w:r w:rsidR="00E80C5C">
        <w:t>”</w:t>
      </w:r>
      <w:r>
        <w:t xml:space="preserve"> (low income, disadvantaged, and </w:t>
      </w:r>
      <w:r w:rsidR="00E80C5C">
        <w:t>Tribal</w:t>
      </w:r>
      <w:r>
        <w:t xml:space="preserve">) at equal rates as </w:t>
      </w:r>
      <w:r w:rsidR="00E80C5C">
        <w:t>other communities, in contrast to the expected base case in which DERs are deployed at a slower pace in low-income, disadvantaged, and Tribal communities than other communities</w:t>
      </w:r>
      <w:r>
        <w:t xml:space="preserve">. Finally, the Demand Flexibility Scenario applies load flexibility modifiers to various DER and electrification technologies to assess possible reductions in </w:t>
      </w:r>
      <w:r>
        <w:lastRenderedPageBreak/>
        <w:t>needed infrastructure upgrades.</w:t>
      </w:r>
      <w:r w:rsidRPr="332D6C23" w:rsidR="00625464">
        <w:rPr>
          <w:rStyle w:val="FootnoteReference"/>
        </w:rPr>
        <w:footnoteReference w:id="180"/>
      </w:r>
      <w:r>
        <w:t xml:space="preserve"> </w:t>
      </w:r>
      <w:r w:rsidR="36182E51">
        <w:t>PG&amp;E’s Enhanced Demand Flexibility Scenario also considers the impact of load shedding</w:t>
      </w:r>
      <w:r w:rsidR="00B706CE">
        <w:t>, as does</w:t>
      </w:r>
      <w:r w:rsidR="54FD8FB5">
        <w:t xml:space="preserve"> SDG&amp;E’s Demand Flexibility Scenario.</w:t>
      </w:r>
    </w:p>
    <w:p w:rsidRPr="00F35B17" w:rsidR="00625464" w:rsidP="00625464" w:rsidRDefault="00625464" w14:paraId="2269236B" w14:textId="08CD4168">
      <w:pPr>
        <w:pStyle w:val="Standard"/>
      </w:pPr>
      <w:r>
        <w:t>Because the EIS</w:t>
      </w:r>
      <w:r w:rsidR="00F0592F">
        <w:t xml:space="preserve"> Part </w:t>
      </w:r>
      <w:r>
        <w:t>2 includes mitigation strategies to avoid infrastructure upgrades, the</w:t>
      </w:r>
      <w:r w:rsidR="00B640C2">
        <w:t xml:space="preserve"> question addressed in this proceeding is whether, and how, </w:t>
      </w:r>
      <w:r>
        <w:t>to integrate the findings from the EIS</w:t>
      </w:r>
      <w:r w:rsidR="00F0592F">
        <w:t xml:space="preserve"> Part </w:t>
      </w:r>
      <w:r>
        <w:t>2 into the DPEP.</w:t>
      </w:r>
      <w:r>
        <w:rPr>
          <w:rStyle w:val="FootnoteReference"/>
        </w:rPr>
        <w:footnoteReference w:id="181"/>
      </w:r>
      <w:r>
        <w:t xml:space="preserve"> This decision determines wh</w:t>
      </w:r>
      <w:r w:rsidR="00B640C2">
        <w:t>ich</w:t>
      </w:r>
      <w:r>
        <w:t xml:space="preserve"> pieces of the EIS</w:t>
      </w:r>
      <w:r w:rsidR="00F0592F">
        <w:t xml:space="preserve"> Part </w:t>
      </w:r>
      <w:r>
        <w:t xml:space="preserve">2 are ready for integration into future </w:t>
      </w:r>
      <w:r w:rsidR="28B89DD6">
        <w:t xml:space="preserve">distribution </w:t>
      </w:r>
      <w:r>
        <w:t xml:space="preserve">planning </w:t>
      </w:r>
      <w:r w:rsidR="2CE9323B">
        <w:t>cycles</w:t>
      </w:r>
      <w:r>
        <w:t xml:space="preserve">.  </w:t>
      </w:r>
    </w:p>
    <w:p w:rsidR="00625464" w:rsidP="00A50387" w:rsidRDefault="002B3F08" w14:paraId="368079CB" w14:textId="39F43059">
      <w:pPr>
        <w:pStyle w:val="Heading3"/>
      </w:pPr>
      <w:bookmarkStart w:name="_Toc8123717" w:id="76"/>
      <w:bookmarkStart w:name="_Toc236126279" w:id="77"/>
      <w:bookmarkStart w:name="_Toc1153478780" w:id="78"/>
      <w:bookmarkStart w:name="_Toc243991462" w:id="79"/>
      <w:r>
        <w:t xml:space="preserve">Additional </w:t>
      </w:r>
      <w:r w:rsidR="00625464">
        <w:t xml:space="preserve">Procedural </w:t>
      </w:r>
      <w:r w:rsidRPr="00A50387" w:rsidR="00625464">
        <w:t>Background</w:t>
      </w:r>
      <w:bookmarkEnd w:id="76"/>
      <w:bookmarkEnd w:id="77"/>
      <w:bookmarkEnd w:id="78"/>
      <w:bookmarkEnd w:id="79"/>
    </w:p>
    <w:p w:rsidR="00625464" w:rsidP="00F65FE8" w:rsidRDefault="00625464" w14:paraId="5CF946CE" w14:textId="70B5EC4D">
      <w:pPr>
        <w:pStyle w:val="Standard"/>
      </w:pPr>
      <w:r>
        <w:t xml:space="preserve">On March 13, 2024, </w:t>
      </w:r>
      <w:r w:rsidR="000F67EC">
        <w:t>a</w:t>
      </w:r>
      <w:r w:rsidR="003573C6">
        <w:t>n</w:t>
      </w:r>
      <w:r w:rsidR="000F67EC">
        <w:t xml:space="preserve"> ALJ ruling attached a</w:t>
      </w:r>
      <w:r>
        <w:t xml:space="preserve"> Staff Proposal describing the standard DPEP process that </w:t>
      </w:r>
      <w:r w:rsidR="004134AE">
        <w:t>is</w:t>
      </w:r>
      <w:r>
        <w:t xml:space="preserve"> targeted in Track 1 of th</w:t>
      </w:r>
      <w:r w:rsidR="00F65FE8">
        <w:t>is proceeding</w:t>
      </w:r>
      <w:r w:rsidR="00366A5C">
        <w:t xml:space="preserve">, with </w:t>
      </w:r>
      <w:r>
        <w:t xml:space="preserve">the </w:t>
      </w:r>
      <w:r w:rsidR="00366A5C">
        <w:t xml:space="preserve">proposed </w:t>
      </w:r>
      <w:r>
        <w:t>goal of being more forward-looking in the DPEP process.</w:t>
      </w:r>
      <w:r w:rsidR="004134AE">
        <w:rPr>
          <w:rStyle w:val="FootnoteReference"/>
        </w:rPr>
        <w:footnoteReference w:id="182"/>
      </w:r>
      <w:r w:rsidR="004134AE">
        <w:t xml:space="preserve"> </w:t>
      </w:r>
      <w:r w:rsidR="000F67EC">
        <w:t>The ALJ</w:t>
      </w:r>
      <w:r>
        <w:t xml:space="preserve"> </w:t>
      </w:r>
      <w:r w:rsidR="000F67EC">
        <w:t xml:space="preserve">ruling </w:t>
      </w:r>
      <w:r>
        <w:t xml:space="preserve">requested that the utilities produce a load flexibility assessment to </w:t>
      </w:r>
      <w:r w:rsidRPr="00A65D0F">
        <w:t>examine how future load shapes resulting from a range of flexible load strategies could impact distribution planning such as controlling distribution upgrade costs.</w:t>
      </w:r>
      <w:r w:rsidR="004134AE">
        <w:rPr>
          <w:rStyle w:val="FootnoteReference"/>
        </w:rPr>
        <w:footnoteReference w:id="183"/>
      </w:r>
    </w:p>
    <w:p w:rsidR="00625464" w:rsidP="00F65FE8" w:rsidRDefault="00E35B84" w14:paraId="3D988029" w14:textId="52B996F7">
      <w:pPr>
        <w:pStyle w:val="Standard"/>
      </w:pPr>
      <w:r>
        <w:t>D.</w:t>
      </w:r>
      <w:r w:rsidR="00625464">
        <w:t>24-10-030 instructed the IOUs to file a draft EIS</w:t>
      </w:r>
      <w:r w:rsidR="00F0592F">
        <w:t xml:space="preserve"> Part </w:t>
      </w:r>
      <w:r w:rsidR="00625464">
        <w:t>2 study with a</w:t>
      </w:r>
      <w:r w:rsidR="0C3BCC82">
        <w:t xml:space="preserve"> Base Case Scenario,</w:t>
      </w:r>
      <w:r w:rsidR="00625464">
        <w:t xml:space="preserve"> </w:t>
      </w:r>
      <w:r w:rsidR="00F65FE8">
        <w:t>E</w:t>
      </w:r>
      <w:r w:rsidR="00625464">
        <w:t xml:space="preserve">quity </w:t>
      </w:r>
      <w:r w:rsidR="00165AA0">
        <w:t>S</w:t>
      </w:r>
      <w:r w:rsidR="00625464">
        <w:t>cenario</w:t>
      </w:r>
      <w:r w:rsidR="003841AE">
        <w:t>,</w:t>
      </w:r>
      <w:r w:rsidR="00625464">
        <w:t xml:space="preserve"> and a </w:t>
      </w:r>
      <w:r w:rsidR="00F65FE8">
        <w:t>D</w:t>
      </w:r>
      <w:r w:rsidR="00625464">
        <w:t xml:space="preserve">emand </w:t>
      </w:r>
      <w:r w:rsidR="00F65FE8">
        <w:t>F</w:t>
      </w:r>
      <w:r w:rsidR="00625464">
        <w:t xml:space="preserve">lexibility </w:t>
      </w:r>
      <w:r w:rsidR="00165AA0">
        <w:t>S</w:t>
      </w:r>
      <w:r w:rsidR="00625464">
        <w:t xml:space="preserve">cenario by September 30, </w:t>
      </w:r>
      <w:r w:rsidR="00E86C78">
        <w:t>2025,</w:t>
      </w:r>
      <w:r w:rsidR="00625464">
        <w:t xml:space="preserve"> and to file the finalized EIS</w:t>
      </w:r>
      <w:r w:rsidR="00262DE7">
        <w:t xml:space="preserve"> Part </w:t>
      </w:r>
      <w:r w:rsidR="00625464">
        <w:t xml:space="preserve">2 report 120 days later. </w:t>
      </w:r>
      <w:r>
        <w:t xml:space="preserve">On </w:t>
      </w:r>
      <w:r w:rsidR="00F65FE8">
        <w:t>January 22, 2025</w:t>
      </w:r>
      <w:r>
        <w:t xml:space="preserve">, an </w:t>
      </w:r>
      <w:r w:rsidR="00F65FE8">
        <w:t xml:space="preserve">Assigned </w:t>
      </w:r>
      <w:r w:rsidR="00135B9C">
        <w:t>Commissioner’s</w:t>
      </w:r>
      <w:r w:rsidR="00F65FE8">
        <w:t xml:space="preserve"> and </w:t>
      </w:r>
      <w:r>
        <w:t>ALJ ruling</w:t>
      </w:r>
      <w:r w:rsidR="00625464">
        <w:t xml:space="preserve"> directed the IOUs to incorporate the load flexibility assessment required in the Staff Proposal into the </w:t>
      </w:r>
      <w:r w:rsidR="008A37C9">
        <w:t>D</w:t>
      </w:r>
      <w:r w:rsidR="00625464">
        <w:t xml:space="preserve">emand </w:t>
      </w:r>
      <w:r w:rsidR="008A37C9">
        <w:t>F</w:t>
      </w:r>
      <w:r w:rsidR="00625464">
        <w:t xml:space="preserve">lexibility </w:t>
      </w:r>
      <w:r w:rsidR="00165AA0">
        <w:t>S</w:t>
      </w:r>
      <w:r>
        <w:t xml:space="preserve">cenario </w:t>
      </w:r>
      <w:r w:rsidR="00625464">
        <w:t>in the EIS</w:t>
      </w:r>
      <w:r w:rsidR="00262DE7">
        <w:t xml:space="preserve"> Part </w:t>
      </w:r>
      <w:r w:rsidR="00625464">
        <w:t xml:space="preserve">2 study. </w:t>
      </w:r>
      <w:r w:rsidDel="00A900B5" w:rsidR="00625464">
        <w:t xml:space="preserve">The </w:t>
      </w:r>
      <w:r w:rsidDel="00A900B5">
        <w:t xml:space="preserve">ruling </w:t>
      </w:r>
      <w:r w:rsidDel="00A900B5" w:rsidR="00625464">
        <w:t xml:space="preserve">also set a </w:t>
      </w:r>
      <w:r w:rsidDel="00A900B5" w:rsidR="00625464">
        <w:lastRenderedPageBreak/>
        <w:t xml:space="preserve">preliminary timeline for a workshop to be held on the initial </w:t>
      </w:r>
      <w:r w:rsidR="00625464">
        <w:t>EIS</w:t>
      </w:r>
      <w:r w:rsidR="00262DE7">
        <w:t xml:space="preserve"> Part </w:t>
      </w:r>
      <w:r w:rsidR="00625464">
        <w:t>2</w:t>
      </w:r>
      <w:r w:rsidDel="00A900B5" w:rsidR="00625464">
        <w:t xml:space="preserve"> assumptions, party comments, and comment incorporation. </w:t>
      </w:r>
      <w:r w:rsidDel="009E4FB6" w:rsidR="00F65FE8">
        <w:t>Finally, that ruling sought</w:t>
      </w:r>
      <w:r w:rsidDel="009E4FB6" w:rsidR="00625464">
        <w:t xml:space="preserve"> </w:t>
      </w:r>
      <w:r w:rsidDel="009E4FB6" w:rsidR="00F65FE8">
        <w:t xml:space="preserve">party </w:t>
      </w:r>
      <w:r w:rsidDel="009E4FB6" w:rsidR="00625464">
        <w:t xml:space="preserve">comments on modifying the due date for the filing of the </w:t>
      </w:r>
      <w:r w:rsidR="00625464">
        <w:t>EIS</w:t>
      </w:r>
      <w:r w:rsidR="00262DE7">
        <w:t xml:space="preserve"> Part </w:t>
      </w:r>
      <w:r w:rsidR="00625464">
        <w:t>2</w:t>
      </w:r>
      <w:r w:rsidDel="009E4FB6" w:rsidR="00625464">
        <w:t xml:space="preserve"> studies, proposing that the due date of the final </w:t>
      </w:r>
      <w:r w:rsidR="176A1244">
        <w:t>reports</w:t>
      </w:r>
      <w:r w:rsidDel="009E4FB6" w:rsidR="00625464">
        <w:t xml:space="preserve"> be moved to </w:t>
      </w:r>
      <w:r w:rsidDel="009E4FB6" w:rsidR="00ED5DA0">
        <w:t>12</w:t>
      </w:r>
      <w:r w:rsidDel="009E4FB6" w:rsidR="00625464">
        <w:t xml:space="preserve">0 days after </w:t>
      </w:r>
      <w:r w:rsidDel="009E4FB6" w:rsidR="008A37C9">
        <w:t xml:space="preserve">the original </w:t>
      </w:r>
      <w:r w:rsidDel="009E4FB6" w:rsidR="00625464">
        <w:t xml:space="preserve">September 30, </w:t>
      </w:r>
      <w:r w:rsidDel="009E4FB6" w:rsidR="008378E4">
        <w:t>2025,</w:t>
      </w:r>
      <w:r w:rsidDel="009E4FB6" w:rsidR="008A37C9">
        <w:t xml:space="preserve"> delivery date</w:t>
      </w:r>
      <w:r w:rsidR="00625464">
        <w:t xml:space="preserve">. </w:t>
      </w:r>
    </w:p>
    <w:p w:rsidR="00625464" w:rsidP="00ED5DA0" w:rsidRDefault="00625464" w14:paraId="1E798435" w14:textId="0583E20A">
      <w:pPr>
        <w:pStyle w:val="Standard"/>
      </w:pPr>
      <w:r>
        <w:t>On January 28, 2026, the IOUs filed final drafts of their EIS</w:t>
      </w:r>
      <w:r w:rsidR="00262DE7">
        <w:t xml:space="preserve"> Part </w:t>
      </w:r>
      <w:r>
        <w:t>2 reports.</w:t>
      </w:r>
    </w:p>
    <w:p w:rsidR="00625464" w:rsidP="00ED5DA0" w:rsidRDefault="00625464" w14:paraId="36D19A87" w14:textId="270429ED">
      <w:pPr>
        <w:pStyle w:val="Standard"/>
      </w:pPr>
      <w:r>
        <w:t xml:space="preserve">On May 8, 2026, an Assigned Commissioners’ </w:t>
      </w:r>
      <w:r w:rsidR="00095A50">
        <w:t>R</w:t>
      </w:r>
      <w:r>
        <w:t xml:space="preserve">uling </w:t>
      </w:r>
      <w:r w:rsidR="00C8604A">
        <w:t xml:space="preserve">(May 8 Ruling) </w:t>
      </w:r>
      <w:r w:rsidR="00A609AC">
        <w:t xml:space="preserve">sought </w:t>
      </w:r>
      <w:r>
        <w:t xml:space="preserve">party </w:t>
      </w:r>
      <w:r w:rsidR="008A37C9">
        <w:t>response</w:t>
      </w:r>
      <w:r>
        <w:t xml:space="preserve">s </w:t>
      </w:r>
      <w:r w:rsidR="00A609AC">
        <w:t>to questions about the possible use of the EIS</w:t>
      </w:r>
      <w:r w:rsidR="00262DE7">
        <w:t xml:space="preserve"> Part </w:t>
      </w:r>
      <w:r w:rsidR="00A609AC">
        <w:t>2 final reports</w:t>
      </w:r>
      <w:r w:rsidR="7D8B5E02">
        <w:t xml:space="preserve"> in the DPEP</w:t>
      </w:r>
      <w:r>
        <w:t xml:space="preserve">. </w:t>
      </w:r>
    </w:p>
    <w:p w:rsidR="00625464" w:rsidP="00ED5DA0" w:rsidRDefault="00625464" w14:paraId="22220C81" w14:textId="17433C60">
      <w:pPr>
        <w:pStyle w:val="Standard"/>
      </w:pPr>
      <w:r>
        <w:t>On May 29, 2026, the IOUs, Cal Advocates, EDF, SBUA, VGIC, and CalCCA filed opening comments on the EIS</w:t>
      </w:r>
      <w:r w:rsidR="00495D38">
        <w:t xml:space="preserve"> Part </w:t>
      </w:r>
      <w:r>
        <w:t>2 final reports. Clean Coalition filed their opening comments late on June 1, 2026</w:t>
      </w:r>
      <w:r w:rsidR="001A056F">
        <w:t>,</w:t>
      </w:r>
      <w:r>
        <w:t xml:space="preserve"> after filing a motion seeking permission to late-file comments. Permission was granted by the assigned A</w:t>
      </w:r>
      <w:r w:rsidR="00A609AC">
        <w:t xml:space="preserve">LJ on </w:t>
      </w:r>
      <w:r w:rsidR="007D08C1">
        <w:t>June 2, 2026</w:t>
      </w:r>
      <w:r>
        <w:t xml:space="preserve">. </w:t>
      </w:r>
    </w:p>
    <w:p w:rsidRPr="00E734D7" w:rsidR="00625464" w:rsidP="007D08C1" w:rsidRDefault="00625464" w14:paraId="0F467414" w14:textId="30319195">
      <w:pPr>
        <w:pStyle w:val="Standard"/>
      </w:pPr>
      <w:r>
        <w:t xml:space="preserve">On June 5, 2026, the IOUs, Clean Coalition, and UCAN submitted reply comments. </w:t>
      </w:r>
    </w:p>
    <w:p w:rsidR="00625464" w:rsidP="00A50387" w:rsidRDefault="00095A50" w14:paraId="4772252D" w14:textId="1EE9995B">
      <w:pPr>
        <w:pStyle w:val="Heading2"/>
      </w:pPr>
      <w:bookmarkStart w:name="_Toc236126282" w:id="80"/>
      <w:bookmarkStart w:name="_Toc379271662" w:id="81"/>
      <w:bookmarkStart w:name="_Toc243991463" w:id="82"/>
      <w:r>
        <w:t>EIS</w:t>
      </w:r>
      <w:r w:rsidR="00262DE7">
        <w:t xml:space="preserve"> Part </w:t>
      </w:r>
      <w:r>
        <w:t xml:space="preserve">2 </w:t>
      </w:r>
      <w:r w:rsidR="00625464">
        <w:t xml:space="preserve">Findings and </w:t>
      </w:r>
      <w:r w:rsidRPr="00A50387" w:rsidR="00625464">
        <w:t>Learnings</w:t>
      </w:r>
      <w:bookmarkEnd w:id="80"/>
      <w:bookmarkEnd w:id="81"/>
      <w:bookmarkEnd w:id="82"/>
    </w:p>
    <w:p w:rsidRPr="00083FC9" w:rsidR="00625464" w:rsidP="00625464" w:rsidRDefault="00625464" w14:paraId="01091B66" w14:textId="3FC62D94">
      <w:pPr>
        <w:pStyle w:val="Standard"/>
      </w:pPr>
      <w:r>
        <w:t>The first two questions regarding the EIS</w:t>
      </w:r>
      <w:r w:rsidR="00262DE7">
        <w:t xml:space="preserve"> Part </w:t>
      </w:r>
      <w:r>
        <w:t>2</w:t>
      </w:r>
      <w:r w:rsidR="00262DE7">
        <w:t xml:space="preserve"> reports</w:t>
      </w:r>
      <w:r>
        <w:t xml:space="preserve"> asked parties to assess general findings and learnings and how could </w:t>
      </w:r>
      <w:r w:rsidR="001E5365">
        <w:t xml:space="preserve">these findings </w:t>
      </w:r>
      <w:r>
        <w:t xml:space="preserve">be incorporated into and used by the annual DPEP. The parties’ answers are discussed below. </w:t>
      </w:r>
    </w:p>
    <w:p w:rsidR="00625464" w:rsidP="00A50387" w:rsidRDefault="00625464" w14:paraId="556CC8AF" w14:textId="6ED86CD5">
      <w:pPr>
        <w:pStyle w:val="Heading3"/>
      </w:pPr>
      <w:bookmarkStart w:name="_Toc236126283" w:id="83"/>
      <w:bookmarkStart w:name="_Toc344553499" w:id="84"/>
      <w:bookmarkStart w:name="_Toc243991464" w:id="85"/>
      <w:r>
        <w:t>EIS</w:t>
      </w:r>
      <w:r w:rsidR="00262DE7">
        <w:t xml:space="preserve"> Part </w:t>
      </w:r>
      <w:r>
        <w:t xml:space="preserve">2 </w:t>
      </w:r>
      <w:r w:rsidRPr="00A50387">
        <w:t>Findings</w:t>
      </w:r>
      <w:bookmarkEnd w:id="83"/>
      <w:bookmarkEnd w:id="84"/>
      <w:bookmarkEnd w:id="85"/>
    </w:p>
    <w:p w:rsidR="00625464" w:rsidP="00625464" w:rsidRDefault="00625464" w14:paraId="495BB6FE" w14:textId="2F036687">
      <w:r>
        <w:t>Parties were asked how findings from the EIS</w:t>
      </w:r>
      <w:r w:rsidR="00262DE7">
        <w:t xml:space="preserve"> Part </w:t>
      </w:r>
      <w:r>
        <w:t>2 should inform the yearly DPEP. All IOUs agree that the EIS</w:t>
      </w:r>
      <w:r w:rsidR="004132EC">
        <w:t xml:space="preserve"> Part </w:t>
      </w:r>
      <w:r>
        <w:t xml:space="preserve">2 findings should not be </w:t>
      </w:r>
      <w:r w:rsidR="00612A10">
        <w:t xml:space="preserve">fully </w:t>
      </w:r>
      <w:r>
        <w:t>incorporated into the yearly DPEP</w:t>
      </w:r>
      <w:r w:rsidR="0007399D">
        <w:t xml:space="preserve">; </w:t>
      </w:r>
      <w:r w:rsidR="00DB66FE">
        <w:t xml:space="preserve">however, </w:t>
      </w:r>
      <w:r w:rsidR="004F5303">
        <w:t xml:space="preserve">in the Scenario Planning </w:t>
      </w:r>
      <w:r w:rsidR="00506824">
        <w:t xml:space="preserve">Framework resolution </w:t>
      </w:r>
      <w:r w:rsidR="001570CA">
        <w:t>(Resolution</w:t>
      </w:r>
      <w:r w:rsidR="003108F2">
        <w:t xml:space="preserve"> E-5414</w:t>
      </w:r>
      <w:r w:rsidR="00B66667">
        <w:t>)</w:t>
      </w:r>
      <w:r w:rsidR="00056D57">
        <w:t xml:space="preserve">, </w:t>
      </w:r>
      <w:r w:rsidR="008C5C87">
        <w:t>the IOUs</w:t>
      </w:r>
      <w:r w:rsidR="003108F2">
        <w:t xml:space="preserve"> note</w:t>
      </w:r>
      <w:r w:rsidR="0045576B">
        <w:t>d</w:t>
      </w:r>
      <w:r w:rsidR="003108F2">
        <w:t xml:space="preserve"> </w:t>
      </w:r>
      <w:r w:rsidR="002761BD">
        <w:t xml:space="preserve">that </w:t>
      </w:r>
      <w:r w:rsidR="00C07A9A">
        <w:t xml:space="preserve">a </w:t>
      </w:r>
      <w:r w:rsidR="002761BD">
        <w:t xml:space="preserve">Demand </w:t>
      </w:r>
      <w:r w:rsidR="002761BD">
        <w:lastRenderedPageBreak/>
        <w:t xml:space="preserve">Flexibility </w:t>
      </w:r>
      <w:r w:rsidR="00893C4C">
        <w:t>s</w:t>
      </w:r>
      <w:r w:rsidR="002761BD">
        <w:t xml:space="preserve">cenario could not </w:t>
      </w:r>
      <w:r w:rsidR="00BB7108">
        <w:t xml:space="preserve">be incorporated into the DPEP </w:t>
      </w:r>
      <w:r w:rsidR="002E7E4C">
        <w:t>at that time</w:t>
      </w:r>
      <w:r w:rsidR="002761BD">
        <w:t xml:space="preserve"> </w:t>
      </w:r>
      <w:r w:rsidR="00BB7108">
        <w:t>because the EIS</w:t>
      </w:r>
      <w:r w:rsidR="00262DE7">
        <w:t xml:space="preserve"> Part </w:t>
      </w:r>
      <w:r w:rsidR="00BB7108">
        <w:t xml:space="preserve">2 analysis </w:t>
      </w:r>
      <w:r w:rsidR="00482955">
        <w:t xml:space="preserve">was not </w:t>
      </w:r>
      <w:r w:rsidR="005C67D6">
        <w:t>yet available</w:t>
      </w:r>
      <w:r>
        <w:t>.</w:t>
      </w:r>
      <w:r>
        <w:rPr>
          <w:rStyle w:val="FootnoteReference"/>
        </w:rPr>
        <w:footnoteReference w:id="184"/>
      </w:r>
      <w:r>
        <w:t xml:space="preserve"> </w:t>
      </w:r>
      <w:r w:rsidR="0045576B">
        <w:t>In comments,</w:t>
      </w:r>
      <w:r>
        <w:t xml:space="preserve"> SDG&amp;E explains that the DPEP and EIS</w:t>
      </w:r>
      <w:r w:rsidR="00262DE7">
        <w:t xml:space="preserve"> Part </w:t>
      </w:r>
      <w:r>
        <w:t>2 serve fundamentally different purposes</w:t>
      </w:r>
      <w:r>
        <w:rPr>
          <w:rStyle w:val="FootnoteReference"/>
        </w:rPr>
        <w:footnoteReference w:id="185"/>
      </w:r>
      <w:r>
        <w:t xml:space="preserve"> </w:t>
      </w:r>
      <w:r w:rsidR="006C15F8">
        <w:t>and</w:t>
      </w:r>
      <w:r>
        <w:t xml:space="preserve"> contends that the DPEP relies on tested, real world, expectation-based forecasts whereas the EIS</w:t>
      </w:r>
      <w:r w:rsidR="00262DE7">
        <w:t xml:space="preserve"> Part </w:t>
      </w:r>
      <w:r>
        <w:t xml:space="preserve">2 </w:t>
      </w:r>
      <w:r w:rsidR="007D08C1">
        <w:t>is</w:t>
      </w:r>
      <w:r>
        <w:t xml:space="preserve"> designed to explore hypotheticals.</w:t>
      </w:r>
      <w:r>
        <w:rPr>
          <w:rStyle w:val="FootnoteReference"/>
        </w:rPr>
        <w:footnoteReference w:id="186"/>
      </w:r>
      <w:r>
        <w:t xml:space="preserve"> SCE </w:t>
      </w:r>
      <w:r w:rsidR="006C15F8">
        <w:t>describes</w:t>
      </w:r>
      <w:r>
        <w:t xml:space="preserve"> how the EIS</w:t>
      </w:r>
      <w:r w:rsidR="00BD1CF0">
        <w:t xml:space="preserve"> Part </w:t>
      </w:r>
      <w:r>
        <w:t xml:space="preserve">2 </w:t>
      </w:r>
      <w:r w:rsidR="007D08C1">
        <w:t>is</w:t>
      </w:r>
      <w:r>
        <w:t xml:space="preserve"> based on simplified assumptions that enable the IOUs to evaluate a range of outcomes on a shorter timeline.</w:t>
      </w:r>
      <w:r>
        <w:rPr>
          <w:rStyle w:val="FootnoteReference"/>
        </w:rPr>
        <w:footnoteReference w:id="187"/>
      </w:r>
      <w:r>
        <w:t xml:space="preserve"> SCE</w:t>
      </w:r>
      <w:r w:rsidR="007D08C1">
        <w:t xml:space="preserve"> also</w:t>
      </w:r>
      <w:r>
        <w:t xml:space="preserve"> </w:t>
      </w:r>
      <w:r w:rsidR="00135B9C">
        <w:t>states</w:t>
      </w:r>
      <w:r>
        <w:t xml:space="preserve"> that no refinement of the EIS</w:t>
      </w:r>
      <w:r w:rsidR="00CC0868">
        <w:t xml:space="preserve"> Part </w:t>
      </w:r>
      <w:r>
        <w:t>2 assumptions can replicate the rigor of the current DPEP framework because of the diverging purposes of each tool.</w:t>
      </w:r>
      <w:r>
        <w:rPr>
          <w:rStyle w:val="FootnoteReference"/>
        </w:rPr>
        <w:footnoteReference w:id="188"/>
      </w:r>
      <w:r>
        <w:t xml:space="preserve"> </w:t>
      </w:r>
    </w:p>
    <w:p w:rsidR="00625464" w:rsidP="00625464" w:rsidRDefault="00625464" w14:paraId="5E881646" w14:textId="0F904F84">
      <w:r>
        <w:t>PG&amp;E proposes that rather than be fully integrated, the findings should instead be viewed as a directional tool to help guide the DPEP rather than as a direct input.</w:t>
      </w:r>
      <w:r>
        <w:rPr>
          <w:rStyle w:val="FootnoteReference"/>
        </w:rPr>
        <w:footnoteReference w:id="189"/>
      </w:r>
      <w:r>
        <w:t xml:space="preserve"> EDF supports this finding that while the insights are insufficient to be fully integrated, they should not be ignored.</w:t>
      </w:r>
      <w:r>
        <w:rPr>
          <w:rStyle w:val="FootnoteReference"/>
        </w:rPr>
        <w:footnoteReference w:id="190"/>
      </w:r>
      <w:r>
        <w:t xml:space="preserve"> SDG&amp;E and SCE more pointedly state that the EIS</w:t>
      </w:r>
      <w:r w:rsidR="00262DE7">
        <w:t xml:space="preserve"> Part </w:t>
      </w:r>
      <w:r>
        <w:t xml:space="preserve">2 scenarios are too hypothetical or not investment grade enough to be integrated into the </w:t>
      </w:r>
      <w:r w:rsidRPr="00C8604A">
        <w:t>DPEP.</w:t>
      </w:r>
      <w:r w:rsidRPr="00C8604A">
        <w:rPr>
          <w:rStyle w:val="FootnoteReference"/>
        </w:rPr>
        <w:footnoteReference w:id="191"/>
      </w:r>
      <w:r w:rsidRPr="00C8604A">
        <w:t xml:space="preserve"> </w:t>
      </w:r>
      <w:r w:rsidRPr="00C8604A" w:rsidR="00A0723A">
        <w:t>SCE states that an</w:t>
      </w:r>
      <w:r w:rsidRPr="00C8604A">
        <w:t xml:space="preserve"> investment grade refers to an insight that is well crafted enough to influence a </w:t>
      </w:r>
      <w:r w:rsidRPr="00C8604A">
        <w:lastRenderedPageBreak/>
        <w:t>utilities’ investment decisions.</w:t>
      </w:r>
      <w:r w:rsidRPr="00C8604A">
        <w:rPr>
          <w:rStyle w:val="FootnoteReference"/>
        </w:rPr>
        <w:footnoteReference w:id="192"/>
      </w:r>
      <w:r w:rsidRPr="00C8604A">
        <w:t xml:space="preserve"> Cal Advocates concur</w:t>
      </w:r>
      <w:r w:rsidRPr="00C8604A" w:rsidR="00A0723A">
        <w:t>s</w:t>
      </w:r>
      <w:r w:rsidRPr="00C8604A">
        <w:t xml:space="preserve"> with SDG&amp;E that the EIS</w:t>
      </w:r>
      <w:r w:rsidR="00262DE7">
        <w:t xml:space="preserve"> Part </w:t>
      </w:r>
      <w:r w:rsidRPr="00C8604A">
        <w:t>2 and DPEP serve different purposes and that the findings therefore cannot be integrated.</w:t>
      </w:r>
      <w:r w:rsidRPr="00C8604A">
        <w:rPr>
          <w:rStyle w:val="FootnoteReference"/>
        </w:rPr>
        <w:footnoteReference w:id="193"/>
      </w:r>
      <w:r w:rsidRPr="00C8604A">
        <w:t xml:space="preserve"> SBUA argues that any forecasting should be “circumspective” a</w:t>
      </w:r>
      <w:r w:rsidR="00FA3539">
        <w:t>nd</w:t>
      </w:r>
      <w:r w:rsidRPr="00C8604A" w:rsidR="00FA3539">
        <w:t xml:space="preserve"> </w:t>
      </w:r>
      <w:r w:rsidRPr="00C8604A">
        <w:t>that electrification must consequently proceed along pathways of “no</w:t>
      </w:r>
      <w:r w:rsidR="00C37BC2">
        <w:t xml:space="preserve"> </w:t>
      </w:r>
      <w:r w:rsidRPr="00C8604A">
        <w:t>regrets” and “least-regrets.”</w:t>
      </w:r>
      <w:r w:rsidRPr="00C8604A">
        <w:rPr>
          <w:rStyle w:val="FootnoteReference"/>
        </w:rPr>
        <w:footnoteReference w:id="194"/>
      </w:r>
      <w:r w:rsidR="00D5324E">
        <w:t xml:space="preserve"> SDG&amp;E note</w:t>
      </w:r>
      <w:r w:rsidR="00C37BC2">
        <w:t>s</w:t>
      </w:r>
      <w:r w:rsidR="00D5324E">
        <w:t xml:space="preserve"> additional limitations including excluded cost categories (distribution line segments, land acquisition, equity implementation costs) and the inherent uncertainty of a 15-year forecasting horizon.</w:t>
      </w:r>
      <w:r w:rsidR="00D5324E">
        <w:rPr>
          <w:rStyle w:val="FootnoteReference"/>
        </w:rPr>
        <w:footnoteReference w:id="195"/>
      </w:r>
    </w:p>
    <w:p w:rsidR="008A1E4C" w:rsidP="00417271" w:rsidRDefault="00625464" w14:paraId="3EE30C66" w14:textId="3855CA78">
      <w:r>
        <w:t>On the other hand, VGIC, CalCCA, and Clean Coalition argue that EIS</w:t>
      </w:r>
      <w:r w:rsidR="00262DE7">
        <w:t xml:space="preserve"> Part </w:t>
      </w:r>
      <w:r>
        <w:t>2 findings should be integrated into DPEP but disagree on when and how, as discussed later</w:t>
      </w:r>
      <w:r w:rsidR="004D33A0">
        <w:t xml:space="preserve"> in this decision</w:t>
      </w:r>
      <w:r>
        <w:t>.</w:t>
      </w:r>
      <w:r>
        <w:rPr>
          <w:rStyle w:val="FootnoteReference"/>
        </w:rPr>
        <w:footnoteReference w:id="196"/>
      </w:r>
      <w:r>
        <w:t xml:space="preserve"> All three parties </w:t>
      </w:r>
      <w:r w:rsidR="005A63FF">
        <w:t>state</w:t>
      </w:r>
      <w:r>
        <w:t xml:space="preserve"> that the EIS</w:t>
      </w:r>
      <w:r w:rsidR="00262DE7">
        <w:t xml:space="preserve"> Part </w:t>
      </w:r>
      <w:r>
        <w:t xml:space="preserve">2 </w:t>
      </w:r>
      <w:r w:rsidR="005A63FF">
        <w:t>find</w:t>
      </w:r>
      <w:r w:rsidR="004D33A0">
        <w:t>s</w:t>
      </w:r>
      <w:r>
        <w:t xml:space="preserve"> that orchestrated DER</w:t>
      </w:r>
      <w:r w:rsidR="005A63FF">
        <w:t>s</w:t>
      </w:r>
      <w:r>
        <w:t xml:space="preserve"> can reduce system costs and lower ratepayer burden.</w:t>
      </w:r>
      <w:r>
        <w:rPr>
          <w:rStyle w:val="FootnoteReference"/>
        </w:rPr>
        <w:footnoteReference w:id="197"/>
      </w:r>
      <w:r>
        <w:t xml:space="preserve"> VGIC believes those findings should be incorporated into the DPEP now,</w:t>
      </w:r>
      <w:r>
        <w:rPr>
          <w:rStyle w:val="FootnoteReference"/>
        </w:rPr>
        <w:footnoteReference w:id="198"/>
      </w:r>
      <w:r>
        <w:t xml:space="preserve"> while CalCCA suggests waiting until the assumptions underlying the findings are more mature and accurate.</w:t>
      </w:r>
      <w:r>
        <w:rPr>
          <w:rStyle w:val="FootnoteReference"/>
        </w:rPr>
        <w:footnoteReference w:id="199"/>
      </w:r>
      <w:r>
        <w:t xml:space="preserve"> Clean Coalition </w:t>
      </w:r>
      <w:r w:rsidR="004567CC">
        <w:t xml:space="preserve">disagrees with </w:t>
      </w:r>
      <w:r>
        <w:t>the IOUs’ characterizations of the EIS</w:t>
      </w:r>
      <w:r w:rsidR="00495773">
        <w:t xml:space="preserve"> Part </w:t>
      </w:r>
      <w:r>
        <w:t>2 as “not investment-grade” and believes the EIS</w:t>
      </w:r>
      <w:r w:rsidR="00495773">
        <w:t xml:space="preserve"> Part </w:t>
      </w:r>
      <w:r>
        <w:t xml:space="preserve">2 </w:t>
      </w:r>
      <w:r w:rsidR="004567CC">
        <w:t>could still be u</w:t>
      </w:r>
      <w:r>
        <w:t>sed as a planning tool.</w:t>
      </w:r>
      <w:r>
        <w:rPr>
          <w:rStyle w:val="FootnoteReference"/>
        </w:rPr>
        <w:footnoteReference w:id="200"/>
      </w:r>
      <w:r>
        <w:t xml:space="preserve"> Clean Coalition suggests </w:t>
      </w:r>
      <w:r>
        <w:lastRenderedPageBreak/>
        <w:t>that rather than directly integrating the findings into the DPEP framework, the utilities should adopt a new “Energy Tetris” framework that folds DER considerations, among others, into</w:t>
      </w:r>
      <w:r w:rsidR="004567CC">
        <w:t xml:space="preserve"> DER </w:t>
      </w:r>
      <w:r>
        <w:t>planning.</w:t>
      </w:r>
      <w:r>
        <w:rPr>
          <w:rStyle w:val="FootnoteReference"/>
        </w:rPr>
        <w:footnoteReference w:id="201"/>
      </w:r>
      <w:r>
        <w:t xml:space="preserve"> </w:t>
      </w:r>
    </w:p>
    <w:p w:rsidR="00C37BC2" w:rsidP="00417271" w:rsidRDefault="00C37BC2" w14:paraId="22F3EEE4" w14:textId="660BFEA8">
      <w:r>
        <w:t>This decision will specify which EIS</w:t>
      </w:r>
      <w:r w:rsidR="00495773">
        <w:t xml:space="preserve"> Part </w:t>
      </w:r>
      <w:r>
        <w:t xml:space="preserve">2 components should be integrated into the DPEP and </w:t>
      </w:r>
      <w:r w:rsidR="00DD574E">
        <w:t>overall,</w:t>
      </w:r>
      <w:r>
        <w:t xml:space="preserve"> DER planning processes, as explained below.</w:t>
      </w:r>
    </w:p>
    <w:p w:rsidR="00625464" w:rsidP="00A50387" w:rsidRDefault="00625464" w14:paraId="520F4E1F" w14:textId="77777777">
      <w:pPr>
        <w:pStyle w:val="Heading2"/>
      </w:pPr>
      <w:bookmarkStart w:name="_Toc236126286" w:id="86"/>
      <w:bookmarkStart w:name="_Toc2018102758" w:id="87"/>
      <w:bookmarkStart w:name="_Toc243991465" w:id="88"/>
      <w:r>
        <w:t xml:space="preserve">Scenario Specific Findings and </w:t>
      </w:r>
      <w:r w:rsidRPr="00A50387">
        <w:t>Assumptions</w:t>
      </w:r>
      <w:bookmarkEnd w:id="86"/>
      <w:bookmarkEnd w:id="87"/>
      <w:bookmarkEnd w:id="88"/>
    </w:p>
    <w:p w:rsidRPr="006F26EE" w:rsidR="00625464" w:rsidP="00625464" w:rsidRDefault="005D4F6F" w14:paraId="3034D1F5" w14:textId="2941B8D7">
      <w:pPr>
        <w:pStyle w:val="Standard"/>
      </w:pPr>
      <w:r>
        <w:t>The May 8 Ruling asked p</w:t>
      </w:r>
      <w:r w:rsidR="00625464">
        <w:t xml:space="preserve">arties how findings and assumptions from individual scenarios could inform different aspects of </w:t>
      </w:r>
      <w:proofErr w:type="gramStart"/>
      <w:r w:rsidR="00625464">
        <w:t>the DPEP</w:t>
      </w:r>
      <w:proofErr w:type="gramEnd"/>
      <w:r w:rsidR="00625464">
        <w:t>.</w:t>
      </w:r>
    </w:p>
    <w:p w:rsidRPr="00E273E1" w:rsidR="00625464" w:rsidP="00A50387" w:rsidRDefault="00625464" w14:paraId="7567748D" w14:textId="77777777">
      <w:pPr>
        <w:pStyle w:val="Heading3"/>
      </w:pPr>
      <w:bookmarkStart w:name="_Toc236126287" w:id="89"/>
      <w:bookmarkStart w:name="_Toc1170191574" w:id="90"/>
      <w:bookmarkStart w:name="_Toc243991466" w:id="91"/>
      <w:r>
        <w:t xml:space="preserve">Equity </w:t>
      </w:r>
      <w:r w:rsidRPr="00A50387">
        <w:t>Scenario</w:t>
      </w:r>
      <w:r>
        <w:t xml:space="preserve"> Findings</w:t>
      </w:r>
      <w:bookmarkEnd w:id="89"/>
      <w:bookmarkEnd w:id="90"/>
      <w:bookmarkEnd w:id="91"/>
    </w:p>
    <w:p w:rsidR="00625464" w:rsidP="00417271" w:rsidRDefault="00625464" w14:paraId="1CEF292E" w14:textId="6B28B974">
      <w:pPr>
        <w:pStyle w:val="Standard"/>
      </w:pPr>
      <w:r w:rsidRPr="00104393">
        <w:t xml:space="preserve">The </w:t>
      </w:r>
      <w:r w:rsidR="005D4F6F">
        <w:t>E</w:t>
      </w:r>
      <w:r w:rsidRPr="00104393">
        <w:t xml:space="preserve">quity </w:t>
      </w:r>
      <w:r w:rsidR="00165AA0">
        <w:t>S</w:t>
      </w:r>
      <w:r w:rsidRPr="00104393">
        <w:t>cenario was developed by each utility</w:t>
      </w:r>
      <w:r w:rsidR="005D4F6F">
        <w:t xml:space="preserve"> </w:t>
      </w:r>
      <w:r w:rsidRPr="00104393">
        <w:t xml:space="preserve">to evaluate the costs and infrastructure needs </w:t>
      </w:r>
      <w:r w:rsidR="00D37E94">
        <w:t xml:space="preserve">required under conditions in which </w:t>
      </w:r>
      <w:r w:rsidR="00A55043">
        <w:t xml:space="preserve">deployment </w:t>
      </w:r>
      <w:r w:rsidRPr="00104393">
        <w:t xml:space="preserve">of DERs </w:t>
      </w:r>
      <w:r w:rsidRPr="00104393" w:rsidR="00A23BA4">
        <w:t>is</w:t>
      </w:r>
      <w:r w:rsidRPr="00104393">
        <w:t xml:space="preserve"> consistent between disadvantaged communities and other communities.</w:t>
      </w:r>
      <w:r w:rsidRPr="00104393">
        <w:rPr>
          <w:rStyle w:val="FootnoteReference"/>
        </w:rPr>
        <w:footnoteReference w:id="202"/>
      </w:r>
      <w:r w:rsidRPr="00104393">
        <w:t xml:space="preserve"> Each utility approached the design of the scenario slightly differently. For example, SDG&amp;E built on the Base Case by applying hypothetical load modifiers that are intended to reflect targeted electrification efforts in underserved areas.</w:t>
      </w:r>
      <w:r w:rsidRPr="00104393">
        <w:rPr>
          <w:rStyle w:val="FootnoteReference"/>
        </w:rPr>
        <w:footnoteReference w:id="203"/>
      </w:r>
      <w:r w:rsidRPr="00104393">
        <w:t xml:space="preserve"> PG&amp;E increased the total adoption of DERs instead of redistributing adoption patterns to create parity between community types.</w:t>
      </w:r>
      <w:r w:rsidRPr="00104393">
        <w:rPr>
          <w:rStyle w:val="FootnoteReference"/>
        </w:rPr>
        <w:footnoteReference w:id="204"/>
      </w:r>
      <w:r w:rsidRPr="00104393">
        <w:t xml:space="preserve"> SCE instead </w:t>
      </w:r>
      <w:r w:rsidR="00CD345B">
        <w:t>i</w:t>
      </w:r>
      <w:r w:rsidRPr="00CD345B" w:rsidR="00CD345B">
        <w:t>ncreased DER adoption in disadvantaged communities to create equal DER adoption between communities</w:t>
      </w:r>
      <w:r w:rsidRPr="00104393">
        <w:t>.</w:t>
      </w:r>
      <w:r w:rsidRPr="00104393">
        <w:rPr>
          <w:rStyle w:val="FootnoteReference"/>
        </w:rPr>
        <w:footnoteReference w:id="205"/>
      </w:r>
    </w:p>
    <w:p w:rsidR="00625464" w:rsidP="00417271" w:rsidRDefault="00625464" w14:paraId="1E0B892D" w14:textId="38F4BE2C">
      <w:pPr>
        <w:pStyle w:val="Standard"/>
      </w:pPr>
      <w:r>
        <w:lastRenderedPageBreak/>
        <w:t xml:space="preserve">Parties were </w:t>
      </w:r>
      <w:r w:rsidR="00C37BC2">
        <w:t xml:space="preserve">also </w:t>
      </w:r>
      <w:r>
        <w:t xml:space="preserve">asked to determine how findings from the </w:t>
      </w:r>
      <w:r w:rsidR="00165AA0">
        <w:t>E</w:t>
      </w:r>
      <w:r>
        <w:t xml:space="preserve">quity </w:t>
      </w:r>
      <w:r w:rsidR="00165AA0">
        <w:t>S</w:t>
      </w:r>
      <w:r>
        <w:t xml:space="preserve">cenario should inform the Commission’s efforts to prevent delays of grid upgrades in disadvantaged communities. </w:t>
      </w:r>
    </w:p>
    <w:p w:rsidR="00625464" w:rsidP="00417271" w:rsidRDefault="00625464" w14:paraId="3B9A576B" w14:textId="7BB5319F">
      <w:pPr>
        <w:pStyle w:val="Standard"/>
      </w:pPr>
      <w:r>
        <w:t xml:space="preserve">SDG&amp;E argues that the </w:t>
      </w:r>
      <w:r w:rsidR="00C22AC0">
        <w:t>E</w:t>
      </w:r>
      <w:r>
        <w:t>quity scenario</w:t>
      </w:r>
      <w:r w:rsidR="00CE105E">
        <w:t>s</w:t>
      </w:r>
      <w:r>
        <w:t xml:space="preserve"> </w:t>
      </w:r>
      <w:r w:rsidR="0090638F">
        <w:t>only address</w:t>
      </w:r>
      <w:r>
        <w:t xml:space="preserve"> </w:t>
      </w:r>
      <w:r w:rsidR="00FC6B08">
        <w:t>impacts on the distribution system’s peak loads, grid needs, and costs</w:t>
      </w:r>
      <w:r>
        <w:t xml:space="preserve">, not </w:t>
      </w:r>
      <w:r w:rsidR="00FC6B08">
        <w:t xml:space="preserve">possible </w:t>
      </w:r>
      <w:r>
        <w:t>delays</w:t>
      </w:r>
      <w:r w:rsidR="00FC6B08">
        <w:t xml:space="preserve"> in constructing the grid upgrades that can mitigate identified grid needs</w:t>
      </w:r>
      <w:r>
        <w:t xml:space="preserve">, and therefore </w:t>
      </w:r>
      <w:r w:rsidR="0090638F">
        <w:t xml:space="preserve">cannot be used to ensure </w:t>
      </w:r>
      <w:r w:rsidR="00FC6B08">
        <w:t xml:space="preserve">that </w:t>
      </w:r>
      <w:r w:rsidR="00CE105E">
        <w:t>disadvantaged communities (</w:t>
      </w:r>
      <w:r w:rsidR="00FC6B08">
        <w:t>DACs</w:t>
      </w:r>
      <w:r w:rsidR="00CE105E">
        <w:t>)</w:t>
      </w:r>
      <w:r w:rsidR="00FC6B08">
        <w:t xml:space="preserve"> do not experience unreasonable delays in necessary grid upgrades</w:t>
      </w:r>
      <w:r>
        <w:t>.</w:t>
      </w:r>
      <w:r>
        <w:rPr>
          <w:rStyle w:val="FootnoteReference"/>
        </w:rPr>
        <w:footnoteReference w:id="206"/>
      </w:r>
      <w:r>
        <w:t xml:space="preserve"> PG&amp;E and SCE both agree that the </w:t>
      </w:r>
      <w:r w:rsidR="00CE105E">
        <w:t>E</w:t>
      </w:r>
      <w:r>
        <w:t xml:space="preserve">quity </w:t>
      </w:r>
      <w:r w:rsidR="00165AA0">
        <w:t>S</w:t>
      </w:r>
      <w:r>
        <w:t>cenario serve</w:t>
      </w:r>
      <w:r w:rsidR="00CE105E">
        <w:t>s</w:t>
      </w:r>
      <w:r>
        <w:t xml:space="preserve"> better as </w:t>
      </w:r>
      <w:r w:rsidR="00CE105E">
        <w:t xml:space="preserve">an </w:t>
      </w:r>
      <w:r>
        <w:t>avenue for exploring alternative policy futures rather than as a basis for investment decisions because of the reasoning stated by SDG&amp;E above.</w:t>
      </w:r>
      <w:r>
        <w:rPr>
          <w:rStyle w:val="FootnoteReference"/>
        </w:rPr>
        <w:footnoteReference w:id="207"/>
      </w:r>
      <w:r>
        <w:t xml:space="preserve"> Cal Advocates echoes SDG&amp;E’s sentiments that the </w:t>
      </w:r>
      <w:r w:rsidR="00CE105E">
        <w:t>E</w:t>
      </w:r>
      <w:r>
        <w:t xml:space="preserve">quity </w:t>
      </w:r>
      <w:r w:rsidR="00165AA0">
        <w:t>S</w:t>
      </w:r>
      <w:r>
        <w:t xml:space="preserve">cenario is unconnected to the prevention of grid delays and service quality in </w:t>
      </w:r>
      <w:r w:rsidR="00CE105E">
        <w:t>DAC</w:t>
      </w:r>
      <w:r>
        <w:t>s.</w:t>
      </w:r>
      <w:r>
        <w:rPr>
          <w:rStyle w:val="FootnoteReference"/>
        </w:rPr>
        <w:footnoteReference w:id="208"/>
      </w:r>
      <w:r>
        <w:t xml:space="preserve"> </w:t>
      </w:r>
    </w:p>
    <w:p w:rsidR="00417271" w:rsidP="00417271" w:rsidRDefault="00625464" w14:paraId="2703BA81" w14:textId="24A3373E">
      <w:pPr>
        <w:pStyle w:val="Standard"/>
      </w:pPr>
      <w:r>
        <w:t xml:space="preserve">SBUA does not directly address the prevention of delays but firmly supports SDG&amp;E’s approach to the </w:t>
      </w:r>
      <w:r w:rsidR="00CE105E">
        <w:t>E</w:t>
      </w:r>
      <w:r>
        <w:t xml:space="preserve">quity </w:t>
      </w:r>
      <w:r w:rsidR="00165AA0">
        <w:t>S</w:t>
      </w:r>
      <w:r w:rsidR="00104393">
        <w:t xml:space="preserve">cenario </w:t>
      </w:r>
      <w:r>
        <w:t>to incorporate “no regrets” and “least</w:t>
      </w:r>
      <w:r w:rsidR="00C37BC2">
        <w:t xml:space="preserve"> </w:t>
      </w:r>
      <w:r>
        <w:t>regrets” equity objectives.</w:t>
      </w:r>
      <w:r>
        <w:rPr>
          <w:rStyle w:val="FootnoteReference"/>
        </w:rPr>
        <w:footnoteReference w:id="209"/>
      </w:r>
      <w:r>
        <w:t xml:space="preserve"> EDF similarly does not address the </w:t>
      </w:r>
      <w:r w:rsidR="00CE105E">
        <w:t>E</w:t>
      </w:r>
      <w:r>
        <w:t xml:space="preserve">quity </w:t>
      </w:r>
      <w:r w:rsidR="00165AA0">
        <w:t>S</w:t>
      </w:r>
      <w:r>
        <w:t>cenario as it pertains to delays.</w:t>
      </w:r>
      <w:r>
        <w:rPr>
          <w:rStyle w:val="FootnoteReference"/>
        </w:rPr>
        <w:footnoteReference w:id="210"/>
      </w:r>
      <w:r>
        <w:t xml:space="preserve"> EDF instead</w:t>
      </w:r>
      <w:r w:rsidR="00BD457A">
        <w:t xml:space="preserve"> states</w:t>
      </w:r>
      <w:r>
        <w:t xml:space="preserve"> that investments are needed to match DER deployment in disadvantaged communities</w:t>
      </w:r>
      <w:r w:rsidR="00CE105E">
        <w:t xml:space="preserve"> and</w:t>
      </w:r>
      <w:r>
        <w:t xml:space="preserve"> that the investments hinge on policy changes.</w:t>
      </w:r>
      <w:r>
        <w:rPr>
          <w:rStyle w:val="FootnoteReference"/>
        </w:rPr>
        <w:footnoteReference w:id="211"/>
      </w:r>
      <w:r>
        <w:t xml:space="preserve"> Without the policy changes, EDF still suggests that the Commission work to keep implementation timelines even by </w:t>
      </w:r>
      <w:r>
        <w:lastRenderedPageBreak/>
        <w:t>requiring timeline reporting for each project.</w:t>
      </w:r>
      <w:r>
        <w:rPr>
          <w:rStyle w:val="FootnoteReference"/>
        </w:rPr>
        <w:footnoteReference w:id="212"/>
      </w:r>
      <w:r>
        <w:t xml:space="preserve"> </w:t>
      </w:r>
      <w:r w:rsidR="0090638F">
        <w:t xml:space="preserve"> Clean Coalition sugges</w:t>
      </w:r>
      <w:r w:rsidR="00CE105E">
        <w:t>t</w:t>
      </w:r>
      <w:r w:rsidR="0090638F">
        <w:t>s the Commission direct the IOUs to identify candidate locations, informed by EIS</w:t>
      </w:r>
      <w:r w:rsidR="00FB539F">
        <w:t xml:space="preserve"> </w:t>
      </w:r>
      <w:r w:rsidR="00FA7B65">
        <w:t>P</w:t>
      </w:r>
      <w:r w:rsidR="00FB539F">
        <w:t xml:space="preserve">art </w:t>
      </w:r>
      <w:r w:rsidR="0090638F">
        <w:t>2 results, where DER portfolios can reduce or defer distribution upgrades and improve resilience particularly in communities where adoption has lagged.</w:t>
      </w:r>
      <w:r w:rsidR="0090638F">
        <w:rPr>
          <w:rStyle w:val="FootnoteReference"/>
        </w:rPr>
        <w:footnoteReference w:id="213"/>
      </w:r>
    </w:p>
    <w:p w:rsidRPr="0094312E" w:rsidR="00B712A1" w:rsidP="00417271" w:rsidRDefault="00B712A1" w14:paraId="6B7482A7" w14:textId="4098060F">
      <w:pPr>
        <w:pStyle w:val="Standard"/>
      </w:pPr>
      <w:r w:rsidRPr="006E5F89">
        <w:t xml:space="preserve">The Commission </w:t>
      </w:r>
      <w:r w:rsidRPr="006E5F89" w:rsidR="00171206">
        <w:t xml:space="preserve">agrees with the positions of </w:t>
      </w:r>
      <w:r w:rsidRPr="006E5F89" w:rsidR="0090638F">
        <w:t xml:space="preserve">the IOUs, Cal Advocates, and SBUA that </w:t>
      </w:r>
      <w:r w:rsidRPr="006E5F89" w:rsidR="00171206">
        <w:t xml:space="preserve">the </w:t>
      </w:r>
      <w:r w:rsidR="00313055">
        <w:t xml:space="preserve">study’s </w:t>
      </w:r>
      <w:r w:rsidR="00E53B1C">
        <w:t>E</w:t>
      </w:r>
      <w:r w:rsidRPr="006E5F89" w:rsidR="00171206">
        <w:t xml:space="preserve">quity </w:t>
      </w:r>
      <w:r w:rsidR="00165AA0">
        <w:t>S</w:t>
      </w:r>
      <w:r w:rsidRPr="006E5F89" w:rsidR="00171206">
        <w:t xml:space="preserve">cenario </w:t>
      </w:r>
      <w:r w:rsidRPr="006E5F89" w:rsidR="0090638F">
        <w:t>should not be integrated</w:t>
      </w:r>
      <w:r w:rsidRPr="006E5F89" w:rsidR="00171206">
        <w:t xml:space="preserve"> into the DPEP planning cycle, as </w:t>
      </w:r>
      <w:r w:rsidR="00C557A7">
        <w:t>these scenarios</w:t>
      </w:r>
      <w:r w:rsidRPr="006E5F89" w:rsidR="00C557A7">
        <w:t xml:space="preserve"> </w:t>
      </w:r>
      <w:r w:rsidR="00C557A7">
        <w:t xml:space="preserve">presume for the sake of analysis </w:t>
      </w:r>
      <w:r w:rsidRPr="006E5F89" w:rsidR="008C22A7">
        <w:t xml:space="preserve">policies and programs that do not yet exist. </w:t>
      </w:r>
      <w:r w:rsidR="00773D9A">
        <w:t xml:space="preserve">However, </w:t>
      </w:r>
      <w:r w:rsidR="00E53B1C">
        <w:t>the Commission</w:t>
      </w:r>
      <w:r w:rsidR="0016000D">
        <w:t xml:space="preserve"> also agree</w:t>
      </w:r>
      <w:r w:rsidR="00E53B1C">
        <w:t>s</w:t>
      </w:r>
      <w:r w:rsidR="0016000D">
        <w:t xml:space="preserve"> with comments from EDF and Clean Coalition that investments in</w:t>
      </w:r>
      <w:r w:rsidR="000A73D8">
        <w:t xml:space="preserve"> DER deployments in</w:t>
      </w:r>
      <w:r w:rsidR="0016000D">
        <w:t xml:space="preserve"> disadvantage</w:t>
      </w:r>
      <w:r w:rsidR="000A73D8">
        <w:t>d</w:t>
      </w:r>
      <w:r w:rsidR="0016000D">
        <w:t xml:space="preserve"> communiti</w:t>
      </w:r>
      <w:r w:rsidR="000A73D8">
        <w:t>e</w:t>
      </w:r>
      <w:r w:rsidR="0016000D">
        <w:t>s</w:t>
      </w:r>
      <w:r w:rsidR="000A73D8">
        <w:t xml:space="preserve"> are needed</w:t>
      </w:r>
      <w:r w:rsidR="00E50DBA">
        <w:t xml:space="preserve">, implementation timeline for projects is needed, and that the Commission should direct the IOUs to identify candidate locations where DER portfolios can reduce or </w:t>
      </w:r>
      <w:proofErr w:type="gramStart"/>
      <w:r w:rsidR="00E50DBA">
        <w:t>defer</w:t>
      </w:r>
      <w:proofErr w:type="gramEnd"/>
      <w:r w:rsidR="00E50DBA">
        <w:t xml:space="preserve"> distribution upgrades. </w:t>
      </w:r>
      <w:r w:rsidR="00A750C7">
        <w:t xml:space="preserve">The planning process can inadvertently </w:t>
      </w:r>
      <w:r w:rsidR="00C3304B">
        <w:t xml:space="preserve">leave out upgrades in </w:t>
      </w:r>
      <w:r w:rsidR="00E53B1C">
        <w:t>DAC</w:t>
      </w:r>
      <w:r w:rsidR="00C3304B">
        <w:t>s, which can result in poor investment and resilience in these communities.</w:t>
      </w:r>
      <w:r w:rsidRPr="00CD345B" w:rsidR="00CD345B">
        <w:t xml:space="preserve"> These concerns are </w:t>
      </w:r>
      <w:r w:rsidR="006B59F5">
        <w:t xml:space="preserve">being addressed </w:t>
      </w:r>
      <w:r w:rsidRPr="00CD345B" w:rsidR="00CD345B">
        <w:t xml:space="preserve">through Resolution E-5480, which requires the IOUs to report equity metrics annually through the Grid Needs Assessment and Distribution Upgrade Project Report filings and to evaluate how equitably distribution grid upgrades are allocated across disadvantaged and other communities over time. The Commission will continue to use that framework to monitor distribution upgrades in </w:t>
      </w:r>
      <w:proofErr w:type="gramStart"/>
      <w:r w:rsidRPr="00CD345B" w:rsidR="00CD345B">
        <w:t>disadvantaged and</w:t>
      </w:r>
      <w:proofErr w:type="gramEnd"/>
      <w:r w:rsidRPr="00CD345B" w:rsidR="00CD345B">
        <w:t xml:space="preserve"> ESJ communities, rather than establish a separate, duplicative tracking requirement in this decision.</w:t>
      </w:r>
    </w:p>
    <w:p w:rsidR="00625464" w:rsidP="00E53B1C" w:rsidRDefault="00625464" w14:paraId="64764DFA" w14:textId="77777777">
      <w:pPr>
        <w:pStyle w:val="Heading3"/>
      </w:pPr>
      <w:bookmarkStart w:name="_Toc236126288" w:id="92"/>
      <w:bookmarkStart w:name="_Toc1151538197" w:id="93"/>
      <w:bookmarkStart w:name="_Toc243991467" w:id="94"/>
      <w:r>
        <w:lastRenderedPageBreak/>
        <w:t xml:space="preserve">Demand </w:t>
      </w:r>
      <w:r w:rsidRPr="00E53B1C">
        <w:t>Flexibility</w:t>
      </w:r>
      <w:r>
        <w:t xml:space="preserve"> Scenario Assumptions</w:t>
      </w:r>
      <w:bookmarkEnd w:id="92"/>
      <w:bookmarkEnd w:id="93"/>
      <w:bookmarkEnd w:id="94"/>
    </w:p>
    <w:p w:rsidRPr="00104393" w:rsidR="00625464" w:rsidP="00625464" w:rsidRDefault="00625464" w14:paraId="2477EB7A" w14:textId="66EB79DC">
      <w:pPr>
        <w:pStyle w:val="Standard"/>
      </w:pPr>
      <w:r w:rsidRPr="00104393">
        <w:t xml:space="preserve">Each utility took a different approach to designing </w:t>
      </w:r>
      <w:r w:rsidR="001A59B4">
        <w:t>Demand Flexibility</w:t>
      </w:r>
      <w:r w:rsidRPr="00104393">
        <w:t xml:space="preserve"> scenario</w:t>
      </w:r>
      <w:r w:rsidR="001A59B4">
        <w:t>s</w:t>
      </w:r>
      <w:r w:rsidRPr="00104393">
        <w:t xml:space="preserve">, but all were crafted to assess the potential </w:t>
      </w:r>
      <w:r w:rsidR="2B9A659B">
        <w:t xml:space="preserve">reduced infrastructure </w:t>
      </w:r>
      <w:r>
        <w:t>capital</w:t>
      </w:r>
      <w:r w:rsidRPr="00104393">
        <w:t xml:space="preserve"> </w:t>
      </w:r>
      <w:r w:rsidR="619F8F1D">
        <w:t>costs</w:t>
      </w:r>
      <w:r w:rsidRPr="00104393">
        <w:t xml:space="preserve"> if increased load flexibility options are adopted. Both SCE and PG&amp;E use standard DER adoption assumptions that remain at typical planning levels but shift the load shape using the C</w:t>
      </w:r>
      <w:r w:rsidR="001D14B9">
        <w:t>EC</w:t>
      </w:r>
      <w:r w:rsidRPr="00104393">
        <w:t>’s Enhanced Demand Flexibility tool.</w:t>
      </w:r>
      <w:r w:rsidRPr="00104393">
        <w:rPr>
          <w:rStyle w:val="FootnoteReference"/>
        </w:rPr>
        <w:footnoteReference w:id="214"/>
      </w:r>
      <w:r w:rsidRPr="00104393">
        <w:t xml:space="preserve"> On the other hand, SDG&amp;E utilize</w:t>
      </w:r>
      <w:r w:rsidR="009038DB">
        <w:t>s</w:t>
      </w:r>
      <w:r w:rsidRPr="00104393">
        <w:t xml:space="preserve"> load shed and load shift assumptions that were adopted by Energy + Environmental Economics (E3) from the Lawrence Berkeley National Laboratory California Demand Response Potential Study.</w:t>
      </w:r>
      <w:r w:rsidRPr="00104393">
        <w:rPr>
          <w:rStyle w:val="FootnoteReference"/>
        </w:rPr>
        <w:footnoteReference w:id="215"/>
      </w:r>
      <w:r w:rsidRPr="00104393">
        <w:t xml:space="preserve"> SDG&amp;E also utilized </w:t>
      </w:r>
      <w:r w:rsidR="001A15C2">
        <w:t>electric vehicle</w:t>
      </w:r>
      <w:r w:rsidRPr="00104393">
        <w:t xml:space="preserve"> load profiles developed by E3.</w:t>
      </w:r>
    </w:p>
    <w:p w:rsidR="00625464" w:rsidP="00625464" w:rsidRDefault="00625464" w14:paraId="27915AA6" w14:textId="56151B69">
      <w:pPr>
        <w:pStyle w:val="Standard"/>
      </w:pPr>
      <w:r w:rsidRPr="00104393">
        <w:t>SCE also analyze</w:t>
      </w:r>
      <w:r w:rsidR="009038DB">
        <w:t>s</w:t>
      </w:r>
      <w:r w:rsidRPr="00104393">
        <w:t xml:space="preserve"> an alternative </w:t>
      </w:r>
      <w:r w:rsidR="001D14B9">
        <w:t>d</w:t>
      </w:r>
      <w:r w:rsidRPr="00104393">
        <w:t xml:space="preserve">emand </w:t>
      </w:r>
      <w:r w:rsidR="001D14B9">
        <w:t>f</w:t>
      </w:r>
      <w:r w:rsidRPr="00104393">
        <w:t xml:space="preserve">lexibility scenario that keeps all assumptions the same as in their normal demand flexibility </w:t>
      </w:r>
      <w:r w:rsidRPr="00104393" w:rsidR="001045C4">
        <w:t>scenario but</w:t>
      </w:r>
      <w:r w:rsidRPr="00104393">
        <w:t xml:space="preserve"> expands it by assuming 100</w:t>
      </w:r>
      <w:r w:rsidR="0057050C">
        <w:t xml:space="preserve">% </w:t>
      </w:r>
      <w:r w:rsidRPr="00104393">
        <w:t>customer participation for light-duty electric vehicles, medium- and heavy-duty electric vehicles, residential energy storage, and non-residential energy storage.</w:t>
      </w:r>
      <w:r w:rsidRPr="00104393">
        <w:rPr>
          <w:rStyle w:val="FootnoteReference"/>
        </w:rPr>
        <w:footnoteReference w:id="216"/>
      </w:r>
      <w:r>
        <w:t xml:space="preserve"> </w:t>
      </w:r>
    </w:p>
    <w:p w:rsidR="00625464" w:rsidP="00625464" w:rsidRDefault="00625464" w14:paraId="14A49F44" w14:textId="2F80B442">
      <w:pPr>
        <w:pStyle w:val="Standard"/>
      </w:pPr>
      <w:r>
        <w:t xml:space="preserve">Parties were then asked whether the underlying assumptions of the Demand Flexibility </w:t>
      </w:r>
      <w:r w:rsidR="00165AA0">
        <w:t>S</w:t>
      </w:r>
      <w:r>
        <w:t xml:space="preserve">cenario were supported by current data and therefore reliable enough to </w:t>
      </w:r>
      <w:r w:rsidR="001A59B4">
        <w:t>serve as</w:t>
      </w:r>
      <w:r>
        <w:t xml:space="preserve"> inputs for forecast and </w:t>
      </w:r>
      <w:r w:rsidR="091F6D0E">
        <w:t xml:space="preserve">infrastructure </w:t>
      </w:r>
      <w:r>
        <w:t xml:space="preserve">cost planning. </w:t>
      </w:r>
    </w:p>
    <w:p w:rsidR="00BA2BDD" w:rsidP="00625464" w:rsidRDefault="00146776" w14:paraId="7D289128" w14:textId="405F14ED">
      <w:pPr>
        <w:pStyle w:val="Standard"/>
      </w:pPr>
      <w:r>
        <w:t>The three IOUs</w:t>
      </w:r>
      <w:r w:rsidR="00573225">
        <w:t xml:space="preserve"> and Cal</w:t>
      </w:r>
      <w:r w:rsidR="001A7377">
        <w:t xml:space="preserve"> Advocates</w:t>
      </w:r>
      <w:r w:rsidR="00625464">
        <w:t xml:space="preserve"> unanimously agree that without further refinement, the demand flexibility assumptions</w:t>
      </w:r>
      <w:r w:rsidR="00B4276C">
        <w:t>,</w:t>
      </w:r>
      <w:r w:rsidR="00625464">
        <w:t xml:space="preserve"> </w:t>
      </w:r>
      <w:r w:rsidR="00484157">
        <w:t xml:space="preserve">as stated in the </w:t>
      </w:r>
      <w:r w:rsidR="00A1487E">
        <w:t>E</w:t>
      </w:r>
      <w:r w:rsidR="0057050C">
        <w:t>IS</w:t>
      </w:r>
      <w:r w:rsidR="00A1487E">
        <w:t xml:space="preserve"> Part </w:t>
      </w:r>
      <w:r w:rsidR="00A1487E">
        <w:lastRenderedPageBreak/>
        <w:t xml:space="preserve">2, </w:t>
      </w:r>
      <w:r w:rsidR="00625464">
        <w:t>are not fit to be fully integrated into planning or the yearly DPEP</w:t>
      </w:r>
      <w:r w:rsidR="00AB7228">
        <w:t>.</w:t>
      </w:r>
      <w:r w:rsidRPr="0057050C" w:rsidR="0057050C">
        <w:rPr>
          <w:rStyle w:val="FootnoteReference"/>
        </w:rPr>
        <w:t xml:space="preserve"> </w:t>
      </w:r>
      <w:r w:rsidR="0057050C">
        <w:rPr>
          <w:rStyle w:val="FootnoteReference"/>
        </w:rPr>
        <w:footnoteReference w:id="217"/>
      </w:r>
      <w:r w:rsidR="00AB7228">
        <w:t xml:space="preserve"> SBUA supports this position</w:t>
      </w:r>
      <w:r w:rsidR="00F34AFE">
        <w:t>.</w:t>
      </w:r>
      <w:r w:rsidR="007E381A">
        <w:rPr>
          <w:rStyle w:val="FootnoteReference"/>
        </w:rPr>
        <w:footnoteReference w:id="218"/>
      </w:r>
      <w:r w:rsidR="00625464">
        <w:t xml:space="preserve"> </w:t>
      </w:r>
      <w:r w:rsidR="009038DB">
        <w:t xml:space="preserve">The IOUs </w:t>
      </w:r>
      <w:r w:rsidR="00722D44">
        <w:t xml:space="preserve">and </w:t>
      </w:r>
      <w:r w:rsidR="009038DB">
        <w:t>Cal Advocates</w:t>
      </w:r>
      <w:r w:rsidR="00625464">
        <w:t xml:space="preserve"> </w:t>
      </w:r>
      <w:r w:rsidR="009038DB">
        <w:t>stat</w:t>
      </w:r>
      <w:r w:rsidR="00625464">
        <w:t xml:space="preserve">e that </w:t>
      </w:r>
      <w:r w:rsidR="009038DB">
        <w:t xml:space="preserve">the </w:t>
      </w:r>
      <w:r w:rsidR="0012283D">
        <w:t xml:space="preserve">demand </w:t>
      </w:r>
      <w:r w:rsidR="009A62E8">
        <w:t xml:space="preserve">flexibility </w:t>
      </w:r>
      <w:r w:rsidR="00625464">
        <w:t xml:space="preserve">assumptions are not </w:t>
      </w:r>
      <w:r w:rsidR="00F04557">
        <w:t xml:space="preserve">yet </w:t>
      </w:r>
      <w:r w:rsidR="00625464">
        <w:t xml:space="preserve">reliable because </w:t>
      </w:r>
      <w:r w:rsidR="009038DB">
        <w:t xml:space="preserve">of the lack </w:t>
      </w:r>
      <w:r w:rsidR="002730BC">
        <w:t>of</w:t>
      </w:r>
      <w:r w:rsidR="009038DB">
        <w:t xml:space="preserve"> validated participation data at scale, the absence of approved programs that would drive sufficient DER enrollment in load flexibility, and the </w:t>
      </w:r>
      <w:r w:rsidR="002730BC">
        <w:t xml:space="preserve">continued </w:t>
      </w:r>
      <w:r w:rsidR="009038DB">
        <w:t>need for enabling infrastructure such as AMI 2.0 and DERMS.</w:t>
      </w:r>
      <w:r w:rsidR="0057050C">
        <w:rPr>
          <w:rStyle w:val="FootnoteReference"/>
        </w:rPr>
        <w:footnoteReference w:id="219"/>
      </w:r>
      <w:r w:rsidR="009038DB">
        <w:t xml:space="preserve"> </w:t>
      </w:r>
      <w:r w:rsidR="00981306">
        <w:t xml:space="preserve">In contrast, </w:t>
      </w:r>
      <w:r w:rsidR="00060E2B">
        <w:t>EDF</w:t>
      </w:r>
      <w:r w:rsidR="00E06B79">
        <w:t>, CalCCA</w:t>
      </w:r>
      <w:r w:rsidR="009179DD">
        <w:t xml:space="preserve"> and</w:t>
      </w:r>
      <w:r w:rsidR="00E06B79">
        <w:t xml:space="preserve"> VGIC</w:t>
      </w:r>
      <w:r w:rsidR="008645E9">
        <w:t xml:space="preserve"> </w:t>
      </w:r>
      <w:r w:rsidR="002D64CA">
        <w:t xml:space="preserve">take a progressive integration approach: EDF </w:t>
      </w:r>
      <w:r w:rsidR="000D690D">
        <w:t>argues sufficient data exist to incorporat</w:t>
      </w:r>
      <w:r w:rsidR="008F0F5B">
        <w:t xml:space="preserve">e conservative </w:t>
      </w:r>
      <w:r w:rsidR="00903396">
        <w:t xml:space="preserve">assumptions into the </w:t>
      </w:r>
      <w:r w:rsidR="0005703D">
        <w:t>DPEP but</w:t>
      </w:r>
      <w:r w:rsidR="00431C45">
        <w:t xml:space="preserve"> simultaneously </w:t>
      </w:r>
      <w:r w:rsidR="00047DB4">
        <w:t>states that EIS</w:t>
      </w:r>
      <w:r w:rsidR="0057050C">
        <w:t xml:space="preserve"> Part </w:t>
      </w:r>
      <w:r w:rsidR="00047DB4">
        <w:t>2</w:t>
      </w:r>
      <w:r w:rsidR="009A03E8">
        <w:t xml:space="preserve"> demand flexibility assumptions underestimate demand flexibility </w:t>
      </w:r>
      <w:r w:rsidR="00E30493">
        <w:t>potential and cost savings</w:t>
      </w:r>
      <w:r w:rsidR="00F34AFE">
        <w:t>;</w:t>
      </w:r>
      <w:r w:rsidR="00853FEC">
        <w:t xml:space="preserve"> </w:t>
      </w:r>
      <w:r w:rsidR="00587C71">
        <w:rPr>
          <w:rStyle w:val="FootnoteReference"/>
        </w:rPr>
        <w:footnoteReference w:id="220"/>
      </w:r>
      <w:r w:rsidR="00EE44A2">
        <w:t xml:space="preserve"> VGIC states demand flexibility should begin informing</w:t>
      </w:r>
      <w:r w:rsidR="00A434C3">
        <w:t xml:space="preserve"> planning</w:t>
      </w:r>
      <w:r w:rsidR="00F34AFE">
        <w:t>;</w:t>
      </w:r>
      <w:r w:rsidR="00891553">
        <w:rPr>
          <w:rStyle w:val="FootnoteReference"/>
        </w:rPr>
        <w:footnoteReference w:id="221"/>
      </w:r>
      <w:r w:rsidR="00A434C3">
        <w:t xml:space="preserve"> CalCCA</w:t>
      </w:r>
      <w:r w:rsidR="00C30823">
        <w:t xml:space="preserve"> advocates phased integration</w:t>
      </w:r>
      <w:r w:rsidR="002D0D34">
        <w:t xml:space="preserve"> rather than permanent exclusion</w:t>
      </w:r>
      <w:r w:rsidR="00DE3E51">
        <w:t xml:space="preserve">, </w:t>
      </w:r>
      <w:r w:rsidR="008F15BC">
        <w:t>noting that while EIS</w:t>
      </w:r>
      <w:r w:rsidR="0057050C">
        <w:t xml:space="preserve"> Part </w:t>
      </w:r>
      <w:r w:rsidR="008F15BC">
        <w:t>2 assumptions need refinement</w:t>
      </w:r>
      <w:r w:rsidR="00E05622">
        <w:t xml:space="preserve">, they could provide valuable input once </w:t>
      </w:r>
      <w:r w:rsidR="002860B0">
        <w:t>improved through iterative stakeholder process</w:t>
      </w:r>
      <w:r w:rsidR="008E16F5">
        <w:t>.</w:t>
      </w:r>
      <w:r w:rsidR="00757285">
        <w:rPr>
          <w:rStyle w:val="FootnoteReference"/>
        </w:rPr>
        <w:footnoteReference w:id="222"/>
      </w:r>
      <w:r w:rsidR="001F37D0">
        <w:t xml:space="preserve"> All three</w:t>
      </w:r>
      <w:r w:rsidR="0057050C">
        <w:t xml:space="preserve"> parties</w:t>
      </w:r>
      <w:r w:rsidR="001F37D0">
        <w:t xml:space="preserve"> reject the premise that assumptions must be fully validated </w:t>
      </w:r>
      <w:r w:rsidR="007751A2">
        <w:t>before any pl</w:t>
      </w:r>
      <w:r w:rsidR="001C1A91">
        <w:t>anning</w:t>
      </w:r>
      <w:r w:rsidR="00FC114C">
        <w:t xml:space="preserve"> incorporation.</w:t>
      </w:r>
      <w:r w:rsidR="0057050C">
        <w:rPr>
          <w:rStyle w:val="FootnoteReference"/>
        </w:rPr>
        <w:footnoteReference w:id="223"/>
      </w:r>
    </w:p>
    <w:p w:rsidR="00625464" w:rsidP="00625464" w:rsidRDefault="002730BC" w14:paraId="0A7EC12F" w14:textId="055085C5">
      <w:pPr>
        <w:pStyle w:val="Standard"/>
      </w:pPr>
      <w:r>
        <w:lastRenderedPageBreak/>
        <w:t>The IOU</w:t>
      </w:r>
      <w:r w:rsidR="001D14B9">
        <w:t>s</w:t>
      </w:r>
      <w:r>
        <w:t xml:space="preserve"> also state that demand flexibility assumptions</w:t>
      </w:r>
      <w:r w:rsidR="00625464">
        <w:t xml:space="preserve"> are immature, do not contemplate feasibility, simultaneously over</w:t>
      </w:r>
      <w:r w:rsidR="001D14B9">
        <w:t>estimate</w:t>
      </w:r>
      <w:r w:rsidR="00625464">
        <w:t xml:space="preserve"> and underestimate flexibility, or do not include key considerations.</w:t>
      </w:r>
      <w:r w:rsidR="00625464">
        <w:rPr>
          <w:rStyle w:val="FootnoteReference"/>
        </w:rPr>
        <w:footnoteReference w:id="224"/>
      </w:r>
      <w:r w:rsidR="00625464">
        <w:t xml:space="preserve"> SDG&amp;E and PG&amp;E both explicitly state that the flexibility assumptions are not fit for planning incorporation.</w:t>
      </w:r>
      <w:r w:rsidR="00625464">
        <w:rPr>
          <w:rStyle w:val="FootnoteReference"/>
        </w:rPr>
        <w:footnoteReference w:id="225"/>
      </w:r>
      <w:r w:rsidR="00625464">
        <w:t xml:space="preserve"> PG&amp;E focuses on immaturity and lack of cost consideration,</w:t>
      </w:r>
      <w:r w:rsidR="00625464">
        <w:rPr>
          <w:rStyle w:val="FootnoteReference"/>
        </w:rPr>
        <w:footnoteReference w:id="226"/>
      </w:r>
      <w:r w:rsidR="00625464">
        <w:t xml:space="preserve"> while SDG&amp;E focuses on the use of </w:t>
      </w:r>
      <w:r w:rsidR="001D14B9">
        <w:t xml:space="preserve">what it says are </w:t>
      </w:r>
      <w:r w:rsidR="00625464">
        <w:t>overly aggressive demand response participation assumptions which</w:t>
      </w:r>
      <w:r w:rsidR="008D56CB">
        <w:t xml:space="preserve"> SDG&amp;E argues</w:t>
      </w:r>
      <w:r w:rsidR="00625464">
        <w:t xml:space="preserve"> have no programmatic basis.</w:t>
      </w:r>
      <w:r w:rsidR="00625464">
        <w:rPr>
          <w:rStyle w:val="FootnoteReference"/>
        </w:rPr>
        <w:footnoteReference w:id="227"/>
      </w:r>
      <w:r w:rsidR="00625464">
        <w:t xml:space="preserve"> Cal Advocates agrees with PG&amp;E and SDG&amp;E’s assessments of the assumptions and further concurs with their suggestion that IOUs should bolster the verifiability of assumptions by using them to inform pilot programs instead of in planning.</w:t>
      </w:r>
      <w:r w:rsidR="00625464">
        <w:rPr>
          <w:rStyle w:val="FootnoteReference"/>
        </w:rPr>
        <w:footnoteReference w:id="228"/>
      </w:r>
      <w:r w:rsidR="00625464">
        <w:t xml:space="preserve"> </w:t>
      </w:r>
    </w:p>
    <w:p w:rsidR="00625464" w:rsidP="00625464" w:rsidRDefault="00625464" w14:paraId="3BC5D482" w14:textId="66FA4353">
      <w:pPr>
        <w:pStyle w:val="Standard"/>
      </w:pPr>
      <w:r>
        <w:t xml:space="preserve">SCE states that the </w:t>
      </w:r>
      <w:r w:rsidR="00D2670D">
        <w:t xml:space="preserve">study’s </w:t>
      </w:r>
      <w:r w:rsidR="00ED1FAA">
        <w:t xml:space="preserve">demand </w:t>
      </w:r>
      <w:r w:rsidR="00953F0B">
        <w:t xml:space="preserve">flexibility </w:t>
      </w:r>
      <w:r>
        <w:t xml:space="preserve">assumptions are </w:t>
      </w:r>
      <w:r w:rsidR="00295861">
        <w:t xml:space="preserve">not </w:t>
      </w:r>
      <w:r>
        <w:t>reliable an</w:t>
      </w:r>
      <w:r w:rsidR="008D56CB">
        <w:t xml:space="preserve">d </w:t>
      </w:r>
      <w:r>
        <w:t>the scenarios assume the existence of distribution flexibility programs that may not be realistically achievable.</w:t>
      </w:r>
      <w:r>
        <w:rPr>
          <w:rStyle w:val="FootnoteReference"/>
        </w:rPr>
        <w:footnoteReference w:id="229"/>
      </w:r>
      <w:r>
        <w:t xml:space="preserve"> SCE </w:t>
      </w:r>
      <w:r w:rsidR="005A3213">
        <w:t xml:space="preserve">also </w:t>
      </w:r>
      <w:r w:rsidR="00003B53">
        <w:t>states</w:t>
      </w:r>
      <w:r w:rsidR="005A3213">
        <w:t xml:space="preserve"> that </w:t>
      </w:r>
      <w:r w:rsidR="00867E11">
        <w:t xml:space="preserve">it </w:t>
      </w:r>
      <w:r>
        <w:t xml:space="preserve">is </w:t>
      </w:r>
      <w:r w:rsidR="00867E11">
        <w:t>beginning to develop</w:t>
      </w:r>
      <w:r>
        <w:t xml:space="preserve"> a process to consider demand flexibility estimations into the DP</w:t>
      </w:r>
      <w:r w:rsidR="002E0D03">
        <w:t>E</w:t>
      </w:r>
      <w:r>
        <w:t>P but argues that Track 2 is a better venue for solving the particulars of that process.</w:t>
      </w:r>
      <w:r>
        <w:rPr>
          <w:rStyle w:val="FootnoteReference"/>
        </w:rPr>
        <w:footnoteReference w:id="230"/>
      </w:r>
      <w:r w:rsidR="00295861">
        <w:t xml:space="preserve"> SCE articulates a three-prong readiness framework requiring reliability and cost-</w:t>
      </w:r>
      <w:r w:rsidR="00295861">
        <w:lastRenderedPageBreak/>
        <w:t>effectiveness validation, policy and regulatory framework development, and technical readiness through pilots.</w:t>
      </w:r>
      <w:r w:rsidR="00295861">
        <w:rPr>
          <w:rStyle w:val="FootnoteReference"/>
        </w:rPr>
        <w:footnoteReference w:id="231"/>
      </w:r>
    </w:p>
    <w:p w:rsidR="00295861" w:rsidP="00625464" w:rsidRDefault="00295861" w14:paraId="7DD4E8D3" w14:textId="29F5C735">
      <w:pPr>
        <w:pStyle w:val="Standard"/>
      </w:pPr>
      <w:r>
        <w:t xml:space="preserve">The IOUs state that any </w:t>
      </w:r>
      <w:r w:rsidR="00817758">
        <w:t>forecasted</w:t>
      </w:r>
      <w:r>
        <w:t xml:space="preserve"> demand flexibility incorporated into distribution planning should flow through the IEPR forecast as load modifiers, not through DPEP inputs.</w:t>
      </w:r>
      <w:r>
        <w:rPr>
          <w:rStyle w:val="FootnoteReference"/>
        </w:rPr>
        <w:footnoteReference w:id="232"/>
      </w:r>
      <w:r>
        <w:t xml:space="preserve"> Clean Coalition argues that IEPR load modifiers alone are insufficient to capture the locational and temporal value of DER flexibility and that circuit- and substation-level constraints require a separate locational analysis within the DPEP.</w:t>
      </w:r>
      <w:r>
        <w:rPr>
          <w:rStyle w:val="FootnoteReference"/>
        </w:rPr>
        <w:footnoteReference w:id="233"/>
      </w:r>
      <w:r>
        <w:t xml:space="preserve"> UCAN additionally challenge</w:t>
      </w:r>
      <w:r w:rsidR="00C27BDE">
        <w:t>s</w:t>
      </w:r>
      <w:r>
        <w:t xml:space="preserve"> utility representations that IEPR integration could occur by 2027-2028, arguing the timeline is effectively utility-controlled and likely further out than stated.</w:t>
      </w:r>
      <w:r>
        <w:rPr>
          <w:rStyle w:val="FootnoteReference"/>
        </w:rPr>
        <w:footnoteReference w:id="234"/>
      </w:r>
    </w:p>
    <w:p w:rsidR="00625464" w:rsidP="00625464" w:rsidRDefault="00625464" w14:paraId="2F764E0D" w14:textId="68044A31">
      <w:pPr>
        <w:pStyle w:val="Standard"/>
      </w:pPr>
      <w:r>
        <w:t xml:space="preserve">While the IOUs </w:t>
      </w:r>
      <w:r w:rsidR="008D56CB">
        <w:t>state</w:t>
      </w:r>
      <w:r>
        <w:t xml:space="preserve"> the assumptions should not be integrated, VGIC argues that the overall findings are ready to start informing planning, but that the specific assumptions used lack the granularity necessary to be verifiable.</w:t>
      </w:r>
      <w:r>
        <w:rPr>
          <w:rStyle w:val="FootnoteReference"/>
        </w:rPr>
        <w:footnoteReference w:id="235"/>
      </w:r>
      <w:r>
        <w:t xml:space="preserve"> Similarly, EDF contends that some conservative load flexibility assumptions can be used in the yearly DPEP, but that additional integration requires assumption refinement.</w:t>
      </w:r>
      <w:r>
        <w:rPr>
          <w:rStyle w:val="FootnoteReference"/>
        </w:rPr>
        <w:footnoteReference w:id="236"/>
      </w:r>
      <w:r>
        <w:t xml:space="preserve"> </w:t>
      </w:r>
    </w:p>
    <w:p w:rsidR="00625464" w:rsidP="00F85AEA" w:rsidRDefault="00625464" w14:paraId="689D25DB" w14:textId="61B8C634">
      <w:pPr>
        <w:pStyle w:val="Standard"/>
      </w:pPr>
      <w:r>
        <w:t xml:space="preserve">CalCCA argues that </w:t>
      </w:r>
      <w:r w:rsidR="001A59B4">
        <w:t xml:space="preserve">the </w:t>
      </w:r>
      <w:r>
        <w:t xml:space="preserve">reliability of assumptions will be materially affected by current rulemakings and that the </w:t>
      </w:r>
      <w:r w:rsidR="7B4D58BA">
        <w:t>Distribution Forecasting</w:t>
      </w:r>
      <w:r>
        <w:t xml:space="preserve"> Working </w:t>
      </w:r>
      <w:r>
        <w:lastRenderedPageBreak/>
        <w:t>Group</w:t>
      </w:r>
      <w:r w:rsidR="00F85AEA">
        <w:t xml:space="preserve"> </w:t>
      </w:r>
      <w:r>
        <w:t>(DFWG) and the Distribution Planning Advisory Group (DPAG) should help refine them.</w:t>
      </w:r>
      <w:r>
        <w:rPr>
          <w:rStyle w:val="FootnoteReference"/>
        </w:rPr>
        <w:footnoteReference w:id="237"/>
      </w:r>
    </w:p>
    <w:p w:rsidR="00347546" w:rsidP="00347546" w:rsidRDefault="003B0057" w14:paraId="51B6A126" w14:textId="3B2DB143">
      <w:pPr>
        <w:pStyle w:val="Standard"/>
      </w:pPr>
      <w:r>
        <w:t xml:space="preserve">A </w:t>
      </w:r>
      <w:r w:rsidR="00347546">
        <w:t>central finding across the EIS</w:t>
      </w:r>
      <w:r w:rsidR="00D81C99">
        <w:t xml:space="preserve"> Part </w:t>
      </w:r>
      <w:r w:rsidR="00347546">
        <w:t xml:space="preserve">2 final reports is </w:t>
      </w:r>
      <w:r w:rsidRPr="00B127F8" w:rsidR="00347546">
        <w:t xml:space="preserve">that demand flexibility </w:t>
      </w:r>
      <w:r w:rsidR="0A3AB352">
        <w:t>can reduce</w:t>
      </w:r>
      <w:r w:rsidRPr="00B127F8" w:rsidR="00347546">
        <w:t xml:space="preserve"> the distribution infrastructure investments required to serve electrification</w:t>
      </w:r>
      <w:r w:rsidR="00347546">
        <w:t xml:space="preserve"> and </w:t>
      </w:r>
      <w:r w:rsidR="003225B0">
        <w:t>create</w:t>
      </w:r>
      <w:r w:rsidR="00347546">
        <w:t xml:space="preserve"> savings for ratepayers. PG&amp;E's Enhanced Demand Flexibility </w:t>
      </w:r>
      <w:r w:rsidR="00C27BDE">
        <w:t>S</w:t>
      </w:r>
      <w:r w:rsidR="00347546">
        <w:t>cenario achieved approximately $1.8 billion in cost reductions relative to its Base (Mitigated) Scenario</w:t>
      </w:r>
      <w:r w:rsidR="00CE7439">
        <w:t xml:space="preserve"> through</w:t>
      </w:r>
      <w:r w:rsidR="00DF1073">
        <w:t xml:space="preserve"> 2040</w:t>
      </w:r>
      <w:r w:rsidR="00347546">
        <w:t xml:space="preserve">; SCE's </w:t>
      </w:r>
      <w:r w:rsidR="00212A6A">
        <w:t xml:space="preserve">two </w:t>
      </w:r>
      <w:r w:rsidR="00347546">
        <w:t>demand flexibility scenario</w:t>
      </w:r>
      <w:r w:rsidR="00212A6A">
        <w:t>s</w:t>
      </w:r>
      <w:r w:rsidR="00347546">
        <w:t xml:space="preserve"> showed reductions </w:t>
      </w:r>
      <w:r w:rsidR="003C3D92">
        <w:t>between</w:t>
      </w:r>
      <w:r w:rsidR="003D2941">
        <w:t xml:space="preserve"> </w:t>
      </w:r>
      <w:r w:rsidR="00347546">
        <w:t>$0.32 to $1.38 billion; and SDG&amp;E's</w:t>
      </w:r>
      <w:r w:rsidR="00212A6A">
        <w:t xml:space="preserve"> </w:t>
      </w:r>
      <w:r w:rsidR="00165AA0">
        <w:t>D</w:t>
      </w:r>
      <w:r w:rsidR="00212A6A">
        <w:t xml:space="preserve">emand </w:t>
      </w:r>
      <w:r w:rsidR="00165AA0">
        <w:t>F</w:t>
      </w:r>
      <w:r w:rsidR="00212A6A">
        <w:t>lexibility</w:t>
      </w:r>
      <w:r w:rsidR="00347546">
        <w:t xml:space="preserve"> </w:t>
      </w:r>
      <w:r w:rsidR="00165AA0">
        <w:t>S</w:t>
      </w:r>
      <w:r w:rsidR="00347546">
        <w:t>cenario showed reductions of approximately $697 million</w:t>
      </w:r>
      <w:r w:rsidR="00EA6CAC">
        <w:t xml:space="preserve"> </w:t>
      </w:r>
      <w:r w:rsidR="00304F3D">
        <w:t>for the 2025-2040 period</w:t>
      </w:r>
      <w:r w:rsidR="00347546">
        <w:t>.</w:t>
      </w:r>
      <w:r w:rsidR="00347546">
        <w:rPr>
          <w:rStyle w:val="FootnoteReference"/>
        </w:rPr>
        <w:footnoteReference w:id="238"/>
      </w:r>
      <w:r w:rsidR="00347546">
        <w:t xml:space="preserve"> Those results</w:t>
      </w:r>
      <w:r w:rsidR="006B59F5">
        <w:t xml:space="preserve">, which reflect modeled potential under study assumptions, </w:t>
      </w:r>
      <w:r w:rsidR="00CD345B">
        <w:t>indic</w:t>
      </w:r>
      <w:r w:rsidR="00C27BDE">
        <w:t>ate</w:t>
      </w:r>
      <w:r w:rsidR="00347546">
        <w:t xml:space="preserve"> that capturing demand flexibility in distribution planning is not a peripheral refinement but a significant affordability lever</w:t>
      </w:r>
      <w:r w:rsidR="00E06EAE">
        <w:t xml:space="preserve"> and </w:t>
      </w:r>
      <w:r w:rsidR="002576C2">
        <w:t>intrinsically relevant to the determination of cost-effectiveness of specific DER</w:t>
      </w:r>
      <w:r w:rsidR="009320E4">
        <w:t xml:space="preserve"> deployment use-cases</w:t>
      </w:r>
      <w:r w:rsidR="00347546">
        <w:t>.</w:t>
      </w:r>
    </w:p>
    <w:p w:rsidRPr="00BA6610" w:rsidR="00347546" w:rsidP="00347546" w:rsidRDefault="00EB33FD" w14:paraId="2592037B" w14:textId="17CCBA47">
      <w:pPr>
        <w:pStyle w:val="Standard"/>
      </w:pPr>
      <w:r w:rsidRPr="00BA6610">
        <w:t xml:space="preserve">The Commission </w:t>
      </w:r>
      <w:r w:rsidRPr="00BA6610" w:rsidR="005A21E5">
        <w:t xml:space="preserve">recognizes </w:t>
      </w:r>
      <w:r w:rsidRPr="00BA6610">
        <w:t xml:space="preserve">that the </w:t>
      </w:r>
      <w:r w:rsidR="00732BF3">
        <w:t xml:space="preserve">CEC’s </w:t>
      </w:r>
      <w:r w:rsidRPr="00BA6610">
        <w:t>IEPR</w:t>
      </w:r>
      <w:r w:rsidRPr="00BA6610" w:rsidR="00395B85">
        <w:t xml:space="preserve"> </w:t>
      </w:r>
      <w:r w:rsidRPr="00BA6610" w:rsidR="00554EB7">
        <w:t xml:space="preserve">forecast </w:t>
      </w:r>
      <w:r w:rsidRPr="00BA6610">
        <w:t xml:space="preserve">is </w:t>
      </w:r>
      <w:r w:rsidR="006B59F5">
        <w:t>an important</w:t>
      </w:r>
      <w:r w:rsidR="00F5191A">
        <w:t xml:space="preserve"> </w:t>
      </w:r>
      <w:r w:rsidRPr="00BA6610">
        <w:t xml:space="preserve">venue to incorporate demand flexibility assumptions into </w:t>
      </w:r>
      <w:r w:rsidR="00090806">
        <w:t>energy demand forecasting</w:t>
      </w:r>
      <w:r w:rsidRPr="00BA6610" w:rsidR="00715A87">
        <w:t xml:space="preserve"> </w:t>
      </w:r>
      <w:r w:rsidRPr="00D760A3" w:rsidR="00715A87">
        <w:t>at the system level</w:t>
      </w:r>
      <w:r w:rsidRPr="00BA6610" w:rsidR="00BA1E45">
        <w:t>;</w:t>
      </w:r>
      <w:r w:rsidRPr="00BA6610" w:rsidR="007C43D9">
        <w:t xml:space="preserve"> </w:t>
      </w:r>
      <w:r w:rsidRPr="00BA6610">
        <w:t xml:space="preserve">but </w:t>
      </w:r>
      <w:r w:rsidR="00E376C0">
        <w:t xml:space="preserve">the </w:t>
      </w:r>
      <w:r w:rsidRPr="00BA6610" w:rsidR="00CD7ECC">
        <w:t>distri</w:t>
      </w:r>
      <w:r w:rsidRPr="00BA6610" w:rsidR="00451A76">
        <w:t>bution-level</w:t>
      </w:r>
      <w:r w:rsidRPr="00BA6610" w:rsidR="001209BD">
        <w:t xml:space="preserve"> implementation </w:t>
      </w:r>
      <w:r w:rsidRPr="00BA6610">
        <w:t xml:space="preserve">will require alignment between the </w:t>
      </w:r>
      <w:r w:rsidRPr="00BA6610" w:rsidR="00066290">
        <w:t xml:space="preserve">utilities to develop </w:t>
      </w:r>
      <w:r w:rsidRPr="00BA6610" w:rsidR="002079B3">
        <w:t xml:space="preserve">more </w:t>
      </w:r>
      <w:r w:rsidRPr="00BA6610" w:rsidR="0061377F">
        <w:t xml:space="preserve">granular </w:t>
      </w:r>
      <w:r w:rsidRPr="00BA6610">
        <w:t>disaggregation practices</w:t>
      </w:r>
      <w:r w:rsidRPr="00BA6610" w:rsidR="00A82B86">
        <w:t xml:space="preserve"> at the circuit and substation level, </w:t>
      </w:r>
      <w:r w:rsidRPr="00BA6610" w:rsidR="00893FD0">
        <w:t>informed by their operational data</w:t>
      </w:r>
      <w:r w:rsidRPr="00BA6610">
        <w:t xml:space="preserve"> and </w:t>
      </w:r>
      <w:r w:rsidRPr="00BA6610" w:rsidR="00074A85">
        <w:t xml:space="preserve">distinct </w:t>
      </w:r>
      <w:r w:rsidRPr="00BA6610" w:rsidR="00093C8B">
        <w:t>from</w:t>
      </w:r>
      <w:r w:rsidRPr="00BA6610" w:rsidR="00CC5D88">
        <w:t xml:space="preserve"> </w:t>
      </w:r>
      <w:r w:rsidRPr="00BA6610">
        <w:t xml:space="preserve">the </w:t>
      </w:r>
      <w:r w:rsidRPr="00BA6610" w:rsidR="005D32DE">
        <w:t xml:space="preserve">system-level </w:t>
      </w:r>
      <w:r w:rsidRPr="00BA6610">
        <w:t xml:space="preserve">CEC’s </w:t>
      </w:r>
      <w:r w:rsidRPr="00BA6610" w:rsidR="005D32DE">
        <w:t xml:space="preserve">IEPR </w:t>
      </w:r>
      <w:r w:rsidRPr="00BA6610">
        <w:t xml:space="preserve">forecast. </w:t>
      </w:r>
      <w:r w:rsidRPr="00BA6610" w:rsidR="00347546">
        <w:t xml:space="preserve">PG&amp;E </w:t>
      </w:r>
      <w:r w:rsidR="00DF5DC4">
        <w:t xml:space="preserve">indicates it is </w:t>
      </w:r>
      <w:r w:rsidR="00DD2B2C">
        <w:t xml:space="preserve">building foundational </w:t>
      </w:r>
      <w:r w:rsidR="00EC7D9C">
        <w:t>capabilities</w:t>
      </w:r>
      <w:r w:rsidR="00DD2B2C">
        <w:t xml:space="preserve"> for </w:t>
      </w:r>
      <w:r w:rsidR="00322AB2">
        <w:t>demand fle</w:t>
      </w:r>
      <w:r w:rsidR="00E17F58">
        <w:t xml:space="preserve">xibility </w:t>
      </w:r>
      <w:r w:rsidR="00E5709D">
        <w:t xml:space="preserve">through EPIC 4.08 </w:t>
      </w:r>
      <w:r w:rsidR="00745160">
        <w:t xml:space="preserve">to make </w:t>
      </w:r>
      <w:r w:rsidR="00FD20C1">
        <w:t>flexibility more</w:t>
      </w:r>
      <w:r w:rsidR="00FE5216">
        <w:t xml:space="preserve"> </w:t>
      </w:r>
      <w:r w:rsidR="00FD20C1">
        <w:t xml:space="preserve">planning relevant and directly </w:t>
      </w:r>
      <w:r w:rsidR="001522F8">
        <w:t>usable</w:t>
      </w:r>
      <w:r w:rsidR="005876F3">
        <w:t xml:space="preserve">, in particular </w:t>
      </w:r>
      <w:r w:rsidR="00A1418F">
        <w:t xml:space="preserve">to improve </w:t>
      </w:r>
      <w:r w:rsidR="00A817CD">
        <w:t>how flexibility is represented</w:t>
      </w:r>
      <w:r w:rsidR="00333CCC">
        <w:t xml:space="preserve"> in scenario planning</w:t>
      </w:r>
      <w:r w:rsidR="007D0B7E">
        <w:t>;</w:t>
      </w:r>
      <w:r w:rsidR="00466684">
        <w:rPr>
          <w:rStyle w:val="FootnoteReference"/>
        </w:rPr>
        <w:footnoteReference w:id="239"/>
      </w:r>
      <w:r w:rsidRPr="00BA6610" w:rsidR="00347546">
        <w:t xml:space="preserve"> SDG&amp;E frames </w:t>
      </w:r>
      <w:r w:rsidRPr="00BA6610" w:rsidR="00347546">
        <w:lastRenderedPageBreak/>
        <w:t xml:space="preserve">“demand response” as a potential load modifier similar to </w:t>
      </w:r>
      <w:r w:rsidRPr="00BA6610" w:rsidR="00212A6A">
        <w:t xml:space="preserve">the CEC’s </w:t>
      </w:r>
      <w:r w:rsidRPr="00BA6610" w:rsidR="00347546">
        <w:t xml:space="preserve">Additional </w:t>
      </w:r>
      <w:r w:rsidDel="00D172ED" w:rsidR="00347546">
        <w:t>A</w:t>
      </w:r>
      <w:r w:rsidR="0021043A">
        <w:t>chievable</w:t>
      </w:r>
      <w:r w:rsidRPr="00BA6610" w:rsidR="00347546">
        <w:t xml:space="preserve"> Energy Efficiency</w:t>
      </w:r>
      <w:r w:rsidRPr="00BA6610" w:rsidR="00212A6A">
        <w:t xml:space="preserve"> framework</w:t>
      </w:r>
      <w:r w:rsidR="00CD35DA">
        <w:t>;</w:t>
      </w:r>
      <w:r w:rsidR="00780B35">
        <w:rPr>
          <w:rStyle w:val="FootnoteReference"/>
        </w:rPr>
        <w:footnoteReference w:id="240"/>
      </w:r>
      <w:r w:rsidRPr="00BA6610" w:rsidR="00347546">
        <w:t xml:space="preserve"> and SCE </w:t>
      </w:r>
      <w:r w:rsidRPr="00BA6610" w:rsidR="00212A6A">
        <w:t>states that demand flexibility assumptions “should not inform forecasting assumptions used in the yearly DPEP until they have been validated with pilots and empirical data” and that “[t]he DPEP should continue to rely on IEPR-informed forecasts and validated methodologies.”</w:t>
      </w:r>
      <w:r w:rsidRPr="00BA6610" w:rsidR="00347546">
        <w:rPr>
          <w:rStyle w:val="FootnoteReference"/>
        </w:rPr>
        <w:footnoteReference w:id="241"/>
      </w:r>
    </w:p>
    <w:p w:rsidR="004D4E2C" w:rsidP="002319E0" w:rsidRDefault="004D4E2C" w14:paraId="12E8E33F" w14:textId="4DFF4306">
      <w:pPr>
        <w:pStyle w:val="Heading2"/>
      </w:pPr>
      <w:bookmarkStart w:name="_Toc1753864583" w:id="95"/>
      <w:bookmarkStart w:name="_Toc243991468" w:id="96"/>
      <w:r>
        <w:t>Load Flexibility Scenario</w:t>
      </w:r>
      <w:r w:rsidR="00FB1415">
        <w:t xml:space="preserve"> within the Scenario Planning </w:t>
      </w:r>
      <w:r w:rsidRPr="002319E0" w:rsidR="00FB539F">
        <w:t>F</w:t>
      </w:r>
      <w:r w:rsidRPr="002319E0" w:rsidR="00CC4250">
        <w:t>ramework</w:t>
      </w:r>
      <w:r w:rsidR="00CC4250">
        <w:t>.</w:t>
      </w:r>
      <w:bookmarkEnd w:id="95"/>
      <w:bookmarkEnd w:id="96"/>
    </w:p>
    <w:p w:rsidRPr="00D57ADC" w:rsidR="00742A5A" w:rsidP="00742A5A" w:rsidRDefault="00DA30E3" w14:paraId="2E462CED" w14:textId="095092C2">
      <w:pPr>
        <w:pStyle w:val="Standard"/>
      </w:pPr>
      <w:r>
        <w:t xml:space="preserve">In December 2025, </w:t>
      </w:r>
      <w:r w:rsidR="00742A5A">
        <w:t>Resolution E-5414</w:t>
      </w:r>
      <w:r w:rsidR="009E1204">
        <w:t xml:space="preserve"> (Scenario Planning)</w:t>
      </w:r>
      <w:r w:rsidR="00742A5A">
        <w:t xml:space="preserve"> declined to adopt a stand</w:t>
      </w:r>
      <w:r w:rsidR="009D6A68">
        <w:t>-</w:t>
      </w:r>
      <w:r w:rsidR="00742A5A">
        <w:t xml:space="preserve">alone </w:t>
      </w:r>
      <w:r w:rsidR="00165AA0">
        <w:t>D</w:t>
      </w:r>
      <w:r w:rsidR="00742A5A">
        <w:t xml:space="preserve">emand </w:t>
      </w:r>
      <w:r w:rsidR="00165AA0">
        <w:t>F</w:t>
      </w:r>
      <w:r w:rsidR="00742A5A">
        <w:t xml:space="preserve">lexibility </w:t>
      </w:r>
      <w:r w:rsidR="00165AA0">
        <w:t>S</w:t>
      </w:r>
      <w:r w:rsidR="00742A5A">
        <w:t xml:space="preserve">cenario for the 2025-2026 </w:t>
      </w:r>
      <w:r w:rsidR="009D6A68">
        <w:t xml:space="preserve">DPEP </w:t>
      </w:r>
      <w:r w:rsidR="00742A5A">
        <w:t>cycle, citing the immaturity of demand flexibility methodologies and the pendency of EIS</w:t>
      </w:r>
      <w:r w:rsidR="00FB539F">
        <w:t xml:space="preserve"> Part </w:t>
      </w:r>
      <w:r w:rsidR="00742A5A">
        <w:t>2</w:t>
      </w:r>
      <w:r w:rsidR="002C2E3C">
        <w:t xml:space="preserve"> final results</w:t>
      </w:r>
      <w:r w:rsidR="00742A5A">
        <w:t xml:space="preserve">, while finding it "very important to integrate demand flexibility into scenario planning once the EIS Part 2 Study is </w:t>
      </w:r>
      <w:r w:rsidRPr="00D57ADC" w:rsidR="00742A5A">
        <w:t xml:space="preserve">completed" and scoping that determination </w:t>
      </w:r>
      <w:r w:rsidR="002906AC">
        <w:t>in</w:t>
      </w:r>
      <w:r w:rsidRPr="00D57ADC" w:rsidR="00742A5A">
        <w:t>to Track 1 Phase 2 of this proceeding.</w:t>
      </w:r>
      <w:r w:rsidR="00287617">
        <w:rPr>
          <w:rStyle w:val="FootnoteReference"/>
        </w:rPr>
        <w:footnoteReference w:id="242"/>
      </w:r>
      <w:r w:rsidRPr="00D57ADC" w:rsidR="00742A5A">
        <w:t xml:space="preserve"> With the EIS</w:t>
      </w:r>
      <w:r w:rsidR="00FB539F">
        <w:t xml:space="preserve"> Part </w:t>
      </w:r>
      <w:r w:rsidRPr="00D57ADC" w:rsidR="00742A5A">
        <w:t xml:space="preserve">2 final reports filed </w:t>
      </w:r>
      <w:r w:rsidR="009C52B2">
        <w:t>in January of 2026</w:t>
      </w:r>
      <w:r w:rsidR="00CC2F62">
        <w:t xml:space="preserve">, </w:t>
      </w:r>
      <w:r w:rsidRPr="00D57ADC" w:rsidR="00742A5A">
        <w:t>and the comment record developed</w:t>
      </w:r>
      <w:r w:rsidR="00287617">
        <w:t>,</w:t>
      </w:r>
      <w:r w:rsidRPr="00D57ADC" w:rsidR="00742A5A">
        <w:t xml:space="preserve"> the Commission direct</w:t>
      </w:r>
      <w:r w:rsidR="00287617">
        <w:t>s</w:t>
      </w:r>
      <w:r w:rsidRPr="00D57ADC" w:rsidR="00742A5A">
        <w:t xml:space="preserve"> the IOUs to </w:t>
      </w:r>
      <w:r w:rsidR="009375A2">
        <w:t>propose</w:t>
      </w:r>
      <w:r w:rsidRPr="00D57ADC" w:rsidR="009375A2">
        <w:t xml:space="preserve"> </w:t>
      </w:r>
      <w:r w:rsidRPr="00D57ADC" w:rsidR="00742A5A">
        <w:t>a Load Flexibility Scenario</w:t>
      </w:r>
      <w:r w:rsidR="00287617">
        <w:t xml:space="preserve"> </w:t>
      </w:r>
      <w:r w:rsidRPr="00D57ADC" w:rsidR="00742A5A">
        <w:t xml:space="preserve">as the </w:t>
      </w:r>
      <w:r w:rsidR="00287617">
        <w:t>fourth</w:t>
      </w:r>
      <w:r w:rsidRPr="00D57ADC" w:rsidR="00742A5A">
        <w:t xml:space="preserve"> scenario in the annual DPEP Scenario Planning process</w:t>
      </w:r>
      <w:r w:rsidR="00287617">
        <w:t xml:space="preserve">. The IOUs are </w:t>
      </w:r>
      <w:r w:rsidRPr="00287617" w:rsidR="00287617">
        <w:t xml:space="preserve">directed to use </w:t>
      </w:r>
      <w:r w:rsidRPr="00287617" w:rsidR="00742A5A">
        <w:rPr>
          <w:rFonts w:eastAsia="Aptos" w:cs="Aptos"/>
        </w:rPr>
        <w:t>the methodological lessons and directional findings from EIS</w:t>
      </w:r>
      <w:r w:rsidR="00FB539F">
        <w:rPr>
          <w:rFonts w:eastAsia="Aptos" w:cs="Aptos"/>
        </w:rPr>
        <w:t xml:space="preserve"> Part </w:t>
      </w:r>
      <w:r w:rsidRPr="00287617" w:rsidR="00742A5A">
        <w:rPr>
          <w:rFonts w:eastAsia="Aptos" w:cs="Aptos"/>
        </w:rPr>
        <w:t xml:space="preserve">2 as the analytical foundation </w:t>
      </w:r>
      <w:r w:rsidRPr="00287617" w:rsidR="00742A5A">
        <w:t xml:space="preserve">and follow the same staged pathway the Commission used to </w:t>
      </w:r>
      <w:r w:rsidRPr="00D57ADC" w:rsidR="00742A5A">
        <w:t>establish the scenario planning framework itself: a</w:t>
      </w:r>
      <w:r w:rsidR="008E1A2D">
        <w:t xml:space="preserve"> </w:t>
      </w:r>
      <w:r w:rsidR="00B458D3">
        <w:t>workshop</w:t>
      </w:r>
      <w:r w:rsidR="0062031D">
        <w:t xml:space="preserve"> that presents the IOUs’ proposal, followed by a</w:t>
      </w:r>
      <w:r w:rsidRPr="00D57ADC" w:rsidR="00742A5A">
        <w:t xml:space="preserve"> joint IOU </w:t>
      </w:r>
      <w:r w:rsidR="0067409D">
        <w:t xml:space="preserve">Tier 3 </w:t>
      </w:r>
      <w:r w:rsidR="00287617">
        <w:t>a</w:t>
      </w:r>
      <w:r w:rsidRPr="00D57ADC" w:rsidR="00742A5A">
        <w:t xml:space="preserve">dvice </w:t>
      </w:r>
      <w:r w:rsidR="00287617">
        <w:t>l</w:t>
      </w:r>
      <w:r w:rsidRPr="00D57ADC" w:rsidR="00742A5A">
        <w:t>etter defining the technical basis, and implementation in the subsequent DPEP cycle.</w:t>
      </w:r>
    </w:p>
    <w:p w:rsidR="00287617" w:rsidP="00742A5A" w:rsidRDefault="00742A5A" w14:paraId="005B5C76" w14:textId="048EAD9D">
      <w:pPr>
        <w:pStyle w:val="Standard"/>
      </w:pPr>
      <w:r w:rsidRPr="0081662D">
        <w:lastRenderedPageBreak/>
        <w:t xml:space="preserve">Specifically, </w:t>
      </w:r>
      <w:r w:rsidR="00287617">
        <w:t>t</w:t>
      </w:r>
      <w:r w:rsidRPr="0081662D">
        <w:t>he Commission</w:t>
      </w:r>
      <w:r w:rsidR="00287617">
        <w:t xml:space="preserve"> directs the</w:t>
      </w:r>
      <w:r>
        <w:t xml:space="preserve"> IOUs to present their </w:t>
      </w:r>
      <w:r w:rsidR="1638C844">
        <w:t xml:space="preserve">proposals for establishing a </w:t>
      </w:r>
      <w:r>
        <w:t>Load Flexibility</w:t>
      </w:r>
      <w:r w:rsidR="00165AA0">
        <w:t xml:space="preserve"> S</w:t>
      </w:r>
      <w:r>
        <w:t xml:space="preserve">cenario </w:t>
      </w:r>
      <w:r w:rsidR="395AD4D6">
        <w:t xml:space="preserve">as a fourth scenario in the DPEP scenario planning process </w:t>
      </w:r>
      <w:r w:rsidR="00287617">
        <w:t>a</w:t>
      </w:r>
      <w:r>
        <w:t xml:space="preserve">t a full-day stakeholder workshop </w:t>
      </w:r>
      <w:r w:rsidR="00287617">
        <w:t xml:space="preserve">to be held </w:t>
      </w:r>
      <w:r w:rsidR="7F8F9152">
        <w:t xml:space="preserve">within </w:t>
      </w:r>
      <w:r w:rsidR="00CD345B">
        <w:t>120</w:t>
      </w:r>
      <w:r w:rsidR="7F8F9152">
        <w:t xml:space="preserve"> </w:t>
      </w:r>
      <w:r w:rsidR="00455A84">
        <w:t xml:space="preserve">calendar </w:t>
      </w:r>
      <w:r w:rsidR="7F8F9152">
        <w:t xml:space="preserve">days of </w:t>
      </w:r>
      <w:r w:rsidR="0087324D">
        <w:t xml:space="preserve">issuance of </w:t>
      </w:r>
      <w:r w:rsidR="7F8F9152">
        <w:t>this Decision</w:t>
      </w:r>
      <w:r w:rsidR="4EE20518">
        <w:t xml:space="preserve">. </w:t>
      </w:r>
      <w:r w:rsidRPr="00CD345B" w:rsidR="00CD345B">
        <w:t>The specific design of the fourth scenario, including its methodology, assumptions, relationship to the existing Low, Base, and High scenarios, and implementation readiness criteria, will be developed through the stakeholder workshop and Tier 3 advice letter process directed below.</w:t>
      </w:r>
      <w:r w:rsidR="00CD345B">
        <w:t xml:space="preserve"> </w:t>
      </w:r>
      <w:r w:rsidR="4EE20518">
        <w:t>At the workshop</w:t>
      </w:r>
      <w:r w:rsidR="00F8692E">
        <w:t>,</w:t>
      </w:r>
      <w:r w:rsidR="4EE20518">
        <w:t xml:space="preserve"> the IOUs shall </w:t>
      </w:r>
      <w:r>
        <w:t>present the technical elements outlined below. Consistent with</w:t>
      </w:r>
      <w:r w:rsidR="00644B6F">
        <w:t xml:space="preserve"> </w:t>
      </w:r>
      <w:r w:rsidR="00FE484C">
        <w:t xml:space="preserve">the </w:t>
      </w:r>
      <w:r w:rsidR="00644B6F">
        <w:t>approach order</w:t>
      </w:r>
      <w:r w:rsidR="0097183F">
        <w:t>ed in D.24</w:t>
      </w:r>
      <w:r w:rsidR="006D3289">
        <w:t>-</w:t>
      </w:r>
      <w:r w:rsidR="001E4AF7">
        <w:t>10</w:t>
      </w:r>
      <w:r w:rsidR="006D3289">
        <w:t>-</w:t>
      </w:r>
      <w:r w:rsidR="001E4AF7">
        <w:t>030</w:t>
      </w:r>
      <w:r w:rsidR="00644B6F">
        <w:t xml:space="preserve"> for </w:t>
      </w:r>
      <w:r w:rsidR="0097183F">
        <w:t>development of</w:t>
      </w:r>
      <w:r w:rsidR="00644B6F">
        <w:t xml:space="preserve"> </w:t>
      </w:r>
      <w:r w:rsidR="00E00911">
        <w:t xml:space="preserve">the </w:t>
      </w:r>
      <w:r w:rsidRPr="00EB6DBB" w:rsidR="00E00911">
        <w:rPr>
          <w:i/>
          <w:iCs/>
        </w:rPr>
        <w:t>Scenario</w:t>
      </w:r>
      <w:r w:rsidRPr="00EB6DBB" w:rsidR="0063530E">
        <w:rPr>
          <w:i/>
          <w:iCs/>
        </w:rPr>
        <w:t xml:space="preserve"> Planning</w:t>
      </w:r>
      <w:r w:rsidR="0063530E">
        <w:t xml:space="preserve"> </w:t>
      </w:r>
      <w:r w:rsidR="006D3289">
        <w:rPr>
          <w:i/>
        </w:rPr>
        <w:t>F</w:t>
      </w:r>
      <w:r w:rsidRPr="00EB6DBB" w:rsidR="0070552D">
        <w:rPr>
          <w:i/>
        </w:rPr>
        <w:t>ramework</w:t>
      </w:r>
      <w:r w:rsidR="009401AD">
        <w:rPr>
          <w:i/>
        </w:rPr>
        <w:t>,</w:t>
      </w:r>
      <w:r>
        <w:t xml:space="preserve"> </w:t>
      </w:r>
      <w:r w:rsidR="00586B2B">
        <w:t xml:space="preserve">the </w:t>
      </w:r>
      <w:r>
        <w:t xml:space="preserve">workshop will serve as the venue for parties to </w:t>
      </w:r>
      <w:r w:rsidR="00536BB9">
        <w:t xml:space="preserve">provide feedback regarding </w:t>
      </w:r>
      <w:r w:rsidR="00D760A3">
        <w:t xml:space="preserve">the </w:t>
      </w:r>
      <w:r w:rsidR="009F2B31">
        <w:t>IOU</w:t>
      </w:r>
      <w:r w:rsidR="00A15918">
        <w:t>s’</w:t>
      </w:r>
      <w:r w:rsidR="009F2B31">
        <w:t xml:space="preserve"> proposal for how to </w:t>
      </w:r>
      <w:r w:rsidR="00A425D4">
        <w:t xml:space="preserve">establish a </w:t>
      </w:r>
      <w:r>
        <w:t xml:space="preserve">Load Flexibility Scenario as </w:t>
      </w:r>
      <w:r w:rsidR="00A425D4">
        <w:t>a</w:t>
      </w:r>
      <w:r w:rsidR="009401AD">
        <w:t xml:space="preserve"> f</w:t>
      </w:r>
      <w:r>
        <w:t>ourth scenario within the existing DPEP Scenario Planning Framework.</w:t>
      </w:r>
      <w:r w:rsidR="00FE484C">
        <w:t xml:space="preserve"> The IOUs will also take written comments on the proposal from stakeholders and attach the written comments to the Tier 3 </w:t>
      </w:r>
      <w:r w:rsidR="00D760A3">
        <w:t>a</w:t>
      </w:r>
      <w:r w:rsidR="00FE484C">
        <w:t xml:space="preserve">dvice </w:t>
      </w:r>
      <w:r w:rsidR="00D760A3">
        <w:t>l</w:t>
      </w:r>
      <w:r w:rsidR="00FE484C">
        <w:t>etter</w:t>
      </w:r>
      <w:r w:rsidR="00CD345B">
        <w:t xml:space="preserve">, </w:t>
      </w:r>
      <w:r w:rsidRPr="00CD345B" w:rsidR="00CD345B">
        <w:t>together with a summary of how each comment was addressed or why it was not adopted. Energy Division may direct the IOUs to convene a second stakeholder workshop prior to the filing of the Tier 3 advice letter.</w:t>
      </w:r>
    </w:p>
    <w:p w:rsidR="00742A5A" w:rsidP="00742A5A" w:rsidRDefault="00742A5A" w14:paraId="1ECC58E4" w14:textId="0579BC79">
      <w:pPr>
        <w:pStyle w:val="Standard"/>
      </w:pPr>
      <w:r>
        <w:t xml:space="preserve">The workshop shall </w:t>
      </w:r>
      <w:r w:rsidR="00FE484C">
        <w:t>address</w:t>
      </w:r>
      <w:r w:rsidR="009D6A68">
        <w:t xml:space="preserve"> the following issues</w:t>
      </w:r>
      <w:r>
        <w:t>:</w:t>
      </w:r>
    </w:p>
    <w:p w:rsidR="00742A5A" w:rsidP="0066381B" w:rsidRDefault="00742A5A" w14:paraId="207AE72A" w14:textId="1B66CF0F">
      <w:pPr>
        <w:pStyle w:val="Standard"/>
        <w:numPr>
          <w:ilvl w:val="0"/>
          <w:numId w:val="67"/>
        </w:numPr>
        <w:spacing w:after="120" w:line="240" w:lineRule="auto"/>
        <w:ind w:left="1080" w:right="1440"/>
      </w:pPr>
      <w:r>
        <w:t>Technical methodologies and foundational assumptions</w:t>
      </w:r>
      <w:r w:rsidR="009D6A68">
        <w:t xml:space="preserve"> of a Load Flexibility Scenario</w:t>
      </w:r>
      <w:r w:rsidR="00287617">
        <w:t>;</w:t>
      </w:r>
    </w:p>
    <w:p w:rsidR="00742A5A" w:rsidP="0066381B" w:rsidRDefault="00742A5A" w14:paraId="260302E9" w14:textId="4EED84F9">
      <w:pPr>
        <w:pStyle w:val="Standard"/>
        <w:numPr>
          <w:ilvl w:val="0"/>
          <w:numId w:val="67"/>
        </w:numPr>
        <w:spacing w:after="120" w:line="240" w:lineRule="auto"/>
        <w:ind w:left="1080" w:right="1440"/>
      </w:pPr>
      <w:r>
        <w:t>How the Load Flexibility Scenario relates to and interacts with existing Low, Base, and High scenarios (e.g., whether it is independent from the other scenarios or if it modifies them)</w:t>
      </w:r>
      <w:r w:rsidR="009D6A68">
        <w:t>;</w:t>
      </w:r>
    </w:p>
    <w:p w:rsidR="00742A5A" w:rsidP="0066381B" w:rsidRDefault="00742A5A" w14:paraId="5C937784" w14:textId="09131396">
      <w:pPr>
        <w:pStyle w:val="Standard"/>
        <w:numPr>
          <w:ilvl w:val="0"/>
          <w:numId w:val="67"/>
        </w:numPr>
        <w:spacing w:after="120" w:line="240" w:lineRule="auto"/>
        <w:ind w:left="1080" w:right="1440"/>
      </w:pPr>
      <w:r>
        <w:t>Integration with each utility’s decision logic framework and any required modifications to existing decision logic</w:t>
      </w:r>
      <w:r w:rsidR="00287617">
        <w:t>;</w:t>
      </w:r>
    </w:p>
    <w:p w:rsidR="004F05AC" w:rsidP="002E3F1D" w:rsidRDefault="00742A5A" w14:paraId="41603E4A" w14:textId="37104F59">
      <w:pPr>
        <w:pStyle w:val="Standard"/>
        <w:numPr>
          <w:ilvl w:val="0"/>
          <w:numId w:val="67"/>
        </w:numPr>
        <w:spacing w:after="120" w:line="240" w:lineRule="auto"/>
        <w:ind w:left="1080" w:right="1440"/>
      </w:pPr>
      <w:r>
        <w:t>Proposed criteria for determin</w:t>
      </w:r>
      <w:r w:rsidR="009D6A68">
        <w:t>ing</w:t>
      </w:r>
      <w:r>
        <w:t xml:space="preserve"> implementation</w:t>
      </w:r>
      <w:r w:rsidR="009D6A68">
        <w:t xml:space="preserve"> readiness</w:t>
      </w:r>
      <w:r w:rsidR="00D760A3">
        <w:t>.</w:t>
      </w:r>
    </w:p>
    <w:p w:rsidR="00742A5A" w:rsidP="00742A5A" w:rsidRDefault="00287617" w14:paraId="51B4389D" w14:textId="7A04AB76">
      <w:pPr>
        <w:pStyle w:val="Standard"/>
      </w:pPr>
      <w:r>
        <w:lastRenderedPageBreak/>
        <w:t>The Commission also d</w:t>
      </w:r>
      <w:r w:rsidR="00742A5A">
        <w:t>irect</w:t>
      </w:r>
      <w:r>
        <w:t>s</w:t>
      </w:r>
      <w:r w:rsidR="00742A5A">
        <w:t xml:space="preserve"> the IOUs to file a joint Tier 3</w:t>
      </w:r>
      <w:r w:rsidR="00D760A3">
        <w:t xml:space="preserve"> a</w:t>
      </w:r>
      <w:r w:rsidR="00742A5A">
        <w:t xml:space="preserve">dvice </w:t>
      </w:r>
      <w:r w:rsidR="00D760A3">
        <w:t>l</w:t>
      </w:r>
      <w:r w:rsidR="00742A5A">
        <w:t xml:space="preserve">etter within 60 </w:t>
      </w:r>
      <w:r w:rsidR="01348115">
        <w:t xml:space="preserve">calendar </w:t>
      </w:r>
      <w:r w:rsidR="00742A5A">
        <w:t xml:space="preserve">days after the workshop providing the technical basis for </w:t>
      </w:r>
      <w:r w:rsidR="641F2B4B">
        <w:t xml:space="preserve">adopting a </w:t>
      </w:r>
      <w:r w:rsidR="009D6A68">
        <w:t>Load F</w:t>
      </w:r>
      <w:r w:rsidR="00742A5A">
        <w:t xml:space="preserve">lexibility </w:t>
      </w:r>
      <w:r w:rsidR="009D6A68">
        <w:t>S</w:t>
      </w:r>
      <w:r w:rsidR="00742A5A">
        <w:t xml:space="preserve">cenario </w:t>
      </w:r>
      <w:r w:rsidR="4D244DF9">
        <w:t xml:space="preserve">in the DPEP Scenario Planning process. The Advice Letter must address: </w:t>
      </w:r>
    </w:p>
    <w:p w:rsidR="00742A5A" w:rsidP="0066381B" w:rsidRDefault="00287617" w14:paraId="09ECCF82" w14:textId="350428CA">
      <w:pPr>
        <w:pStyle w:val="Standard"/>
        <w:numPr>
          <w:ilvl w:val="0"/>
          <w:numId w:val="68"/>
        </w:numPr>
        <w:spacing w:after="120" w:line="240" w:lineRule="auto"/>
        <w:ind w:left="1080" w:right="1440"/>
      </w:pPr>
      <w:r>
        <w:t>E</w:t>
      </w:r>
      <w:r w:rsidR="00742A5A">
        <w:t>ach IOU's load-modifier (load flexibility) methodology, including whether inputs are derive</w:t>
      </w:r>
      <w:r w:rsidR="009D6A68">
        <w:t>d</w:t>
      </w:r>
      <w:r w:rsidR="00742A5A">
        <w:t xml:space="preserve"> from </w:t>
      </w:r>
      <w:r w:rsidR="00B84EC1">
        <w:t>CEC’s D-Flex Tool</w:t>
      </w:r>
      <w:r w:rsidR="00AA0FFF">
        <w:t xml:space="preserve"> (2023)</w:t>
      </w:r>
      <w:r w:rsidR="00B84EC1">
        <w:t xml:space="preserve"> technical potential outputs</w:t>
      </w:r>
      <w:r w:rsidR="00742A5A">
        <w:t xml:space="preserve">, </w:t>
      </w:r>
      <w:r w:rsidR="00B402F3">
        <w:t>utility-develop</w:t>
      </w:r>
      <w:r w:rsidR="000F198D">
        <w:t xml:space="preserve">ed </w:t>
      </w:r>
      <w:r w:rsidR="00742A5A">
        <w:t>disaggregated outputs, a hybrid</w:t>
      </w:r>
      <w:r w:rsidR="009D6A68">
        <w:t xml:space="preserve"> of the two inputs</w:t>
      </w:r>
      <w:r w:rsidR="00742A5A">
        <w:t xml:space="preserve">, or </w:t>
      </w:r>
      <w:r w:rsidR="009D6A68">
        <w:t xml:space="preserve">another </w:t>
      </w:r>
      <w:r w:rsidR="00742A5A">
        <w:t>utility method</w:t>
      </w:r>
      <w:r>
        <w:t>;</w:t>
      </w:r>
    </w:p>
    <w:p w:rsidR="00742A5A" w:rsidP="0066381B" w:rsidRDefault="00537621" w14:paraId="5CE153FD" w14:textId="2D2CBB0E">
      <w:pPr>
        <w:pStyle w:val="Standard"/>
        <w:numPr>
          <w:ilvl w:val="0"/>
          <w:numId w:val="68"/>
        </w:numPr>
        <w:spacing w:after="120" w:line="240" w:lineRule="auto"/>
        <w:ind w:left="1080" w:right="1440"/>
      </w:pPr>
      <w:r>
        <w:t>L</w:t>
      </w:r>
      <w:r w:rsidRPr="00A30663" w:rsidR="00742A5A">
        <w:t>ocational granularity at which each IOU can resolve demand flexibility inputs (substation, circuit) and the disaggregation method;</w:t>
      </w:r>
    </w:p>
    <w:p w:rsidR="00742A5A" w:rsidP="0066381B" w:rsidRDefault="00537621" w14:paraId="4B5FFFBB" w14:textId="052CFEB2">
      <w:pPr>
        <w:pStyle w:val="Standard"/>
        <w:numPr>
          <w:ilvl w:val="0"/>
          <w:numId w:val="68"/>
        </w:numPr>
        <w:spacing w:after="120" w:line="240" w:lineRule="auto"/>
        <w:ind w:left="1080" w:right="1440"/>
      </w:pPr>
      <w:r>
        <w:t>T</w:t>
      </w:r>
      <w:r w:rsidRPr="00A30663" w:rsidR="00742A5A">
        <w:t>emporal granularity of modeled flexibility (hourly profiles, peak coincidence with local constraints);</w:t>
      </w:r>
    </w:p>
    <w:p w:rsidR="00742A5A" w:rsidP="0066381B" w:rsidRDefault="00537621" w14:paraId="3CE27536" w14:textId="0D21CF5D">
      <w:pPr>
        <w:pStyle w:val="Standard"/>
        <w:numPr>
          <w:ilvl w:val="0"/>
          <w:numId w:val="68"/>
        </w:numPr>
        <w:spacing w:after="120" w:line="240" w:lineRule="auto"/>
        <w:ind w:left="1080" w:right="1440"/>
      </w:pPr>
      <w:r>
        <w:t>A</w:t>
      </w:r>
      <w:r w:rsidR="00742A5A">
        <w:t>pplicability and thresholds: the criteria and locations where each IOU proposes to apply the Load Flexibility Scenario, including the determination that system-level levers (e.g., traditional upgrades, IEPR</w:t>
      </w:r>
      <w:r w:rsidR="009D6A68">
        <w:t>-</w:t>
      </w:r>
      <w:r w:rsidR="00742A5A">
        <w:t>forecasted load growth assumptions, pending load categories) are sufficient to address distribution grid constraints;</w:t>
      </w:r>
    </w:p>
    <w:p w:rsidR="00742A5A" w:rsidP="0066381B" w:rsidRDefault="00537621" w14:paraId="56B76F02" w14:textId="5AC26B25">
      <w:pPr>
        <w:pStyle w:val="Standard"/>
        <w:numPr>
          <w:ilvl w:val="0"/>
          <w:numId w:val="68"/>
        </w:numPr>
        <w:spacing w:after="120" w:line="240" w:lineRule="auto"/>
        <w:ind w:left="1080" w:right="1440"/>
      </w:pPr>
      <w:r>
        <w:t>P</w:t>
      </w:r>
      <w:r w:rsidRPr="00A30663" w:rsidR="00742A5A">
        <w:t>roposed definition of the scenario's role</w:t>
      </w:r>
      <w:r w:rsidR="00742A5A">
        <w:t xml:space="preserve">, </w:t>
      </w:r>
      <w:r w:rsidRPr="00A30663" w:rsidR="00742A5A">
        <w:t>prioritization (</w:t>
      </w:r>
      <w:proofErr w:type="gramStart"/>
      <w:r w:rsidR="00742A5A">
        <w:t>similar</w:t>
      </w:r>
      <w:r w:rsidRPr="00A30663" w:rsidR="00742A5A">
        <w:t xml:space="preserve"> to</w:t>
      </w:r>
      <w:proofErr w:type="gramEnd"/>
      <w:r w:rsidRPr="00A30663" w:rsidR="00742A5A">
        <w:t xml:space="preserve"> the Low Scenario) versus sizing/timing (</w:t>
      </w:r>
      <w:proofErr w:type="gramStart"/>
      <w:r w:rsidR="00742A5A">
        <w:t>similar</w:t>
      </w:r>
      <w:r w:rsidRPr="00A30663" w:rsidR="00742A5A">
        <w:t xml:space="preserve"> to</w:t>
      </w:r>
      <w:proofErr w:type="gramEnd"/>
      <w:r w:rsidRPr="00A30663" w:rsidR="00742A5A">
        <w:t xml:space="preserve"> the High Scenario);</w:t>
      </w:r>
    </w:p>
    <w:p w:rsidR="00742A5A" w:rsidP="0066381B" w:rsidRDefault="00537621" w14:paraId="562A8A20" w14:textId="5009C60E">
      <w:pPr>
        <w:pStyle w:val="Standard"/>
        <w:numPr>
          <w:ilvl w:val="0"/>
          <w:numId w:val="68"/>
        </w:numPr>
        <w:spacing w:after="120" w:line="240" w:lineRule="auto"/>
        <w:ind w:left="1080" w:right="1440"/>
      </w:pPr>
      <w:r>
        <w:t>G</w:t>
      </w:r>
      <w:r w:rsidRPr="00A30663" w:rsidR="00742A5A">
        <w:t>uardrails, including reconciliation with the IEPR forecast and prevention of counting</w:t>
      </w:r>
      <w:r w:rsidR="00742A5A">
        <w:t xml:space="preserve"> multiple times</w:t>
      </w:r>
      <w:r w:rsidRPr="00A30663" w:rsidR="00742A5A">
        <w:t xml:space="preserve"> against existing scenarios</w:t>
      </w:r>
      <w:r w:rsidR="00742A5A">
        <w:t>,</w:t>
      </w:r>
      <w:r w:rsidRPr="00A30663" w:rsidR="00742A5A">
        <w:t xml:space="preserve"> pending loads</w:t>
      </w:r>
      <w:r w:rsidR="00742A5A">
        <w:t xml:space="preserve"> and other demand side management programs</w:t>
      </w:r>
      <w:r w:rsidRPr="00A30663" w:rsidR="00742A5A">
        <w:t>;</w:t>
      </w:r>
    </w:p>
    <w:p w:rsidR="00742A5A" w:rsidP="0066381B" w:rsidRDefault="00537621" w14:paraId="3901C4C4" w14:textId="13FB6852">
      <w:pPr>
        <w:pStyle w:val="Standard"/>
        <w:numPr>
          <w:ilvl w:val="0"/>
          <w:numId w:val="68"/>
        </w:numPr>
        <w:spacing w:after="120" w:line="240" w:lineRule="auto"/>
        <w:ind w:left="1080" w:right="1440"/>
      </w:pPr>
      <w:r>
        <w:t>D</w:t>
      </w:r>
      <w:r w:rsidRPr="00A30663" w:rsidR="00742A5A">
        <w:t>ata infrastructure dependencies (including AMI 2.0 timing) and any</w:t>
      </w:r>
      <w:r w:rsidR="000A6BBF">
        <w:t xml:space="preserve"> </w:t>
      </w:r>
      <w:r w:rsidR="00884A8F">
        <w:t xml:space="preserve">temporary </w:t>
      </w:r>
      <w:r w:rsidR="00FC4B65">
        <w:t xml:space="preserve">solutions </w:t>
      </w:r>
      <w:r w:rsidR="004E1E44">
        <w:t>pending full depl</w:t>
      </w:r>
      <w:r w:rsidR="0001773F">
        <w:t>o</w:t>
      </w:r>
      <w:r w:rsidR="004E1E44">
        <w:t>yment</w:t>
      </w:r>
      <w:r w:rsidR="6772EB9F">
        <w:t xml:space="preserve"> of such depend</w:t>
      </w:r>
      <w:r w:rsidR="00DB09D4">
        <w:t>e</w:t>
      </w:r>
      <w:r w:rsidR="6772EB9F">
        <w:t>ncie</w:t>
      </w:r>
      <w:r w:rsidR="00C66076">
        <w:t>s</w:t>
      </w:r>
      <w:r w:rsidRPr="00A30663" w:rsidR="00742A5A">
        <w:t xml:space="preserve">; and </w:t>
      </w:r>
    </w:p>
    <w:p w:rsidR="00742A5A" w:rsidP="0066381B" w:rsidRDefault="00537621" w14:paraId="0B5F203F" w14:textId="3B10E310">
      <w:pPr>
        <w:pStyle w:val="Standard"/>
        <w:numPr>
          <w:ilvl w:val="0"/>
          <w:numId w:val="68"/>
        </w:numPr>
        <w:spacing w:after="120" w:line="240" w:lineRule="auto"/>
        <w:ind w:left="1080" w:right="1440"/>
      </w:pPr>
      <w:r>
        <w:t>Description of how</w:t>
      </w:r>
      <w:r w:rsidRPr="00A30663" w:rsidR="00742A5A">
        <w:t xml:space="preserve"> scenario outputs would be reported in G</w:t>
      </w:r>
      <w:r w:rsidR="009D6A68">
        <w:t xml:space="preserve">rid </w:t>
      </w:r>
      <w:r w:rsidRPr="00A30663" w:rsidR="00742A5A">
        <w:t>N</w:t>
      </w:r>
      <w:r w:rsidR="009D6A68">
        <w:t xml:space="preserve">eeds </w:t>
      </w:r>
      <w:r w:rsidRPr="00A30663" w:rsidR="00742A5A">
        <w:t>A</w:t>
      </w:r>
      <w:r w:rsidR="009D6A68">
        <w:t>ssessment</w:t>
      </w:r>
      <w:r w:rsidRPr="00A30663" w:rsidR="00742A5A">
        <w:t>/D</w:t>
      </w:r>
      <w:r w:rsidR="009D6A68">
        <w:t xml:space="preserve">istribution </w:t>
      </w:r>
      <w:r w:rsidRPr="00A30663" w:rsidR="00742A5A">
        <w:t>U</w:t>
      </w:r>
      <w:r w:rsidR="009D6A68">
        <w:t xml:space="preserve">pgrade </w:t>
      </w:r>
      <w:r w:rsidRPr="00A30663" w:rsidR="00742A5A">
        <w:t>P</w:t>
      </w:r>
      <w:r w:rsidR="009D6A68">
        <w:t xml:space="preserve">roject </w:t>
      </w:r>
      <w:r w:rsidRPr="00A30663" w:rsidR="00742A5A">
        <w:t>R</w:t>
      </w:r>
      <w:r w:rsidR="009D6A68">
        <w:t>eport</w:t>
      </w:r>
      <w:r w:rsidRPr="00A30663" w:rsidR="00742A5A">
        <w:t xml:space="preserve"> filings.</w:t>
      </w:r>
    </w:p>
    <w:p w:rsidR="476B2ACF" w:rsidP="476B2ACF" w:rsidRDefault="702A9CB6" w14:paraId="121BF0E5" w14:textId="3BF5A463">
      <w:pPr>
        <w:pStyle w:val="Standard"/>
        <w:numPr>
          <w:ilvl w:val="0"/>
          <w:numId w:val="68"/>
        </w:numPr>
        <w:spacing w:after="120" w:line="240" w:lineRule="auto"/>
        <w:ind w:left="1080" w:right="1440"/>
      </w:pPr>
      <w:r>
        <w:lastRenderedPageBreak/>
        <w:t xml:space="preserve">How the Load Flexibility Scenario </w:t>
      </w:r>
      <w:r w:rsidR="08E0B9B0">
        <w:t>will be incorporated into the existing DPEP Scenario Planning Framework starting</w:t>
      </w:r>
      <w:r w:rsidR="2DB8FF3F">
        <w:t xml:space="preserve"> in the 2027-2028 DPEP cycle</w:t>
      </w:r>
      <w:r w:rsidR="64133448">
        <w:t>.</w:t>
      </w:r>
    </w:p>
    <w:p w:rsidR="00890A3D" w:rsidP="00F06266" w:rsidRDefault="63674D53" w14:paraId="29BB6199" w14:textId="007BB8AA">
      <w:pPr>
        <w:pStyle w:val="Standard"/>
        <w:spacing w:before="240"/>
      </w:pPr>
      <w:r>
        <w:t>T</w:t>
      </w:r>
      <w:r w:rsidR="00742A5A">
        <w:t xml:space="preserve">he first cycle </w:t>
      </w:r>
      <w:r w:rsidR="1C4B4907">
        <w:t xml:space="preserve">may </w:t>
      </w:r>
      <w:r w:rsidR="00742A5A">
        <w:t xml:space="preserve">function as </w:t>
      </w:r>
      <w:proofErr w:type="gramStart"/>
      <w:r w:rsidR="00742A5A">
        <w:t>a proof</w:t>
      </w:r>
      <w:proofErr w:type="gramEnd"/>
      <w:r w:rsidR="00742A5A">
        <w:t xml:space="preserve"> of concept to validate methodologies and data quality</w:t>
      </w:r>
      <w:r w:rsidR="00EF3F79">
        <w:t>.</w:t>
      </w:r>
      <w:r w:rsidR="00742A5A">
        <w:t xml:space="preserve"> </w:t>
      </w:r>
      <w:r w:rsidR="20779E8F">
        <w:t>S</w:t>
      </w:r>
      <w:r w:rsidR="00742A5A">
        <w:t xml:space="preserve">ubsequent cycles </w:t>
      </w:r>
      <w:r w:rsidR="29BE4C74">
        <w:t>shall</w:t>
      </w:r>
      <w:r w:rsidR="00742A5A">
        <w:t xml:space="preserve"> </w:t>
      </w:r>
      <w:r w:rsidR="00E90F92">
        <w:t>inform</w:t>
      </w:r>
      <w:r w:rsidR="001111E0">
        <w:t xml:space="preserve"> </w:t>
      </w:r>
      <w:r w:rsidR="00742A5A">
        <w:t xml:space="preserve">investment-grade </w:t>
      </w:r>
      <w:r w:rsidR="00E145DD">
        <w:t xml:space="preserve">planning decisions </w:t>
      </w:r>
      <w:r w:rsidR="004D486A">
        <w:t xml:space="preserve">consistent with the evolution of </w:t>
      </w:r>
      <w:r w:rsidR="00742A5A">
        <w:t>forecasting methods</w:t>
      </w:r>
      <w:r w:rsidR="00D60290">
        <w:t xml:space="preserve">, </w:t>
      </w:r>
      <w:r w:rsidR="00742A5A">
        <w:t>technologies</w:t>
      </w:r>
      <w:r w:rsidR="00D42FBD">
        <w:t>,</w:t>
      </w:r>
      <w:r w:rsidR="00742A5A">
        <w:t xml:space="preserve"> </w:t>
      </w:r>
      <w:r w:rsidR="003A7845">
        <w:t>and customer participation</w:t>
      </w:r>
      <w:r w:rsidR="00742A5A">
        <w:t xml:space="preserve">. The </w:t>
      </w:r>
      <w:r w:rsidR="00F06266">
        <w:t>a</w:t>
      </w:r>
      <w:r w:rsidR="00742A5A">
        <w:t xml:space="preserve">dvice </w:t>
      </w:r>
      <w:r w:rsidR="00F06266">
        <w:t>l</w:t>
      </w:r>
      <w:r w:rsidR="00742A5A">
        <w:t xml:space="preserve">etter </w:t>
      </w:r>
      <w:r w:rsidR="34440724">
        <w:t>shall</w:t>
      </w:r>
      <w:r w:rsidR="00742A5A">
        <w:t xml:space="preserve"> address</w:t>
      </w:r>
      <w:r w:rsidR="009B1962">
        <w:t xml:space="preserve"> </w:t>
      </w:r>
      <w:r w:rsidR="00742A5A">
        <w:t xml:space="preserve">whether </w:t>
      </w:r>
      <w:r w:rsidR="1857CBC3">
        <w:t xml:space="preserve">and why </w:t>
      </w:r>
      <w:r w:rsidR="00742A5A">
        <w:t xml:space="preserve">staged rollout is </w:t>
      </w:r>
      <w:r w:rsidR="0050732C">
        <w:t>necessary</w:t>
      </w:r>
      <w:r w:rsidR="00742A5A">
        <w:t xml:space="preserve">, </w:t>
      </w:r>
      <w:proofErr w:type="gramStart"/>
      <w:r w:rsidR="308B07AC">
        <w:t>in light of</w:t>
      </w:r>
      <w:proofErr w:type="gramEnd"/>
      <w:r w:rsidR="308B07AC">
        <w:t xml:space="preserve"> each IOU’s capabilities and read</w:t>
      </w:r>
      <w:r w:rsidR="00C03236">
        <w:t>i</w:t>
      </w:r>
      <w:r w:rsidR="308B07AC">
        <w:t>ness</w:t>
      </w:r>
      <w:r w:rsidR="00742A5A">
        <w:t xml:space="preserve">. </w:t>
      </w:r>
      <w:r w:rsidR="3E274DD6">
        <w:t xml:space="preserve">The </w:t>
      </w:r>
      <w:r w:rsidR="00F06266">
        <w:t>a</w:t>
      </w:r>
      <w:r w:rsidR="3E274DD6">
        <w:t xml:space="preserve">dvice </w:t>
      </w:r>
      <w:r w:rsidR="00F06266">
        <w:t>l</w:t>
      </w:r>
      <w:r w:rsidR="3E274DD6">
        <w:t xml:space="preserve">etters must present </w:t>
      </w:r>
      <w:r w:rsidR="00742A5A">
        <w:t>a structured pathway for incorporating demand flexibility into distribution planning</w:t>
      </w:r>
      <w:r w:rsidR="29D159BC">
        <w:t xml:space="preserve"> including advancements </w:t>
      </w:r>
      <w:r w:rsidR="1FB9BDA5">
        <w:t xml:space="preserve">in </w:t>
      </w:r>
      <w:r w:rsidR="00742A5A">
        <w:t>forecasting method</w:t>
      </w:r>
      <w:r w:rsidR="00E3713A">
        <w:t>ologies</w:t>
      </w:r>
      <w:r w:rsidR="00742A5A">
        <w:t>, customer participation, and technologies matur</w:t>
      </w:r>
      <w:r w:rsidR="1AD67455">
        <w:t>ation</w:t>
      </w:r>
      <w:r w:rsidR="00742A5A">
        <w:t>.</w:t>
      </w:r>
    </w:p>
    <w:p w:rsidRPr="004C1987" w:rsidR="00BE2D2F" w:rsidP="00F06266" w:rsidRDefault="00BE2D2F" w14:paraId="375AFCD3" w14:textId="19DC0BBF">
      <w:pPr>
        <w:pStyle w:val="Standard"/>
        <w:spacing w:before="240"/>
      </w:pPr>
      <w:r>
        <w:t>Finally, coordination among the CEC, the IOUs, and the Commission will help ensure consistency between CEC’s demand forecast and the forecasts used for distribution planning.</w:t>
      </w:r>
    </w:p>
    <w:p w:rsidR="00E675F0" w:rsidP="002319E0" w:rsidRDefault="00E675F0" w14:paraId="4209EC8A" w14:textId="77777777">
      <w:pPr>
        <w:pStyle w:val="Heading2"/>
      </w:pPr>
      <w:bookmarkStart w:name="_Toc243991469" w:id="97"/>
      <w:bookmarkStart w:name="_Toc1488653924" w:id="98"/>
      <w:bookmarkStart w:name="_Toc8123721" w:id="99"/>
      <w:r>
        <w:t>Distributed Energy Storage</w:t>
      </w:r>
      <w:bookmarkEnd w:id="97"/>
    </w:p>
    <w:p w:rsidR="00E675F0" w:rsidP="00E675F0" w:rsidRDefault="00E675F0" w14:paraId="11C4495F" w14:textId="77777777">
      <w:pPr>
        <w:pStyle w:val="Standard"/>
      </w:pPr>
      <w:r>
        <w:t>The Commission asked parties to address the limitations of modeling distributed energy storage as a flexible grid asset in the DPEP. PG&amp;E notes that demand flexibility only reduces infrastructure needs by $200 million, which is minimal compared to the full investment horizon, without orchestration capable of respecting feeder, bank, or substation constraints upstream.</w:t>
      </w:r>
      <w:r>
        <w:rPr>
          <w:rStyle w:val="FootnoteReference"/>
        </w:rPr>
        <w:footnoteReference w:id="243"/>
      </w:r>
      <w:r>
        <w:t xml:space="preserve"> PG&amp;E also states that distributed energy storage will be incorporated into the model through EPIC 4.08 – Non-Wires Alternatives (NWA) Integration into </w:t>
      </w:r>
      <w:r>
        <w:lastRenderedPageBreak/>
        <w:t>Distribution Planning.</w:t>
      </w:r>
      <w:r>
        <w:rPr>
          <w:rStyle w:val="FootnoteReference"/>
        </w:rPr>
        <w:footnoteReference w:id="244"/>
      </w:r>
      <w:r>
        <w:t xml:space="preserve"> PG&amp;E states that before integration into the DPEP, more clearly defined performance and enforcement assumptions would ensure that flexible resources can be treated as planning reliable.</w:t>
      </w:r>
      <w:r>
        <w:rPr>
          <w:rStyle w:val="FootnoteReference"/>
        </w:rPr>
        <w:footnoteReference w:id="245"/>
      </w:r>
      <w:r>
        <w:t xml:space="preserve"> </w:t>
      </w:r>
    </w:p>
    <w:p w:rsidR="00E675F0" w:rsidP="00E675F0" w:rsidRDefault="00E675F0" w14:paraId="323F6FD2" w14:textId="77777777">
      <w:pPr>
        <w:pStyle w:val="Standard"/>
      </w:pPr>
      <w:r>
        <w:t>SCE states that it is still evaluating how to represent distributed energy storage in the annual DPEP and is unclear whether it should be modeled as a solution side resource or load forecasting input.</w:t>
      </w:r>
      <w:r>
        <w:rPr>
          <w:rStyle w:val="FootnoteReference"/>
        </w:rPr>
        <w:footnoteReference w:id="246"/>
      </w:r>
      <w:r>
        <w:t xml:space="preserve"> Before full integration, SCE states that it needs validated performance data at scale while facing uncertainty in customer participation and dispatchability and continued dependence on AMI 2.0 deployment and DER orchestration frameworks.</w:t>
      </w:r>
      <w:r>
        <w:rPr>
          <w:rStyle w:val="FootnoteReference"/>
        </w:rPr>
        <w:footnoteReference w:id="247"/>
      </w:r>
      <w:r>
        <w:t xml:space="preserve"> SCE highlights that the DER adoption propensity model also continues to rely on enabling infrastructure that does not yet exist.</w:t>
      </w:r>
      <w:r>
        <w:rPr>
          <w:rStyle w:val="FootnoteReference"/>
        </w:rPr>
        <w:footnoteReference w:id="248"/>
      </w:r>
      <w:r>
        <w:t xml:space="preserve"> </w:t>
      </w:r>
    </w:p>
    <w:p w:rsidR="00E675F0" w:rsidP="00E675F0" w:rsidRDefault="00E675F0" w14:paraId="46B18881" w14:textId="77777777">
      <w:pPr>
        <w:pStyle w:val="Standard"/>
      </w:pPr>
      <w:r>
        <w:t>SDG&amp;E argues that distributed energy storage needs more program development, specification of DER performance, customer compensation, and demonstration of cost effectiveness, and that distributed energy storage is already modeled in the IEPR system-level forecast.</w:t>
      </w:r>
      <w:r>
        <w:rPr>
          <w:rStyle w:val="FootnoteReference"/>
        </w:rPr>
        <w:footnoteReference w:id="249"/>
      </w:r>
      <w:r>
        <w:t xml:space="preserve"> </w:t>
      </w:r>
    </w:p>
    <w:p w:rsidR="00E675F0" w:rsidP="00E675F0" w:rsidRDefault="00E675F0" w14:paraId="23CEA611" w14:textId="77777777">
      <w:pPr>
        <w:pStyle w:val="Standard"/>
      </w:pPr>
      <w:r>
        <w:t xml:space="preserve">SBUA supports all the IOUs’ stances and recommends a deeper baseline assessment of existing distributed storage resources and an evaluation of current usage and anticipated implementation before any forecasting assumptions are </w:t>
      </w:r>
      <w:r>
        <w:lastRenderedPageBreak/>
        <w:t>made.</w:t>
      </w:r>
      <w:r>
        <w:rPr>
          <w:rStyle w:val="FootnoteReference"/>
        </w:rPr>
        <w:footnoteReference w:id="250"/>
      </w:r>
      <w:r>
        <w:t xml:space="preserve"> </w:t>
      </w:r>
      <w:r w:rsidRPr="00314809">
        <w:t>Clean Coalition emphasizes that distributed energy</w:t>
      </w:r>
      <w:r>
        <w:t xml:space="preserve"> storage</w:t>
      </w:r>
      <w:r w:rsidRPr="00314809">
        <w:t xml:space="preserve"> </w:t>
      </w:r>
      <w:r>
        <w:t>must be considered as part of a larger value stack of grid needs.</w:t>
      </w:r>
      <w:r>
        <w:rPr>
          <w:rStyle w:val="FootnoteReference"/>
        </w:rPr>
        <w:footnoteReference w:id="251"/>
      </w:r>
      <w:r>
        <w:t xml:space="preserve"> </w:t>
      </w:r>
    </w:p>
    <w:p w:rsidRPr="00C8604A" w:rsidR="00E675F0" w:rsidP="00E675F0" w:rsidRDefault="00E675F0" w14:paraId="49C58E8D" w14:textId="1E11C77B">
      <w:pPr>
        <w:pStyle w:val="Standard"/>
      </w:pPr>
      <w:r>
        <w:t xml:space="preserve">VGIC emphasizes the value demonstrated by EV-enabled flexibility in reducing distribution infrastructure needs and recommends that SCE and SDG&amp;E adopt bidirectional </w:t>
      </w:r>
      <w:r w:rsidR="001F6B0B">
        <w:t>EV</w:t>
      </w:r>
      <w:r>
        <w:t xml:space="preserve"> assumptions consistent with PG&amp;E’s approach.</w:t>
      </w:r>
      <w:r>
        <w:rPr>
          <w:rStyle w:val="FootnoteReference"/>
        </w:rPr>
        <w:footnoteReference w:id="252"/>
      </w:r>
      <w:r>
        <w:t xml:space="preserve"> SDG&amp;E acknowledges in reply comments the long-term importance of vehicle-to-grid and bidirectional charging but states that current market conditions are too </w:t>
      </w:r>
      <w:r w:rsidRPr="00C8604A">
        <w:t>nascent to support reliable planning assumptions, citing limited Commission-approved programs and the absence of measurable participation data at scale.</w:t>
      </w:r>
      <w:r w:rsidRPr="00C8604A">
        <w:rPr>
          <w:rStyle w:val="FootnoteReference"/>
        </w:rPr>
        <w:footnoteReference w:id="253"/>
      </w:r>
    </w:p>
    <w:p w:rsidR="00610277" w:rsidP="00F06266" w:rsidRDefault="00E675F0" w14:paraId="3EA986A5" w14:textId="25680A08">
      <w:pPr>
        <w:pStyle w:val="Standard"/>
      </w:pPr>
      <w:r w:rsidRPr="00C8604A">
        <w:t xml:space="preserve">The Commission </w:t>
      </w:r>
      <w:r>
        <w:t xml:space="preserve">agrees with PG&amp;E, SCE, and SDG&amp;E that distributed energy storage </w:t>
      </w:r>
      <w:r w:rsidR="00052464">
        <w:t>may</w:t>
      </w:r>
      <w:r>
        <w:t xml:space="preserve"> ha</w:t>
      </w:r>
      <w:r w:rsidR="00052464">
        <w:t>ve</w:t>
      </w:r>
      <w:r>
        <w:t xml:space="preserve"> potential demand flexibility and infrastructure </w:t>
      </w:r>
      <w:r w:rsidR="574E99F5">
        <w:t>d</w:t>
      </w:r>
      <w:r>
        <w:t>eferral benefits but that significant uncertainty still exists about customer participation in such programs</w:t>
      </w:r>
      <w:r w:rsidR="00750D37">
        <w:t>,</w:t>
      </w:r>
      <w:r>
        <w:t xml:space="preserve"> dispatchability</w:t>
      </w:r>
      <w:r w:rsidR="00750D37">
        <w:t xml:space="preserve">, and </w:t>
      </w:r>
      <w:r w:rsidR="00C221B2">
        <w:t>in</w:t>
      </w:r>
      <w:r w:rsidR="00EF4C38">
        <w:t>teractions with prices signals in rates and tariffs.</w:t>
      </w:r>
      <w:r w:rsidR="00C221B2">
        <w:t xml:space="preserve"> </w:t>
      </w:r>
      <w:r>
        <w:t xml:space="preserve">Accordingly, the Commission does not mandate distributed energy storage as a distribution grid asset in </w:t>
      </w:r>
      <w:proofErr w:type="gramStart"/>
      <w:r>
        <w:t>the DPEP</w:t>
      </w:r>
      <w:proofErr w:type="gramEnd"/>
      <w:r>
        <w:t xml:space="preserve"> </w:t>
      </w:r>
      <w:proofErr w:type="gramStart"/>
      <w:r>
        <w:t>at this time</w:t>
      </w:r>
      <w:proofErr w:type="gramEnd"/>
      <w:r w:rsidR="00EB1050">
        <w:t xml:space="preserve">, nor do we preclude the IOUs from developing </w:t>
      </w:r>
      <w:r w:rsidR="003225B0">
        <w:t>cost-effective</w:t>
      </w:r>
      <w:r w:rsidR="00EB1050">
        <w:t xml:space="preserve"> ways to incorporate distributed storage into DPEP</w:t>
      </w:r>
      <w:r w:rsidR="00AB26B3">
        <w:t>.</w:t>
      </w:r>
      <w:r>
        <w:t xml:space="preserve"> </w:t>
      </w:r>
    </w:p>
    <w:p w:rsidR="00603238" w:rsidP="002319E0" w:rsidRDefault="00603238" w14:paraId="2DD3C85A" w14:textId="77777777">
      <w:pPr>
        <w:pStyle w:val="Heading1"/>
      </w:pPr>
      <w:bookmarkStart w:name="_Toc243991470" w:id="100"/>
      <w:r>
        <w:t>Summary of Public Comment</w:t>
      </w:r>
      <w:bookmarkEnd w:id="98"/>
      <w:bookmarkEnd w:id="100"/>
    </w:p>
    <w:p w:rsidR="00603238" w:rsidP="00284D8D" w:rsidRDefault="00603238" w14:paraId="664A9A46" w14:textId="77777777">
      <w:r w:rsidRPr="00BF71F3">
        <w:t>Rule 1.18 allows any member of the public to submit written comment in any Commission proceeding using the “Public Comment” tab of the online Docket Card for that proceeding on the Commission’s website. </w:t>
      </w:r>
      <w:r w:rsidRPr="00BF71F3" w:rsidR="007A3820">
        <w:t xml:space="preserve">Rule 1.18(a) </w:t>
      </w:r>
      <w:r w:rsidRPr="00BF71F3" w:rsidR="007A3820">
        <w:lastRenderedPageBreak/>
        <w:t xml:space="preserve">requires that all written public comment submitted prior to the submission of the proceeding are part of the administrative record of the proceeding. </w:t>
      </w:r>
      <w:r w:rsidRPr="00BF71F3">
        <w:t>Rule 1.18(b) requires that relevant written comment submitted in a proceeding be summarized in the final decision issued in that proceeding.</w:t>
      </w:r>
    </w:p>
    <w:p w:rsidRPr="00484113" w:rsidR="0028498A" w:rsidP="00484113" w:rsidRDefault="00484113" w14:paraId="0DD56FEB" w14:textId="7C6D6F31">
      <w:r w:rsidRPr="00484113">
        <w:t xml:space="preserve">As of </w:t>
      </w:r>
      <w:r w:rsidR="00090AED">
        <w:t>the date of submission of the record</w:t>
      </w:r>
      <w:r w:rsidRPr="00484113">
        <w:t xml:space="preserve">, no </w:t>
      </w:r>
      <w:r w:rsidR="006D43DE">
        <w:t xml:space="preserve">relevant </w:t>
      </w:r>
      <w:r w:rsidRPr="00484113">
        <w:t>public</w:t>
      </w:r>
      <w:r>
        <w:t xml:space="preserve"> </w:t>
      </w:r>
      <w:r w:rsidRPr="00484113">
        <w:t>comments have been submitted.</w:t>
      </w:r>
    </w:p>
    <w:p w:rsidR="004A1EAD" w:rsidP="002319E0" w:rsidRDefault="004A1EAD" w14:paraId="08F7E62B" w14:textId="77777777">
      <w:pPr>
        <w:pStyle w:val="Heading1"/>
      </w:pPr>
      <w:bookmarkStart w:name="_Toc712556173" w:id="101"/>
      <w:bookmarkStart w:name="_Toc243991471" w:id="102"/>
      <w:bookmarkStart w:name="_Toc8123723" w:id="103"/>
      <w:bookmarkEnd w:id="99"/>
      <w:r>
        <w:t xml:space="preserve">Procedural </w:t>
      </w:r>
      <w:r w:rsidRPr="002319E0">
        <w:t>Matters</w:t>
      </w:r>
      <w:bookmarkEnd w:id="101"/>
      <w:bookmarkEnd w:id="102"/>
    </w:p>
    <w:p w:rsidRPr="00274495" w:rsidR="00274495" w:rsidP="00274495" w:rsidRDefault="004A1EAD" w14:paraId="4A7564C9" w14:textId="23559832">
      <w:pPr>
        <w:pStyle w:val="Standard"/>
      </w:pPr>
      <w:r w:rsidRPr="008B175A">
        <w:t xml:space="preserve">This decision affirms all </w:t>
      </w:r>
      <w:r w:rsidR="00E87708">
        <w:t xml:space="preserve">Track 1 and Track 2 </w:t>
      </w:r>
      <w:r w:rsidRPr="008B175A">
        <w:t xml:space="preserve">rulings made by the Administrative Law Judge and assigned Commissioner in this proceeding. </w:t>
      </w:r>
      <w:r w:rsidRPr="00274495" w:rsidR="00274495">
        <w:t xml:space="preserve">The working group shall </w:t>
      </w:r>
      <w:r w:rsidR="00274495">
        <w:t>consider</w:t>
      </w:r>
      <w:r w:rsidRPr="00274495" w:rsidR="00274495">
        <w:t xml:space="preserve"> the potential conflicts of interest issue, as raised in the Motion to Address Unaddressed Issues filed by CBD and UCAN on September 10, 2026, and determine whether and how such issues may be addressed through the Joint IOU Application proceeding.</w:t>
      </w:r>
    </w:p>
    <w:p w:rsidRPr="00634077" w:rsidR="005C58FA" w:rsidP="00122AE3" w:rsidRDefault="005939A5" w14:paraId="043E0B84" w14:textId="67691D21">
      <w:pPr>
        <w:pStyle w:val="Heading1"/>
      </w:pPr>
      <w:bookmarkStart w:name="_Toc105992986" w:id="104"/>
      <w:bookmarkStart w:name="_Toc243991472" w:id="105"/>
      <w:r>
        <w:t xml:space="preserve">Comments on </w:t>
      </w:r>
      <w:r w:rsidRPr="002319E0">
        <w:t>Proposed</w:t>
      </w:r>
      <w:r>
        <w:t xml:space="preserve"> Decision</w:t>
      </w:r>
      <w:bookmarkEnd w:id="103"/>
      <w:bookmarkEnd w:id="104"/>
      <w:bookmarkEnd w:id="105"/>
    </w:p>
    <w:p w:rsidR="005939A5" w:rsidP="005C58FA" w:rsidRDefault="005C58FA" w14:paraId="5B4C6A18" w14:textId="437474E0">
      <w:pPr>
        <w:pStyle w:val="Standard"/>
      </w:pPr>
      <w:r w:rsidRPr="00701CD9">
        <w:t xml:space="preserve">The proposed decision of Commissioner </w:t>
      </w:r>
      <w:r w:rsidR="00634077">
        <w:t xml:space="preserve">Darcie </w:t>
      </w:r>
      <w:r w:rsidR="00515BD0">
        <w:t xml:space="preserve">L. </w:t>
      </w:r>
      <w:r w:rsidR="00634077">
        <w:t>Houck</w:t>
      </w:r>
      <w:r>
        <w:t xml:space="preserve"> in this matter was mailed to the parties in accordance with Section 311 of the </w:t>
      </w:r>
      <w:r w:rsidR="00EB69A8">
        <w:t>Pub. Util. Code</w:t>
      </w:r>
      <w:r>
        <w:t xml:space="preserve"> and comments were allowed under Rule 14.3 of the Commission’s Rules of Practice and Procedure.  Comments were filed on </w:t>
      </w:r>
      <w:r w:rsidR="007A37BA">
        <w:t xml:space="preserve">October 15, 2026 by GPI, on </w:t>
      </w:r>
      <w:r w:rsidR="0012746F">
        <w:t xml:space="preserve">October 19, 2026 by Clean Coalition, </w:t>
      </w:r>
      <w:r w:rsidR="00C33705">
        <w:t xml:space="preserve">the </w:t>
      </w:r>
      <w:r w:rsidR="0012746F">
        <w:t>C</w:t>
      </w:r>
      <w:r w:rsidR="00C33705">
        <w:t xml:space="preserve">enter </w:t>
      </w:r>
      <w:r w:rsidR="0012746F">
        <w:t>for</w:t>
      </w:r>
      <w:r w:rsidR="00C33705">
        <w:t xml:space="preserve"> </w:t>
      </w:r>
      <w:r w:rsidR="0012746F">
        <w:t>A</w:t>
      </w:r>
      <w:r w:rsidR="00C33705">
        <w:t xml:space="preserve">ccessible </w:t>
      </w:r>
      <w:r w:rsidR="0012746F">
        <w:t>T</w:t>
      </w:r>
      <w:r w:rsidR="00C33705">
        <w:t>echnology</w:t>
      </w:r>
      <w:r w:rsidR="0012746F">
        <w:t xml:space="preserve">, </w:t>
      </w:r>
      <w:proofErr w:type="spellStart"/>
      <w:r w:rsidR="0012746F">
        <w:t>WeaveGrid</w:t>
      </w:r>
      <w:proofErr w:type="spellEnd"/>
      <w:r w:rsidR="0012746F">
        <w:t>, SDG&amp;E, AEU, SCE, EDF, CALSSA, California Efficiency + Demand Management Council, VGIC, PG&amp;E, UCAN, CalCCA, CAISO, and, filing jointly, 350 Bay Area, Clean Coalition, Vote Solar, CBD, the Climate Center, Microgrid Resources Coalition, and on October 20, 2026 by Cal Advocates</w:t>
      </w:r>
      <w:r>
        <w:t xml:space="preserve">, and reply comments were filed on </w:t>
      </w:r>
      <w:r w:rsidR="00890A3D">
        <w:t>October 26, 2026</w:t>
      </w:r>
      <w:r>
        <w:t xml:space="preserve"> by </w:t>
      </w:r>
      <w:r w:rsidR="00890A3D">
        <w:t xml:space="preserve">CALSSA, </w:t>
      </w:r>
      <w:proofErr w:type="spellStart"/>
      <w:r w:rsidR="00890A3D">
        <w:t>WeaveGrid</w:t>
      </w:r>
      <w:proofErr w:type="spellEnd"/>
      <w:r w:rsidR="00890A3D">
        <w:t xml:space="preserve">, SCE, SDG&amp;E, Clean Coalition, AEU, EDF, UCAN, PG&amp;E, </w:t>
      </w:r>
      <w:proofErr w:type="spellStart"/>
      <w:r w:rsidR="00890A3D">
        <w:t>CforAT</w:t>
      </w:r>
      <w:proofErr w:type="spellEnd"/>
      <w:r w:rsidR="00890A3D">
        <w:t xml:space="preserve">, CalCCA, SBUA, Cal Advocates, and the California Efficiency + Demand Management Council. </w:t>
      </w:r>
    </w:p>
    <w:p w:rsidR="00F759AC" w:rsidP="005C58FA" w:rsidRDefault="00C33705" w14:paraId="61061465" w14:textId="77777777">
      <w:pPr>
        <w:pStyle w:val="Standard"/>
      </w:pPr>
      <w:proofErr w:type="spellStart"/>
      <w:r>
        <w:lastRenderedPageBreak/>
        <w:t>Weave</w:t>
      </w:r>
      <w:r w:rsidRPr="00F759AC">
        <w:t>Grid</w:t>
      </w:r>
      <w:proofErr w:type="spellEnd"/>
      <w:r w:rsidRPr="00F759AC" w:rsidR="00F759AC">
        <w:t xml:space="preserve"> </w:t>
      </w:r>
      <w:r w:rsidR="00F759AC">
        <w:t>state</w:t>
      </w:r>
      <w:r w:rsidRPr="001073A8" w:rsidR="00F759AC">
        <w:t>s that distribution constraints can arise on individual assets, including service transformers and secondary equipment, at times that do not coincide with the utility system peak.</w:t>
      </w:r>
      <w:r w:rsidR="00F759AC">
        <w:rPr>
          <w:rStyle w:val="FootnoteReference"/>
        </w:rPr>
        <w:footnoteReference w:id="254"/>
      </w:r>
      <w:r w:rsidRPr="001073A8" w:rsidR="00F759AC">
        <w:t xml:space="preserve"> </w:t>
      </w:r>
      <w:proofErr w:type="spellStart"/>
      <w:r w:rsidR="00F759AC">
        <w:t>WeaveGrid</w:t>
      </w:r>
      <w:proofErr w:type="spellEnd"/>
      <w:r w:rsidR="00F759AC">
        <w:t xml:space="preserve"> </w:t>
      </w:r>
      <w:r w:rsidRPr="001073A8" w:rsidR="00F759AC">
        <w:t>request</w:t>
      </w:r>
      <w:r w:rsidR="00F759AC">
        <w:t>s</w:t>
      </w:r>
      <w:r w:rsidRPr="001073A8" w:rsidR="00F759AC">
        <w:t xml:space="preserve"> explicit recognition of these constraints and their locational value.</w:t>
      </w:r>
      <w:r w:rsidR="00F759AC">
        <w:rPr>
          <w:rStyle w:val="FootnoteReference"/>
        </w:rPr>
        <w:footnoteReference w:id="255"/>
      </w:r>
      <w:r w:rsidR="00F759AC">
        <w:t xml:space="preserve"> </w:t>
      </w:r>
    </w:p>
    <w:p w:rsidR="00C33705" w:rsidP="005C58FA" w:rsidRDefault="00F759AC" w14:paraId="058F235B" w14:textId="09C4FA59">
      <w:pPr>
        <w:pStyle w:val="Standard"/>
      </w:pPr>
      <w:r>
        <w:t>UCAN and EDF share concerns with the working group's governance structure and state that Commission</w:t>
      </w:r>
      <w:r w:rsidRPr="001073A8">
        <w:t xml:space="preserve"> consultation </w:t>
      </w:r>
      <w:r>
        <w:t>on</w:t>
      </w:r>
      <w:r w:rsidRPr="001073A8">
        <w:t xml:space="preserve"> an IOU-contracted facilitator does not ensure meaningful and impartial consideration of all competing views.</w:t>
      </w:r>
      <w:r>
        <w:rPr>
          <w:rStyle w:val="FootnoteReference"/>
        </w:rPr>
        <w:footnoteReference w:id="256"/>
      </w:r>
      <w:r>
        <w:t xml:space="preserve"> </w:t>
      </w:r>
      <w:r w:rsidRPr="00F759AC">
        <w:t xml:space="preserve">SCE </w:t>
      </w:r>
      <w:r w:rsidRPr="001073A8">
        <w:t>support</w:t>
      </w:r>
      <w:r>
        <w:t>s</w:t>
      </w:r>
      <w:r w:rsidRPr="001073A8">
        <w:t xml:space="preserve"> shortening the working group length and establishing clear </w:t>
      </w:r>
      <w:r w:rsidR="008D2056">
        <w:t>working group report</w:t>
      </w:r>
      <w:r w:rsidRPr="001073A8">
        <w:t xml:space="preserve"> milestones that leave meaningful drafting time</w:t>
      </w:r>
      <w:r>
        <w:t>.</w:t>
      </w:r>
      <w:r>
        <w:rPr>
          <w:rStyle w:val="FootnoteReference"/>
        </w:rPr>
        <w:footnoteReference w:id="257"/>
      </w:r>
    </w:p>
    <w:p w:rsidR="00F759AC" w:rsidP="005C58FA" w:rsidRDefault="00F759AC" w14:paraId="2C1DE67E" w14:textId="227A0EE1">
      <w:pPr>
        <w:pStyle w:val="Standard"/>
      </w:pPr>
      <w:r>
        <w:t>CAISO</w:t>
      </w:r>
      <w:r w:rsidRPr="00F759AC">
        <w:t xml:space="preserve"> </w:t>
      </w:r>
      <w:r w:rsidRPr="001073A8">
        <w:t>recommends adding operational forecasting to DSO-TSO coordination</w:t>
      </w:r>
      <w:r>
        <w:t>.</w:t>
      </w:r>
      <w:r>
        <w:rPr>
          <w:rStyle w:val="FootnoteReference"/>
        </w:rPr>
        <w:footnoteReference w:id="258"/>
      </w:r>
    </w:p>
    <w:p w:rsidR="007A37BA" w:rsidP="005C58FA" w:rsidRDefault="007A37BA" w14:paraId="354EA15A" w14:textId="526F3B28">
      <w:pPr>
        <w:pStyle w:val="Standard"/>
      </w:pPr>
      <w:r>
        <w:t>GPI requests</w:t>
      </w:r>
      <w:r w:rsidR="008D2056">
        <w:t xml:space="preserve"> the Commission </w:t>
      </w:r>
      <w:r w:rsidRPr="001073A8">
        <w:t>consider of cumulative benefits across locations and different valuation treatment for permanent infrastructure avoidance and temporary deferral.</w:t>
      </w:r>
      <w:r>
        <w:rPr>
          <w:rStyle w:val="FootnoteReference"/>
        </w:rPr>
        <w:footnoteReference w:id="259"/>
      </w:r>
    </w:p>
    <w:p w:rsidR="00A91EBD" w:rsidP="005C58FA" w:rsidRDefault="00A91EBD" w14:paraId="6B9E5D9B" w14:textId="4F77EFB5">
      <w:pPr>
        <w:pStyle w:val="Standard"/>
      </w:pPr>
      <w:r>
        <w:t>PG&amp;</w:t>
      </w:r>
      <w:r w:rsidRPr="00A91EBD">
        <w:t xml:space="preserve">E </w:t>
      </w:r>
      <w:r w:rsidRPr="001073A8">
        <w:t>identifies the need to address communications disruptions, resource unavailability, and non</w:t>
      </w:r>
      <w:r w:rsidR="008D2056">
        <w:t>-</w:t>
      </w:r>
      <w:r w:rsidRPr="001073A8">
        <w:t>performance</w:t>
      </w:r>
      <w:r>
        <w:t xml:space="preserve"> in the Joint IOU Application</w:t>
      </w:r>
      <w:r w:rsidRPr="001073A8">
        <w:t>.</w:t>
      </w:r>
      <w:r>
        <w:rPr>
          <w:rStyle w:val="FootnoteReference"/>
        </w:rPr>
        <w:footnoteReference w:id="260"/>
      </w:r>
    </w:p>
    <w:p w:rsidR="00A91EBD" w:rsidP="005C58FA" w:rsidRDefault="00A91EBD" w14:paraId="22E892B3" w14:textId="0F779B19">
      <w:pPr>
        <w:pStyle w:val="Standard"/>
      </w:pPr>
      <w:r>
        <w:lastRenderedPageBreak/>
        <w:t>Cal Advocates states th</w:t>
      </w:r>
      <w:r w:rsidRPr="00A91EBD">
        <w:t xml:space="preserve">at </w:t>
      </w:r>
      <w:r>
        <w:t>IOU DER orchestration readiness should</w:t>
      </w:r>
      <w:r w:rsidRPr="001073A8">
        <w:t xml:space="preserve"> be supported by proven capabilities and tested results.</w:t>
      </w:r>
      <w:r>
        <w:rPr>
          <w:rStyle w:val="FootnoteReference"/>
        </w:rPr>
        <w:footnoteReference w:id="261"/>
      </w:r>
      <w:r>
        <w:t xml:space="preserve"> </w:t>
      </w:r>
      <w:r w:rsidRPr="001073A8">
        <w:t xml:space="preserve">GPI recommends </w:t>
      </w:r>
      <w:r w:rsidR="008D2056">
        <w:t xml:space="preserve">identifying </w:t>
      </w:r>
      <w:r w:rsidRPr="001073A8">
        <w:t>treating capabilities not yet proven as implementation dependencies.</w:t>
      </w:r>
      <w:r>
        <w:rPr>
          <w:rStyle w:val="FootnoteReference"/>
        </w:rPr>
        <w:footnoteReference w:id="262"/>
      </w:r>
    </w:p>
    <w:p w:rsidR="00A91EBD" w:rsidP="00A91EBD" w:rsidRDefault="00A91EBD" w14:paraId="2971AC29" w14:textId="7D4481B5">
      <w:pPr>
        <w:pStyle w:val="Standard"/>
        <w:rPr>
          <w:shd w:val="clear" w:color="auto" w:fill="FFFFFF"/>
        </w:rPr>
      </w:pPr>
      <w:r>
        <w:t xml:space="preserve">AEU </w:t>
      </w:r>
      <w:r w:rsidR="008D2056">
        <w:rPr>
          <w:shd w:val="clear" w:color="auto" w:fill="FFFFFF"/>
        </w:rPr>
        <w:t>state</w:t>
      </w:r>
      <w:r>
        <w:rPr>
          <w:shd w:val="clear" w:color="auto" w:fill="FFFFFF"/>
        </w:rPr>
        <w:t>s that the $500,000 aggregate application-development cap lacks an allocation or joint tracking mechanism across the three IOUs.</w:t>
      </w:r>
      <w:r>
        <w:rPr>
          <w:rStyle w:val="FootnoteReference"/>
          <w:rFonts w:ascii="Aptos Narrow" w:hAnsi="Aptos Narrow"/>
          <w:color w:val="242424"/>
          <w:sz w:val="22"/>
          <w:shd w:val="clear" w:color="auto" w:fill="FFFFFF"/>
        </w:rPr>
        <w:footnoteReference w:id="263"/>
      </w:r>
      <w:r>
        <w:rPr>
          <w:shd w:val="clear" w:color="auto" w:fill="FFFFFF"/>
        </w:rPr>
        <w:t xml:space="preserve"> Cal Advocates questions the need for new memorandum accounts where existing authorized funding may already cover application development.</w:t>
      </w:r>
      <w:r w:rsidR="008D2056">
        <w:rPr>
          <w:rStyle w:val="FootnoteReference"/>
          <w:shd w:val="clear" w:color="auto" w:fill="FFFFFF"/>
        </w:rPr>
        <w:footnoteReference w:id="264"/>
      </w:r>
      <w:r>
        <w:rPr>
          <w:shd w:val="clear" w:color="auto" w:fill="FFFFFF"/>
        </w:rPr>
        <w:t xml:space="preserve"> SDG&amp;E seeks removal of the </w:t>
      </w:r>
      <w:r w:rsidR="008D2056">
        <w:rPr>
          <w:shd w:val="clear" w:color="auto" w:fill="FFFFFF"/>
        </w:rPr>
        <w:t xml:space="preserve">application-development </w:t>
      </w:r>
      <w:r>
        <w:rPr>
          <w:shd w:val="clear" w:color="auto" w:fill="FFFFFF"/>
        </w:rPr>
        <w:t xml:space="preserve">cap to accommodate application development costs, while SCE requests </w:t>
      </w:r>
      <w:r w:rsidR="008D2056">
        <w:rPr>
          <w:shd w:val="clear" w:color="auto" w:fill="FFFFFF"/>
        </w:rPr>
        <w:t>the decision more clearly delineate treatment of program i</w:t>
      </w:r>
      <w:r>
        <w:rPr>
          <w:shd w:val="clear" w:color="auto" w:fill="FFFFFF"/>
        </w:rPr>
        <w:t>mplementation expenses.</w:t>
      </w:r>
      <w:r>
        <w:rPr>
          <w:rStyle w:val="FootnoteReference"/>
          <w:rFonts w:ascii="Aptos Narrow" w:hAnsi="Aptos Narrow"/>
          <w:color w:val="242424"/>
          <w:sz w:val="22"/>
          <w:shd w:val="clear" w:color="auto" w:fill="FFFFFF"/>
        </w:rPr>
        <w:footnoteReference w:id="265"/>
      </w:r>
    </w:p>
    <w:p w:rsidR="00A91EBD" w:rsidP="00A91EBD" w:rsidRDefault="00A91EBD" w14:paraId="082231E1" w14:textId="2B6602A5">
      <w:pPr>
        <w:pStyle w:val="Standard"/>
        <w:rPr>
          <w:shd w:val="clear" w:color="auto" w:fill="FFFFFF"/>
        </w:rPr>
      </w:pPr>
      <w:r>
        <w:rPr>
          <w:shd w:val="clear" w:color="auto" w:fill="FFFFFF"/>
        </w:rPr>
        <w:t>PG&amp;E identifies ambiguity between developing the common application framework and preparing utility-specific implementation plans</w:t>
      </w:r>
      <w:r w:rsidR="008D2056">
        <w:rPr>
          <w:shd w:val="clear" w:color="auto" w:fill="FFFFFF"/>
        </w:rPr>
        <w:t xml:space="preserve"> and </w:t>
      </w:r>
      <w:r>
        <w:rPr>
          <w:shd w:val="clear" w:color="auto" w:fill="FFFFFF"/>
        </w:rPr>
        <w:t>request</w:t>
      </w:r>
      <w:r w:rsidR="008D2056">
        <w:rPr>
          <w:shd w:val="clear" w:color="auto" w:fill="FFFFFF"/>
        </w:rPr>
        <w:t>s</w:t>
      </w:r>
      <w:r>
        <w:rPr>
          <w:shd w:val="clear" w:color="auto" w:fill="FFFFFF"/>
        </w:rPr>
        <w:t xml:space="preserve"> an initial focus on framework development, gaps, and readiness.</w:t>
      </w:r>
      <w:r>
        <w:rPr>
          <w:rStyle w:val="FootnoteReference"/>
          <w:rFonts w:ascii="Aptos Narrow" w:hAnsi="Aptos Narrow"/>
          <w:color w:val="242424"/>
          <w:sz w:val="22"/>
          <w:shd w:val="clear" w:color="auto" w:fill="FFFFFF"/>
        </w:rPr>
        <w:footnoteReference w:id="266"/>
      </w:r>
      <w:r>
        <w:rPr>
          <w:shd w:val="clear" w:color="auto" w:fill="FFFFFF"/>
        </w:rPr>
        <w:t xml:space="preserve"> SCE and SDG&amp;E similarly </w:t>
      </w:r>
      <w:r w:rsidR="008D2056">
        <w:rPr>
          <w:shd w:val="clear" w:color="auto" w:fill="FFFFFF"/>
        </w:rPr>
        <w:t>request</w:t>
      </w:r>
      <w:r>
        <w:rPr>
          <w:shd w:val="clear" w:color="auto" w:fill="FFFFFF"/>
        </w:rPr>
        <w:t xml:space="preserve"> common framework requirements f</w:t>
      </w:r>
      <w:r w:rsidR="008D2056">
        <w:rPr>
          <w:shd w:val="clear" w:color="auto" w:fill="FFFFFF"/>
        </w:rPr>
        <w:t>or</w:t>
      </w:r>
      <w:r>
        <w:rPr>
          <w:shd w:val="clear" w:color="auto" w:fill="FFFFFF"/>
        </w:rPr>
        <w:t xml:space="preserve"> individual utility programs, implementation needs, and costs. </w:t>
      </w:r>
      <w:r w:rsidR="008D2056">
        <w:rPr>
          <w:shd w:val="clear" w:color="auto" w:fill="FFFFFF"/>
        </w:rPr>
        <w:t>SCE and SDG&amp;E</w:t>
      </w:r>
      <w:r>
        <w:rPr>
          <w:shd w:val="clear" w:color="auto" w:fill="FFFFFF"/>
        </w:rPr>
        <w:t xml:space="preserve"> prefer framework approval before detailed implementation filings</w:t>
      </w:r>
      <w:r w:rsidR="008D2056">
        <w:rPr>
          <w:shd w:val="clear" w:color="auto" w:fill="FFFFFF"/>
        </w:rPr>
        <w:t xml:space="preserve"> and state that </w:t>
      </w:r>
      <w:r>
        <w:rPr>
          <w:shd w:val="clear" w:color="auto" w:fill="FFFFFF"/>
        </w:rPr>
        <w:t xml:space="preserve">separate </w:t>
      </w:r>
      <w:r>
        <w:rPr>
          <w:shd w:val="clear" w:color="auto" w:fill="FFFFFF"/>
        </w:rPr>
        <w:lastRenderedPageBreak/>
        <w:t>applications considered together would accommodate their utility-specific concerns without adopting that sequencing request.</w:t>
      </w:r>
      <w:r>
        <w:rPr>
          <w:rStyle w:val="FootnoteReference"/>
          <w:rFonts w:ascii="Aptos Narrow" w:hAnsi="Aptos Narrow"/>
          <w:color w:val="242424"/>
          <w:sz w:val="22"/>
          <w:shd w:val="clear" w:color="auto" w:fill="FFFFFF"/>
        </w:rPr>
        <w:footnoteReference w:id="267"/>
      </w:r>
    </w:p>
    <w:p w:rsidRPr="001073A8" w:rsidR="00A91EBD" w:rsidP="005C58FA" w:rsidRDefault="00A91EBD" w14:paraId="40DDB266" w14:textId="793C12B8">
      <w:pPr>
        <w:pStyle w:val="Standard"/>
        <w:rPr>
          <w:rFonts w:ascii="Times New Roman" w:hAnsi="Times New Roman" w:eastAsia="Times New Roman" w:cs="Times New Roman"/>
          <w:sz w:val="24"/>
          <w:szCs w:val="24"/>
        </w:rPr>
      </w:pPr>
      <w:r>
        <w:rPr>
          <w:shd w:val="clear" w:color="auto" w:fill="FFFFFF"/>
        </w:rPr>
        <w:t xml:space="preserve">SCE </w:t>
      </w:r>
      <w:r w:rsidR="008D2056">
        <w:rPr>
          <w:shd w:val="clear" w:color="auto" w:fill="FFFFFF"/>
        </w:rPr>
        <w:t>notes</w:t>
      </w:r>
      <w:r>
        <w:rPr>
          <w:shd w:val="clear" w:color="auto" w:fill="FFFFFF"/>
        </w:rPr>
        <w:t xml:space="preserve"> that the proposed decision wrongly </w:t>
      </w:r>
      <w:r w:rsidR="008D2056">
        <w:rPr>
          <w:shd w:val="clear" w:color="auto" w:fill="FFFFFF"/>
        </w:rPr>
        <w:t>states that</w:t>
      </w:r>
      <w:r>
        <w:rPr>
          <w:shd w:val="clear" w:color="auto" w:fill="FFFFFF"/>
        </w:rPr>
        <w:t xml:space="preserve"> it</w:t>
      </w:r>
      <w:r w:rsidR="008D2056">
        <w:rPr>
          <w:shd w:val="clear" w:color="auto" w:fill="FFFFFF"/>
        </w:rPr>
        <w:t>s</w:t>
      </w:r>
      <w:r>
        <w:rPr>
          <w:shd w:val="clear" w:color="auto" w:fill="FFFFFF"/>
        </w:rPr>
        <w:t xml:space="preserve"> Equity Scenario redistributed adoption without increasing it.</w:t>
      </w:r>
      <w:r>
        <w:rPr>
          <w:rStyle w:val="FootnoteReference"/>
          <w:rFonts w:ascii="Aptos Narrow" w:hAnsi="Aptos Narrow"/>
          <w:color w:val="242424"/>
          <w:sz w:val="22"/>
          <w:shd w:val="clear" w:color="auto" w:fill="FFFFFF"/>
        </w:rPr>
        <w:footnoteReference w:id="268"/>
      </w:r>
      <w:r>
        <w:rPr>
          <w:shd w:val="clear" w:color="auto" w:fill="FFFFFF"/>
        </w:rPr>
        <w:t xml:space="preserve"> PG&amp;E states that </w:t>
      </w:r>
      <w:r w:rsidRPr="00A91EBD">
        <w:rPr>
          <w:rFonts w:ascii="Times New Roman" w:hAnsi="Times New Roman" w:eastAsia="Times New Roman" w:cs="Times New Roman"/>
          <w:sz w:val="24"/>
          <w:szCs w:val="24"/>
        </w:rPr>
        <w:t xml:space="preserve">the </w:t>
      </w:r>
      <w:r w:rsidRPr="001073A8">
        <w:t>Equity Scenario is an analytical construct that evaluates impacts under an alternative policy future but says the scenario doesn’t identify approved programs, feasible or cost-effective DER portfolios, deferral opportunities, or investment-ready projects.</w:t>
      </w:r>
      <w:r w:rsidRPr="001073A8">
        <w:footnoteReference w:id="269"/>
      </w:r>
      <w:r w:rsidRPr="001073A8">
        <w:rPr>
          <w:vertAlign w:val="superscript"/>
        </w:rPr>
        <w:t xml:space="preserve"> </w:t>
      </w:r>
      <w:r w:rsidR="008D2056">
        <w:rPr>
          <w:vertAlign w:val="superscript"/>
        </w:rPr>
        <w:t xml:space="preserve"> </w:t>
      </w:r>
      <w:r w:rsidRPr="001073A8">
        <w:t>SDG&amp;E states that its EIS Part 2 results</w:t>
      </w:r>
      <w:r w:rsidR="0001724C">
        <w:t xml:space="preserve"> cannot </w:t>
      </w:r>
      <w:r w:rsidRPr="001073A8">
        <w:t>reliably identify geographic areas where load management or equity programs would add value, and shouldn’t be used to target specific areas.</w:t>
      </w:r>
      <w:r w:rsidRPr="001073A8">
        <w:footnoteReference w:id="270"/>
      </w:r>
    </w:p>
    <w:p w:rsidR="00882BBC" w:rsidP="005C58FA" w:rsidRDefault="00882BBC" w14:paraId="44046B32" w14:textId="05B1802E">
      <w:pPr>
        <w:pStyle w:val="Standard"/>
      </w:pPr>
      <w:r>
        <w:t>We have carefully reviewed and considered the parties’ comments and made appropriate changes to the proposed decision where warranted. We find that all further comments not specifically addressed by revisions to the proposed decision do not raise any factual, legal, or technical errors that would warrant modifications to the proposed decision.</w:t>
      </w:r>
    </w:p>
    <w:p w:rsidR="005939A5" w:rsidP="002319E0" w:rsidRDefault="005939A5" w14:paraId="1D8EFBD4" w14:textId="77777777">
      <w:pPr>
        <w:pStyle w:val="Heading1"/>
      </w:pPr>
      <w:bookmarkStart w:name="_Toc8123724" w:id="106"/>
      <w:bookmarkStart w:name="_Toc433361064" w:id="107"/>
      <w:bookmarkStart w:name="_Toc243991473" w:id="108"/>
      <w:r>
        <w:t xml:space="preserve">Assignment of </w:t>
      </w:r>
      <w:r w:rsidRPr="002319E0">
        <w:t>Proceeding</w:t>
      </w:r>
      <w:bookmarkEnd w:id="106"/>
      <w:bookmarkEnd w:id="107"/>
      <w:bookmarkEnd w:id="108"/>
    </w:p>
    <w:p w:rsidR="005939A5" w:rsidP="006E6574" w:rsidRDefault="007B7306" w14:paraId="115FB714" w14:textId="521D412F">
      <w:pPr>
        <w:pStyle w:val="Standard"/>
      </w:pPr>
      <w:r>
        <w:t>Darcie</w:t>
      </w:r>
      <w:r w:rsidR="00515BD0">
        <w:t xml:space="preserve"> L.</w:t>
      </w:r>
      <w:r>
        <w:t xml:space="preserve"> Houck</w:t>
      </w:r>
      <w:r w:rsidR="005939A5">
        <w:t xml:space="preserve"> is the assigned Commissioner</w:t>
      </w:r>
      <w:r w:rsidR="00B6082A">
        <w:t>,</w:t>
      </w:r>
      <w:r w:rsidR="005939A5">
        <w:t xml:space="preserve"> and </w:t>
      </w:r>
      <w:r w:rsidR="00B85986">
        <w:t>Jack Chang</w:t>
      </w:r>
      <w:r w:rsidR="005939A5">
        <w:t xml:space="preserve"> is the assigned Administrative Law Judge in this proceeding.</w:t>
      </w:r>
    </w:p>
    <w:p w:rsidR="005939A5" w:rsidP="005939A5" w:rsidRDefault="005939A5" w14:paraId="1FFF438C" w14:textId="77777777">
      <w:pPr>
        <w:pStyle w:val="Dummy"/>
      </w:pPr>
      <w:bookmarkStart w:name="_Toc8123725" w:id="109"/>
      <w:bookmarkStart w:name="_Toc774791686" w:id="110"/>
      <w:bookmarkStart w:name="_Toc243991474" w:id="111"/>
      <w:r>
        <w:t>Findings of Fact</w:t>
      </w:r>
      <w:bookmarkEnd w:id="109"/>
      <w:bookmarkEnd w:id="110"/>
      <w:bookmarkEnd w:id="111"/>
    </w:p>
    <w:p w:rsidRPr="001E2A62" w:rsidR="00F62B7A" w:rsidP="001E2A62" w:rsidRDefault="303743EF" w14:paraId="1ECF1E10" w14:textId="7A108795">
      <w:pPr>
        <w:pStyle w:val="FoF"/>
      </w:pPr>
      <w:r>
        <w:t>Net</w:t>
      </w:r>
      <w:r w:rsidR="4642FCD2">
        <w:t xml:space="preserve"> ratepayer benefits, operational cost reductions,</w:t>
      </w:r>
      <w:r w:rsidR="21220AC0">
        <w:t xml:space="preserve"> distribution capacity,</w:t>
      </w:r>
      <w:r w:rsidR="4642FCD2">
        <w:t xml:space="preserve"> reliability</w:t>
      </w:r>
      <w:r w:rsidR="003424F6">
        <w:t>,</w:t>
      </w:r>
      <w:r w:rsidR="4642FCD2">
        <w:t xml:space="preserve"> and emissions reduction </w:t>
      </w:r>
      <w:r w:rsidR="2FB8FEA7">
        <w:t xml:space="preserve">are primary objectives of DER orchestration </w:t>
      </w:r>
      <w:r w:rsidR="2FB8FEA7">
        <w:lastRenderedPageBreak/>
        <w:t xml:space="preserve">and support the efficient and cost-effective integration of DERs into the electric grid. Customer and aggregation participation pathways </w:t>
      </w:r>
      <w:r w:rsidR="003424F6">
        <w:t>m</w:t>
      </w:r>
      <w:r w:rsidR="2FB8FEA7">
        <w:t xml:space="preserve">ay support achievement of these objectives. </w:t>
      </w:r>
    </w:p>
    <w:p w:rsidR="370EB49C" w:rsidP="370EB49C" w:rsidRDefault="3EB4375F" w14:paraId="2D6FB386" w14:textId="4A0DB089">
      <w:pPr>
        <w:pStyle w:val="FoF"/>
      </w:pPr>
      <w:r w:rsidRPr="3B982EAB">
        <w:t xml:space="preserve">Thermal overloads, customer energization and interconnection delays, </w:t>
      </w:r>
      <w:r w:rsidR="00A86C5B">
        <w:t xml:space="preserve">localized distribution-equipment loading, </w:t>
      </w:r>
      <w:r w:rsidRPr="3B982EAB">
        <w:t>system peak loading, and voltage deviations are primary distribution-system constraints that DER orchestration may help address. DER orchestration may also provide operational benefits, including deferral of distribution-system investments.</w:t>
      </w:r>
    </w:p>
    <w:p w:rsidRPr="001E2A62" w:rsidR="00F62B7A" w:rsidP="001E2A62" w:rsidRDefault="00165AA0" w14:paraId="0AC11B3D" w14:textId="13A1B44D">
      <w:pPr>
        <w:pStyle w:val="FoF"/>
      </w:pPr>
      <w:r>
        <w:t>DER orchestration</w:t>
      </w:r>
      <w:r w:rsidR="1BF32FC1">
        <w:t xml:space="preserve"> may provide</w:t>
      </w:r>
      <w:r>
        <w:t xml:space="preserve"> </w:t>
      </w:r>
      <w:r w:rsidR="1BF32FC1">
        <w:t>grid services including reliability, outage mitigation and avoidance, infrastructure deferral, and electrification support. The value and applicability of these services depend on the specific distribution system ne</w:t>
      </w:r>
      <w:r w:rsidR="3D1B4493">
        <w:t xml:space="preserve">eds addressed. </w:t>
      </w:r>
      <w:r w:rsidR="05DBD79B">
        <w:t xml:space="preserve"> </w:t>
      </w:r>
    </w:p>
    <w:p w:rsidR="6660D424" w:rsidP="6660D424" w:rsidRDefault="00AB4C8B" w14:paraId="111D746B" w14:textId="540E74DD">
      <w:pPr>
        <w:pStyle w:val="FoF"/>
      </w:pPr>
      <w:r>
        <w:t>Adopting t</w:t>
      </w:r>
      <w:r w:rsidR="00165AA0">
        <w:t xml:space="preserve">he 10 </w:t>
      </w:r>
      <w:r>
        <w:t xml:space="preserve">DER orchestration </w:t>
      </w:r>
      <w:r w:rsidR="00165AA0">
        <w:t>guiding principles listed in the March 23 Ruling</w:t>
      </w:r>
      <w:r w:rsidR="39E37C3E">
        <w:t>,</w:t>
      </w:r>
      <w:r>
        <w:t xml:space="preserve"> </w:t>
      </w:r>
      <w:r w:rsidR="39E37C3E">
        <w:t xml:space="preserve">as modified by this decision, together with the addition </w:t>
      </w:r>
      <w:r w:rsidR="00A71C46">
        <w:t>of “</w:t>
      </w:r>
      <w:r>
        <w:t>safe and reliable grid operation</w:t>
      </w:r>
      <w:r w:rsidR="004D53E5">
        <w:t>,</w:t>
      </w:r>
      <w:r>
        <w:t>” will help align</w:t>
      </w:r>
      <w:r w:rsidR="00583AB6">
        <w:t xml:space="preserve"> the</w:t>
      </w:r>
      <w:r>
        <w:t xml:space="preserve"> IOU</w:t>
      </w:r>
      <w:r w:rsidR="00583AB6">
        <w:t>s’</w:t>
      </w:r>
      <w:r>
        <w:t xml:space="preserve"> </w:t>
      </w:r>
      <w:r w:rsidR="007417B6">
        <w:t xml:space="preserve">Joint </w:t>
      </w:r>
      <w:r>
        <w:t xml:space="preserve">DER </w:t>
      </w:r>
      <w:r w:rsidR="007417B6">
        <w:t>O</w:t>
      </w:r>
      <w:r>
        <w:t xml:space="preserve">rchestration </w:t>
      </w:r>
      <w:r w:rsidR="007417B6">
        <w:t>A</w:t>
      </w:r>
      <w:r>
        <w:t>pplic</w:t>
      </w:r>
      <w:r w:rsidR="00481ED7">
        <w:t>a</w:t>
      </w:r>
      <w:r>
        <w:t>tion with the overall goals of R.21-06-017.</w:t>
      </w:r>
    </w:p>
    <w:p w:rsidR="55176C32" w:rsidP="55176C32" w:rsidRDefault="04E05B72" w14:paraId="67FF2A07" w14:textId="1FF823A3">
      <w:pPr>
        <w:pStyle w:val="FoF"/>
      </w:pPr>
      <w:r w:rsidRPr="609CA500">
        <w:t>The existing Commission-led workshops and subsequent party comments sufficiently developed the record to establish DER orchestration application requirements</w:t>
      </w:r>
      <w:r w:rsidRPr="416E9739" w:rsidR="1DD25FCD">
        <w:t>. P</w:t>
      </w:r>
      <w:r w:rsidRPr="416E9739">
        <w:t>re</w:t>
      </w:r>
      <w:r w:rsidRPr="609CA500">
        <w:t>-application stakeholder engagement</w:t>
      </w:r>
      <w:r w:rsidR="00583AB6">
        <w:t>, including through a working group</w:t>
      </w:r>
      <w:r w:rsidR="00DD1880">
        <w:t>,</w:t>
      </w:r>
      <w:r w:rsidRPr="609CA500">
        <w:t xml:space="preserve"> </w:t>
      </w:r>
      <w:r w:rsidR="00DD1880">
        <w:t>will</w:t>
      </w:r>
      <w:r w:rsidRPr="609CA500">
        <w:t xml:space="preserve"> provide </w:t>
      </w:r>
      <w:r w:rsidR="00DD1880">
        <w:t xml:space="preserve">important </w:t>
      </w:r>
      <w:r w:rsidRPr="609CA500">
        <w:t xml:space="preserve">input </w:t>
      </w:r>
      <w:r w:rsidR="00DD1880">
        <w:t>to inform</w:t>
      </w:r>
      <w:r w:rsidRPr="609CA500">
        <w:t xml:space="preserve"> the IOUs’ </w:t>
      </w:r>
      <w:r w:rsidR="007417B6">
        <w:t>Joint DER Orchestration Application</w:t>
      </w:r>
      <w:r w:rsidRPr="609CA500">
        <w:t>.</w:t>
      </w:r>
    </w:p>
    <w:p w:rsidR="007417B6" w:rsidP="007417B6" w:rsidRDefault="007417B6" w14:paraId="60D79461" w14:textId="59DFD95A">
      <w:pPr>
        <w:pStyle w:val="FoF"/>
      </w:pPr>
      <w:r>
        <w:t>Topics covered by the pre-application working group led by an IOU-contracted facilitator would include the following:</w:t>
      </w:r>
    </w:p>
    <w:p w:rsidR="007417B6" w:rsidP="007417B6" w:rsidRDefault="007417B6" w14:paraId="496441AD" w14:textId="77777777">
      <w:pPr>
        <w:pStyle w:val="CoL"/>
        <w:numPr>
          <w:ilvl w:val="1"/>
          <w:numId w:val="3"/>
        </w:numPr>
      </w:pPr>
      <w:r>
        <w:t>Guiding principles refinement;</w:t>
      </w:r>
    </w:p>
    <w:p w:rsidR="007417B6" w:rsidP="007417B6" w:rsidRDefault="007417B6" w14:paraId="26386E07" w14:textId="77777777">
      <w:pPr>
        <w:pStyle w:val="CoL"/>
        <w:numPr>
          <w:ilvl w:val="1"/>
          <w:numId w:val="3"/>
        </w:numPr>
      </w:pPr>
      <w:r>
        <w:t>Valuation frameworks;</w:t>
      </w:r>
    </w:p>
    <w:p w:rsidR="007417B6" w:rsidP="007417B6" w:rsidRDefault="007417B6" w14:paraId="5DE1D6C3" w14:textId="77777777">
      <w:pPr>
        <w:pStyle w:val="CoL"/>
        <w:numPr>
          <w:ilvl w:val="1"/>
          <w:numId w:val="3"/>
        </w:numPr>
      </w:pPr>
      <w:r>
        <w:t>Cost effectiveness and benefit-cost methodologies;</w:t>
      </w:r>
    </w:p>
    <w:p w:rsidR="007417B6" w:rsidP="007417B6" w:rsidRDefault="007417B6" w14:paraId="3BF8D6F9" w14:textId="77777777">
      <w:pPr>
        <w:pStyle w:val="CoL"/>
        <w:numPr>
          <w:ilvl w:val="1"/>
          <w:numId w:val="3"/>
        </w:numPr>
      </w:pPr>
      <w:r>
        <w:lastRenderedPageBreak/>
        <w:t>Interoperability, DSO visibility, and dispatch and control;</w:t>
      </w:r>
    </w:p>
    <w:p w:rsidR="007417B6" w:rsidP="007417B6" w:rsidRDefault="007417B6" w14:paraId="545BEA05" w14:textId="77777777">
      <w:pPr>
        <w:pStyle w:val="CoL"/>
        <w:numPr>
          <w:ilvl w:val="1"/>
          <w:numId w:val="3"/>
        </w:numPr>
      </w:pPr>
      <w:r>
        <w:t>Role of DER aggregators;</w:t>
      </w:r>
    </w:p>
    <w:p w:rsidR="007417B6" w:rsidP="007417B6" w:rsidRDefault="007417B6" w14:paraId="652D9A4E" w14:textId="77777777">
      <w:pPr>
        <w:pStyle w:val="CoL"/>
        <w:numPr>
          <w:ilvl w:val="1"/>
          <w:numId w:val="3"/>
        </w:numPr>
      </w:pPr>
      <w:r>
        <w:t>Flexible dispatching mechanisms;</w:t>
      </w:r>
    </w:p>
    <w:p w:rsidR="007417B6" w:rsidP="007417B6" w:rsidRDefault="007417B6" w14:paraId="21859008" w14:textId="77777777">
      <w:pPr>
        <w:pStyle w:val="CoL"/>
        <w:numPr>
          <w:ilvl w:val="1"/>
          <w:numId w:val="3"/>
        </w:numPr>
      </w:pPr>
      <w:r>
        <w:t>IOU technical readiness;</w:t>
      </w:r>
    </w:p>
    <w:p w:rsidR="007417B6" w:rsidP="007417B6" w:rsidRDefault="007417B6" w14:paraId="1BF359C0" w14:textId="77777777">
      <w:pPr>
        <w:pStyle w:val="CoL"/>
        <w:numPr>
          <w:ilvl w:val="1"/>
          <w:numId w:val="3"/>
        </w:numPr>
      </w:pPr>
      <w:r>
        <w:t>Ownership of technology;</w:t>
      </w:r>
    </w:p>
    <w:p w:rsidR="007417B6" w:rsidP="007417B6" w:rsidRDefault="007417B6" w14:paraId="61C6E23B" w14:textId="77777777">
      <w:pPr>
        <w:pStyle w:val="CoL"/>
        <w:numPr>
          <w:ilvl w:val="1"/>
          <w:numId w:val="3"/>
        </w:numPr>
      </w:pPr>
      <w:r>
        <w:t>Phased implementation and deployment;</w:t>
      </w:r>
    </w:p>
    <w:p w:rsidR="00B37038" w:rsidP="007417B6" w:rsidRDefault="007417B6" w14:paraId="1D1EB926" w14:textId="77777777">
      <w:pPr>
        <w:pStyle w:val="CoL"/>
        <w:numPr>
          <w:ilvl w:val="1"/>
          <w:numId w:val="3"/>
        </w:numPr>
      </w:pPr>
      <w:r>
        <w:t>DER orchestration and real-time pricing</w:t>
      </w:r>
      <w:r w:rsidR="00B37038">
        <w:t>;</w:t>
      </w:r>
    </w:p>
    <w:p w:rsidR="00B37038" w:rsidP="00B37038" w:rsidRDefault="00B37038" w14:paraId="672F15F1" w14:textId="77777777">
      <w:pPr>
        <w:pStyle w:val="CoL"/>
        <w:numPr>
          <w:ilvl w:val="1"/>
          <w:numId w:val="3"/>
        </w:numPr>
      </w:pPr>
      <w:r w:rsidRPr="35ABCD6E">
        <w:t>Fair and non-discriminatory participation for utility and non-utility DER providers</w:t>
      </w:r>
      <w:r>
        <w:t>, and IOU conflict of interest and market power concerns;</w:t>
      </w:r>
    </w:p>
    <w:p w:rsidRPr="00551F0C" w:rsidR="00B37038" w:rsidP="00B37038" w:rsidRDefault="00B37038" w14:paraId="14699A1E" w14:textId="77777777">
      <w:pPr>
        <w:pStyle w:val="CoL"/>
        <w:numPr>
          <w:ilvl w:val="1"/>
          <w:numId w:val="3"/>
        </w:numPr>
      </w:pPr>
      <w:r w:rsidRPr="00551F0C">
        <w:t>DSO performance measurement, monitoring, and accountability</w:t>
      </w:r>
      <w:r>
        <w:t>.</w:t>
      </w:r>
      <w:r w:rsidRPr="00551F0C">
        <w:t xml:space="preserve"> </w:t>
      </w:r>
    </w:p>
    <w:p w:rsidR="007417B6" w:rsidP="007417B6" w:rsidRDefault="007417B6" w14:paraId="53AACF23" w14:textId="49A61CCC">
      <w:pPr>
        <w:pStyle w:val="CoL"/>
        <w:numPr>
          <w:ilvl w:val="1"/>
          <w:numId w:val="3"/>
        </w:numPr>
      </w:pPr>
    </w:p>
    <w:p w:rsidR="00AB4C8B" w:rsidP="001E2A62" w:rsidRDefault="00AB4C8B" w14:paraId="4E5F1E8E" w14:textId="59C19EFB">
      <w:pPr>
        <w:pStyle w:val="FoF"/>
      </w:pPr>
      <w:r>
        <w:t xml:space="preserve">The value of DER flexibility is highly location dependent, and </w:t>
      </w:r>
      <w:r w:rsidR="3EDB6157">
        <w:t xml:space="preserve">valuation </w:t>
      </w:r>
      <w:r w:rsidR="39CF9A36">
        <w:t>frameworks for</w:t>
      </w:r>
      <w:r w:rsidR="3EDB6157">
        <w:t xml:space="preserve"> </w:t>
      </w:r>
      <w:r>
        <w:t xml:space="preserve">DER orchestration </w:t>
      </w:r>
      <w:r w:rsidR="1417A947">
        <w:t xml:space="preserve">should reflect the specific use case and account for location and timing, where applicable, including location-specific benefits. </w:t>
      </w:r>
    </w:p>
    <w:p w:rsidR="00AB4C8B" w:rsidP="001E2A62" w:rsidRDefault="067BAC2D" w14:paraId="7BED8D0F" w14:textId="632AE29B">
      <w:pPr>
        <w:pStyle w:val="FoF"/>
      </w:pPr>
      <w:r w:rsidRPr="5B190CC4">
        <w:t>The record does not support prescribing the</w:t>
      </w:r>
      <w:r w:rsidR="00E47353">
        <w:t xml:space="preserve"> </w:t>
      </w:r>
      <w:r w:rsidRPr="5B190CC4">
        <w:t>A</w:t>
      </w:r>
      <w:r w:rsidR="00E47353">
        <w:t>CC</w:t>
      </w:r>
      <w:r w:rsidRPr="5B190CC4">
        <w:t xml:space="preserve"> or any other single valuation tool for all DER orchestration use cases. The ACC may not fully capture the granular locational and distribution-system value relevant to DER orchestration. </w:t>
      </w:r>
    </w:p>
    <w:p w:rsidR="00094CD0" w:rsidP="001E2A62" w:rsidRDefault="00094CD0" w14:paraId="7D21F0F8" w14:textId="0EEAD609">
      <w:pPr>
        <w:pStyle w:val="FoF"/>
      </w:pPr>
      <w:r w:rsidRPr="00DD387E">
        <w:t xml:space="preserve">DSO-led DER </w:t>
      </w:r>
      <w:r w:rsidR="00481ED7">
        <w:t>o</w:t>
      </w:r>
      <w:r w:rsidRPr="00DD387E">
        <w:t xml:space="preserve">rchestration requires DER visibility </w:t>
      </w:r>
      <w:r w:rsidR="00481ED7">
        <w:t>in</w:t>
      </w:r>
      <w:r w:rsidRPr="00DD387E">
        <w:t>to the DSO and DER dispatchability and control</w:t>
      </w:r>
      <w:r>
        <w:t xml:space="preserve"> as well as coordination with the CAISO during the application process</w:t>
      </w:r>
      <w:r w:rsidRPr="00DD387E">
        <w:t xml:space="preserve">. </w:t>
      </w:r>
      <w:r>
        <w:t xml:space="preserve"> </w:t>
      </w:r>
    </w:p>
    <w:p w:rsidR="00B13069" w:rsidP="001E2A62" w:rsidRDefault="2733D200" w14:paraId="6B046A9A" w14:textId="3DE6A13E">
      <w:pPr>
        <w:pStyle w:val="FoF"/>
      </w:pPr>
      <w:r>
        <w:t>DER aggregators may provide val</w:t>
      </w:r>
      <w:r w:rsidR="3F1B0C85">
        <w:t>u</w:t>
      </w:r>
      <w:r>
        <w:t xml:space="preserve">e by managing customer DERs and providing coordinated DER services, provided that their participation is subject to the same performance and accountability requirements as IOUs. </w:t>
      </w:r>
    </w:p>
    <w:p w:rsidR="00EA717E" w:rsidP="001E2A62" w:rsidRDefault="375F9D76" w14:paraId="71BF02A2" w14:textId="2DF33CBD">
      <w:pPr>
        <w:pStyle w:val="FoF"/>
      </w:pPr>
      <w:r>
        <w:lastRenderedPageBreak/>
        <w:t>Distribution-level f</w:t>
      </w:r>
      <w:r w:rsidR="64CEC2C3">
        <w:t>lexib</w:t>
      </w:r>
      <w:r w:rsidR="747D7D91">
        <w:t>le</w:t>
      </w:r>
      <w:r w:rsidR="00414BDE">
        <w:t xml:space="preserve"> </w:t>
      </w:r>
      <w:r w:rsidR="54114D47">
        <w:t>dispatch</w:t>
      </w:r>
      <w:r w:rsidR="244648B7">
        <w:t>ing</w:t>
      </w:r>
      <w:r w:rsidR="54114D47">
        <w:t xml:space="preserve"> mechanisms </w:t>
      </w:r>
      <w:r w:rsidR="67138F49">
        <w:t>can supp</w:t>
      </w:r>
      <w:r w:rsidR="6B3EDBE1">
        <w:t>o</w:t>
      </w:r>
      <w:r w:rsidR="67138F49">
        <w:t>rt DER orchestration by provi</w:t>
      </w:r>
      <w:r w:rsidR="6A337852">
        <w:t>d</w:t>
      </w:r>
      <w:r w:rsidR="67138F49">
        <w:t>ing</w:t>
      </w:r>
      <w:r w:rsidR="54114D47">
        <w:t xml:space="preserve"> </w:t>
      </w:r>
      <w:r w:rsidR="67138F49">
        <w:t xml:space="preserve">a structured means for </w:t>
      </w:r>
      <w:r w:rsidR="57FFE5F9">
        <w:t xml:space="preserve">enabling </w:t>
      </w:r>
      <w:r w:rsidR="67138F49">
        <w:t>distribution-level services from DERs. Flexible dispatch</w:t>
      </w:r>
      <w:r w:rsidR="50875FF2">
        <w:t>ing mechanisms</w:t>
      </w:r>
      <w:r w:rsidR="67138F49">
        <w:t xml:space="preserve"> must be coordinated with</w:t>
      </w:r>
      <w:r w:rsidR="54114D47">
        <w:t xml:space="preserve"> </w:t>
      </w:r>
      <w:r w:rsidR="4A5145EB">
        <w:t>DSO operational responsibilities</w:t>
      </w:r>
      <w:r w:rsidR="54114D47">
        <w:t xml:space="preserve"> </w:t>
      </w:r>
      <w:r w:rsidR="4A5145EB">
        <w:t>to</w:t>
      </w:r>
      <w:r w:rsidR="54114D47">
        <w:t xml:space="preserve"> </w:t>
      </w:r>
      <w:r w:rsidR="2845BC1B">
        <w:t xml:space="preserve">provide </w:t>
      </w:r>
      <w:r w:rsidR="00EA717E">
        <w:t xml:space="preserve">capacity capable of </w:t>
      </w:r>
      <w:proofErr w:type="gramStart"/>
      <w:r w:rsidR="00EA717E">
        <w:t>operating during</w:t>
      </w:r>
      <w:proofErr w:type="gramEnd"/>
      <w:r w:rsidR="00EA717E">
        <w:t xml:space="preserve"> a specific time window </w:t>
      </w:r>
      <w:proofErr w:type="gramStart"/>
      <w:r w:rsidR="00EA717E">
        <w:t>at</w:t>
      </w:r>
      <w:proofErr w:type="gramEnd"/>
      <w:r w:rsidR="00EA717E">
        <w:t xml:space="preserve"> a needed grid location.</w:t>
      </w:r>
    </w:p>
    <w:p w:rsidR="00EA717E" w:rsidP="001E2A62" w:rsidRDefault="00EA717E" w14:paraId="12E08D0B" w14:textId="6B888D12">
      <w:pPr>
        <w:pStyle w:val="FoF"/>
      </w:pPr>
      <w:r>
        <w:t>Participant eligibility, protections against double payment or double counting,</w:t>
      </w:r>
      <w:r w:rsidR="2E065004">
        <w:t xml:space="preserve"> </w:t>
      </w:r>
      <w:r>
        <w:t>performance and measurement and verification requirements</w:t>
      </w:r>
      <w:r w:rsidR="454CA4C0">
        <w:t>, open and nondiscriminatory participation, and appropriate governance and oversight</w:t>
      </w:r>
      <w:r>
        <w:t xml:space="preserve"> are </w:t>
      </w:r>
      <w:r w:rsidR="5396C425">
        <w:t xml:space="preserve">all </w:t>
      </w:r>
      <w:r w:rsidR="64CEC2C3">
        <w:t>relevant</w:t>
      </w:r>
      <w:r>
        <w:t xml:space="preserve"> considerations </w:t>
      </w:r>
      <w:r w:rsidR="7B6C3A7E">
        <w:t>for</w:t>
      </w:r>
      <w:r>
        <w:t xml:space="preserve"> </w:t>
      </w:r>
      <w:r w:rsidR="64CEC2C3">
        <w:t>flexib</w:t>
      </w:r>
      <w:r w:rsidR="68C136A2">
        <w:t>ility dispatch mechanisms.</w:t>
      </w:r>
    </w:p>
    <w:p w:rsidR="00852424" w:rsidP="00D81479" w:rsidRDefault="007E7CF6" w14:paraId="25B3AFCC" w14:textId="64C18919">
      <w:pPr>
        <w:pStyle w:val="FoF"/>
      </w:pPr>
      <w:r>
        <w:t xml:space="preserve">The IOUs are at different stages of DER orchestration deployment and readiness </w:t>
      </w:r>
      <w:r w:rsidR="00E47353">
        <w:t xml:space="preserve">and </w:t>
      </w:r>
      <w:r w:rsidR="6382F0FA">
        <w:t>have different existing systems, capabilities, and levels of technical and operational readiness to support</w:t>
      </w:r>
      <w:r>
        <w:t xml:space="preserve"> DER orchestration</w:t>
      </w:r>
      <w:r w:rsidR="7544E84F">
        <w:t>.</w:t>
      </w:r>
      <w:r>
        <w:t xml:space="preserve"> </w:t>
      </w:r>
    </w:p>
    <w:p w:rsidR="008948FF" w:rsidP="00E47353" w:rsidRDefault="38962410" w14:paraId="6C9E2DBA" w14:textId="36B2B9CF">
      <w:pPr>
        <w:pStyle w:val="FoF"/>
      </w:pPr>
      <w:r w:rsidRPr="2D7F7A38">
        <w:t>Existing and previously authorized technology investments should be leveraged to the greatest extent possible before IOUs seek authorization for incremental technology investments necessary to support DER orchestration.</w:t>
      </w:r>
    </w:p>
    <w:p w:rsidR="008948FF" w:rsidP="007417B6" w:rsidRDefault="128D17D7" w14:paraId="2B412F04" w14:textId="26D49C7F">
      <w:pPr>
        <w:pStyle w:val="FoF"/>
      </w:pPr>
      <w:r w:rsidRPr="6155C47C">
        <w:t xml:space="preserve">Broad technology investments are generally more appropriately reviewed through GRCs or other applicable cost-recovery proceedings, where their need, costs, and ratepayer impacts can be evaluated. </w:t>
      </w:r>
    </w:p>
    <w:p w:rsidR="008948FF" w:rsidP="008948FF" w:rsidRDefault="008948FF" w14:paraId="0B45EE80" w14:textId="38B38BC4">
      <w:pPr>
        <w:pStyle w:val="FoF"/>
      </w:pPr>
      <w:r>
        <w:t>A phased DER orchestration implementation process would allow each IOU to develop a</w:t>
      </w:r>
      <w:r w:rsidRPr="00CD1FEB">
        <w:t xml:space="preserve"> comprehensive, utility-specific </w:t>
      </w:r>
      <w:r w:rsidR="00414BDE">
        <w:t>approach to supporting a common DER orchestration framework</w:t>
      </w:r>
      <w:r w:rsidRPr="00CD1FEB">
        <w:t>.</w:t>
      </w:r>
    </w:p>
    <w:p w:rsidRPr="00CD1FEB" w:rsidR="00377BAB" w:rsidP="008948FF" w:rsidRDefault="00377BAB" w14:paraId="6556639B" w14:textId="172D6B14">
      <w:pPr>
        <w:pStyle w:val="FoF"/>
      </w:pPr>
      <w:r>
        <w:t xml:space="preserve">A common DER </w:t>
      </w:r>
      <w:proofErr w:type="gramStart"/>
      <w:r>
        <w:t>orchestration framework</w:t>
      </w:r>
      <w:proofErr w:type="gramEnd"/>
      <w:r>
        <w:t xml:space="preserve"> approach</w:t>
      </w:r>
      <w:r w:rsidR="00826F21">
        <w:t xml:space="preserve"> will provide </w:t>
      </w:r>
      <w:r w:rsidR="00EC4E9D">
        <w:t xml:space="preserve">efficiencies and better visibility of DER resources that will </w:t>
      </w:r>
      <w:r w:rsidR="00013A76">
        <w:t xml:space="preserve">benefit </w:t>
      </w:r>
      <w:r w:rsidR="000E27EC">
        <w:t>customers.</w:t>
      </w:r>
    </w:p>
    <w:p w:rsidR="00A3321B" w:rsidP="001E2A62" w:rsidRDefault="670379B4" w14:paraId="46AF3B27" w14:textId="5C08324F">
      <w:pPr>
        <w:pStyle w:val="FoF"/>
      </w:pPr>
      <w:r w:rsidRPr="7D454CF8">
        <w:t xml:space="preserve">Dynamic pricing and DER orchestration are complementary but distinct tools. Dynamic pricing assigns value through price signals based on system </w:t>
      </w:r>
      <w:r w:rsidRPr="7D454CF8">
        <w:lastRenderedPageBreak/>
        <w:t xml:space="preserve">conditions, while DER orchestration more directly targets specific system needs that vary by location and use case. </w:t>
      </w:r>
    </w:p>
    <w:p w:rsidR="00243304" w:rsidP="001E2A62" w:rsidRDefault="3DA313B6" w14:paraId="62D4E594" w14:textId="417EEB06">
      <w:pPr>
        <w:pStyle w:val="FoF"/>
      </w:pPr>
      <w:r w:rsidRPr="0EDBAFEC">
        <w:t xml:space="preserve">Customer responses to dynamic pricing may affect load patterns, DER availability, timing, or other factors relevant to DER orchestration, and learnings from dynamic pricing may inform the development of DER orchestration where appropriate. </w:t>
      </w:r>
    </w:p>
    <w:p w:rsidR="00243304" w:rsidP="001E2A62" w:rsidRDefault="00BF5F28" w14:paraId="30A19073" w14:textId="04ABA823">
      <w:pPr>
        <w:pStyle w:val="FoF"/>
      </w:pPr>
      <w:r>
        <w:t>The Commission has already adopted a robust framework for reporting and analyzing equity metrics in distribution planning in Resolution E-5480</w:t>
      </w:r>
      <w:r w:rsidR="00CD345B">
        <w:t xml:space="preserve">, </w:t>
      </w:r>
      <w:r w:rsidRPr="00CD345B" w:rsidR="00CD345B">
        <w:t>which requires the IOUs to report equity metrics annually through the Grid Needs Assessment and Distribution Upgrade Project Report filings and to evaluate how equitably distribution grid upgrades are allocated across disadvantaged and other communities over time.</w:t>
      </w:r>
      <w:r>
        <w:t xml:space="preserve"> </w:t>
      </w:r>
    </w:p>
    <w:p w:rsidR="00BF5F28" w:rsidP="001E2A62" w:rsidRDefault="00BF5F28" w14:paraId="7C0D5923" w14:textId="0A05E143">
      <w:pPr>
        <w:pStyle w:val="FoF"/>
      </w:pPr>
      <w:r>
        <w:t xml:space="preserve">Demand Flexibility Scenario assumptions </w:t>
      </w:r>
      <w:r w:rsidR="00A727DD">
        <w:t xml:space="preserve">in EIS </w:t>
      </w:r>
      <w:r w:rsidR="00013A76">
        <w:t>P</w:t>
      </w:r>
      <w:r w:rsidR="00A727DD">
        <w:t xml:space="preserve">art 2 </w:t>
      </w:r>
      <w:r>
        <w:t xml:space="preserve">need additional </w:t>
      </w:r>
      <w:r w:rsidR="008874BF">
        <w:t>validation</w:t>
      </w:r>
      <w:r w:rsidR="00C95234">
        <w:t xml:space="preserve"> </w:t>
      </w:r>
      <w:r>
        <w:t xml:space="preserve">before being </w:t>
      </w:r>
      <w:r w:rsidR="004108CC">
        <w:t xml:space="preserve">fully </w:t>
      </w:r>
      <w:r>
        <w:t>integrated into distribution planning</w:t>
      </w:r>
      <w:r w:rsidR="00013A76">
        <w:t>. H</w:t>
      </w:r>
      <w:r w:rsidR="00BB4614">
        <w:t>owever</w:t>
      </w:r>
      <w:r w:rsidR="004879DA">
        <w:t xml:space="preserve">, the potential </w:t>
      </w:r>
      <w:r w:rsidR="00AC5CA9">
        <w:t>value of the Demand Flexibility Scenarios</w:t>
      </w:r>
      <w:r w:rsidR="00CD345B">
        <w:t xml:space="preserve">, </w:t>
      </w:r>
      <w:r w:rsidRPr="00CD345B" w:rsidR="00CD345B">
        <w:t>with modeled distribution cost reductions through 2040 of approximately $1.8 billion for PG&amp;E, $0.32–$1.38 billion for SCE, and $697 million for SDG&amp;E,</w:t>
      </w:r>
      <w:r w:rsidR="005B54DD">
        <w:t xml:space="preserve"> warrant </w:t>
      </w:r>
      <w:r w:rsidR="00CF6D57">
        <w:t xml:space="preserve">development of a </w:t>
      </w:r>
      <w:r w:rsidR="005B54DD">
        <w:t>phased</w:t>
      </w:r>
      <w:r w:rsidR="00CF6D57">
        <w:t xml:space="preserve"> process</w:t>
      </w:r>
      <w:r w:rsidR="00B639E4">
        <w:t xml:space="preserve"> for incorporating </w:t>
      </w:r>
      <w:r w:rsidR="00AB4F92">
        <w:t xml:space="preserve">demand flexibility </w:t>
      </w:r>
      <w:r w:rsidR="00623845">
        <w:t>into</w:t>
      </w:r>
      <w:r w:rsidR="0092488F">
        <w:t xml:space="preserve"> </w:t>
      </w:r>
      <w:r w:rsidR="00013A76">
        <w:t xml:space="preserve">the </w:t>
      </w:r>
      <w:r w:rsidR="0092488F">
        <w:t>DPEP</w:t>
      </w:r>
      <w:r>
        <w:t>.</w:t>
      </w:r>
    </w:p>
    <w:p w:rsidR="00474D6F" w:rsidP="001E2A62" w:rsidRDefault="00077269" w14:paraId="21FEE55E" w14:textId="58739A0D">
      <w:pPr>
        <w:pStyle w:val="FoF"/>
      </w:pPr>
      <w:r>
        <w:t>IOUs</w:t>
      </w:r>
      <w:r w:rsidR="00E90EF3">
        <w:t xml:space="preserve">-developed </w:t>
      </w:r>
      <w:r w:rsidR="001F2C85">
        <w:t>methodologies</w:t>
      </w:r>
      <w:r w:rsidR="00E90EF3">
        <w:t xml:space="preserve"> are necessary</w:t>
      </w:r>
      <w:r w:rsidR="001F2C85">
        <w:t xml:space="preserve"> for </w:t>
      </w:r>
      <w:r w:rsidR="0054012F">
        <w:t xml:space="preserve">incorporating </w:t>
      </w:r>
      <w:r w:rsidR="001F2C85">
        <w:t xml:space="preserve">demand flexibility </w:t>
      </w:r>
      <w:r w:rsidR="00656585">
        <w:t xml:space="preserve">into DPEP </w:t>
      </w:r>
      <w:r w:rsidR="00285DAD">
        <w:t>at</w:t>
      </w:r>
      <w:r w:rsidR="00610D5B">
        <w:t xml:space="preserve"> the circuit </w:t>
      </w:r>
      <w:r w:rsidR="004D182C">
        <w:t xml:space="preserve">and substation </w:t>
      </w:r>
      <w:r w:rsidR="00077724">
        <w:t>level and</w:t>
      </w:r>
      <w:r w:rsidRPr="00CD345B" w:rsidR="00CD345B">
        <w:t xml:space="preserve"> should be developed and vetted with stakeholders through the workshop and advice letter process.</w:t>
      </w:r>
      <w:r w:rsidR="00285DAD">
        <w:t xml:space="preserve"> </w:t>
      </w:r>
    </w:p>
    <w:p w:rsidR="00BF5F28" w:rsidP="00BF5F28" w:rsidRDefault="00BF5F28" w14:paraId="01533F0D" w14:textId="3F4759E2">
      <w:pPr>
        <w:pStyle w:val="FoF"/>
      </w:pPr>
      <w:r>
        <w:t xml:space="preserve">Significant </w:t>
      </w:r>
      <w:r w:rsidR="00ED3EAC">
        <w:t>uncertainty</w:t>
      </w:r>
      <w:r>
        <w:t xml:space="preserve"> exists about customer participation in distributed energy storage programs and their dispatchability</w:t>
      </w:r>
      <w:r w:rsidR="006C3946">
        <w:t>.</w:t>
      </w:r>
    </w:p>
    <w:p w:rsidRPr="001E2A62" w:rsidR="00165AA0" w:rsidP="00BF5F28" w:rsidRDefault="00BF5F28" w14:paraId="39058B50" w14:textId="65E9B724">
      <w:pPr>
        <w:pStyle w:val="FoF"/>
      </w:pPr>
      <w:r>
        <w:t>Resolution E-54</w:t>
      </w:r>
      <w:r w:rsidR="00CD345B">
        <w:t>1</w:t>
      </w:r>
      <w:r>
        <w:t xml:space="preserve">4 found it "very important to integrate demand flexibility into scenario planning once the EIS Part 2 Study is </w:t>
      </w:r>
      <w:r w:rsidRPr="00D57ADC">
        <w:t>completed</w:t>
      </w:r>
      <w:r w:rsidR="00C62FCA">
        <w:t>.</w:t>
      </w:r>
      <w:r w:rsidRPr="00D57ADC">
        <w:t>"</w:t>
      </w:r>
    </w:p>
    <w:p w:rsidR="005939A5" w:rsidP="005939A5" w:rsidRDefault="005939A5" w14:paraId="5AA4E931" w14:textId="77777777">
      <w:pPr>
        <w:pStyle w:val="Dummy"/>
      </w:pPr>
      <w:bookmarkStart w:name="_Toc8123726" w:id="112"/>
      <w:bookmarkStart w:name="_Toc1822777051" w:id="113"/>
      <w:bookmarkStart w:name="_Toc243991475" w:id="114"/>
      <w:r>
        <w:lastRenderedPageBreak/>
        <w:t>Conclusions of Law</w:t>
      </w:r>
      <w:bookmarkEnd w:id="112"/>
      <w:bookmarkEnd w:id="113"/>
      <w:bookmarkEnd w:id="114"/>
    </w:p>
    <w:p w:rsidR="00852424" w:rsidP="00852424" w:rsidRDefault="00852424" w14:paraId="637CFAAA" w14:textId="4C7859A3">
      <w:pPr>
        <w:pStyle w:val="CoL"/>
      </w:pPr>
      <w:r>
        <w:t xml:space="preserve">The IOUs should </w:t>
      </w:r>
      <w:r w:rsidRPr="00CD1FEB">
        <w:t xml:space="preserve">file </w:t>
      </w:r>
      <w:r w:rsidR="00D4035E">
        <w:t xml:space="preserve">a </w:t>
      </w:r>
      <w:r w:rsidR="003D143A">
        <w:t>j</w:t>
      </w:r>
      <w:r w:rsidR="00D4035E">
        <w:t xml:space="preserve">oint </w:t>
      </w:r>
      <w:r w:rsidRPr="00CD1FEB">
        <w:t xml:space="preserve">comprehensive DER </w:t>
      </w:r>
      <w:r>
        <w:t>o</w:t>
      </w:r>
      <w:r w:rsidRPr="00CD1FEB">
        <w:t>rchestration application within 1</w:t>
      </w:r>
      <w:r w:rsidR="00D4035E">
        <w:t>2</w:t>
      </w:r>
      <w:r w:rsidRPr="00CD1FEB">
        <w:t xml:space="preserve"> months of this decision’s </w:t>
      </w:r>
      <w:r>
        <w:t>issuance following the overall framework directed in this decision</w:t>
      </w:r>
      <w:r w:rsidRPr="00247251">
        <w:t>.</w:t>
      </w:r>
    </w:p>
    <w:p w:rsidR="00B37038" w:rsidP="001073A8" w:rsidRDefault="00B37038" w14:paraId="0F24CD9C" w14:textId="77777777">
      <w:pPr>
        <w:pStyle w:val="CoL"/>
        <w:numPr>
          <w:ilvl w:val="0"/>
          <w:numId w:val="0"/>
        </w:numPr>
        <w:ind w:left="547"/>
      </w:pPr>
    </w:p>
    <w:p w:rsidRPr="001E2A62" w:rsidR="00932865" w:rsidP="001E2A62" w:rsidRDefault="2DAB88A9" w14:paraId="0392E3AE" w14:textId="1923B7B8">
      <w:pPr>
        <w:pStyle w:val="CoL"/>
      </w:pPr>
      <w:r>
        <w:t xml:space="preserve">Net </w:t>
      </w:r>
      <w:r w:rsidR="7213778E">
        <w:t>r</w:t>
      </w:r>
      <w:r w:rsidR="73C3C4FB">
        <w:t>atepayer</w:t>
      </w:r>
      <w:r w:rsidRPr="00F677EB" w:rsidR="00AC039E">
        <w:t xml:space="preserve"> benefits, operational cost reductions, </w:t>
      </w:r>
      <w:r w:rsidR="00B37038">
        <w:t xml:space="preserve">upgrade deferral and avoidance, outage mitigation, voltage support, circuit and system peak reduction, </w:t>
      </w:r>
      <w:r w:rsidRPr="00F677EB" w:rsidR="00AC039E">
        <w:t xml:space="preserve">reliability, and emissions reduction should be </w:t>
      </w:r>
      <w:r w:rsidR="5E02944A">
        <w:t xml:space="preserve">some of </w:t>
      </w:r>
      <w:r w:rsidR="00AC039E">
        <w:t>the</w:t>
      </w:r>
      <w:r w:rsidRPr="00F677EB" w:rsidR="00AC039E">
        <w:t xml:space="preserve"> primary objectives of DER orchestration</w:t>
      </w:r>
      <w:r w:rsidR="00AC039E">
        <w:t>.</w:t>
      </w:r>
    </w:p>
    <w:p w:rsidR="00031304" w:rsidP="00031304" w:rsidRDefault="0007689C" w14:paraId="1E37F35D" w14:textId="7E8257FD">
      <w:pPr>
        <w:pStyle w:val="CoL"/>
      </w:pPr>
      <w:r>
        <w:t xml:space="preserve">The </w:t>
      </w:r>
      <w:r w:rsidR="3F04ECE6">
        <w:t>IOUs</w:t>
      </w:r>
      <w:r w:rsidR="15DB4343">
        <w:t xml:space="preserve"> </w:t>
      </w:r>
      <w:r>
        <w:t xml:space="preserve">should </w:t>
      </w:r>
      <w:r w:rsidR="4D92D26C">
        <w:t xml:space="preserve">demonstrate net ratepayer benefits at the use-case level based on measurable benefits and </w:t>
      </w:r>
      <w:r w:rsidR="447B83F6">
        <w:t xml:space="preserve">accounting for </w:t>
      </w:r>
      <w:r w:rsidR="4D92D26C">
        <w:t xml:space="preserve">the full incremental costs necessary to implement and operate each use case. </w:t>
      </w:r>
      <w:r w:rsidRPr="006A7D95" w:rsidR="006A7D95">
        <w:t>Where appropriate, the IOUs sh</w:t>
      </w:r>
      <w:r w:rsidR="006A7D95">
        <w:t>ould</w:t>
      </w:r>
      <w:r w:rsidRPr="006A7D95" w:rsidR="006A7D95">
        <w:t xml:space="preserve"> consider shared costs and combined benefits across related use cases and explain how their proposed methodologies account for these interactions, avoid double-counting, and reflect the location and timing of the grid needs being addressed.</w:t>
      </w:r>
    </w:p>
    <w:p w:rsidR="00AE51CA" w:rsidP="00AE51CA" w:rsidRDefault="00AE51CA" w14:paraId="19F0114D" w14:textId="61B4B501">
      <w:pPr>
        <w:pStyle w:val="CoL"/>
      </w:pPr>
      <w:r>
        <w:t xml:space="preserve">The IOUs should define and justify the grid services that DERs will provide, such as reliability, outage </w:t>
      </w:r>
      <w:r w:rsidR="4E9D3A9D">
        <w:t xml:space="preserve">mitigation or </w:t>
      </w:r>
      <w:r>
        <w:t xml:space="preserve">avoidance, infrastructure deferral, and electrification support, in </w:t>
      </w:r>
      <w:r w:rsidR="75CB806B">
        <w:t xml:space="preserve">their </w:t>
      </w:r>
      <w:r w:rsidR="008475C8">
        <w:t xml:space="preserve">joint </w:t>
      </w:r>
      <w:r>
        <w:t>application for DER orchestration</w:t>
      </w:r>
      <w:r w:rsidR="00B37038">
        <w:t xml:space="preserve"> framework</w:t>
      </w:r>
      <w:r>
        <w:t>.</w:t>
      </w:r>
    </w:p>
    <w:p w:rsidR="00AE51CA" w:rsidP="00AE51CA" w:rsidRDefault="00AE51CA" w14:paraId="6FFD093F" w14:textId="6AFB4CF4">
      <w:pPr>
        <w:pStyle w:val="CoL"/>
      </w:pPr>
      <w:r>
        <w:t xml:space="preserve">The IOUs should link each grid service provided by DERs to specific system </w:t>
      </w:r>
      <w:r w:rsidR="4D605A0F">
        <w:t xml:space="preserve">and/or distribution needs and justify how those needs were identified. </w:t>
      </w:r>
      <w:r>
        <w:t xml:space="preserve"> The </w:t>
      </w:r>
      <w:r w:rsidRPr="00A37163">
        <w:t xml:space="preserve">IOUs </w:t>
      </w:r>
      <w:r>
        <w:t>should also</w:t>
      </w:r>
      <w:r w:rsidRPr="00A37163">
        <w:t xml:space="preserve"> identify where DER flexibility can provide dependable distribution capacity and whether grid-utilization analysis can be used to identify locations where DER </w:t>
      </w:r>
      <w:r>
        <w:t>o</w:t>
      </w:r>
      <w:r w:rsidRPr="00A37163">
        <w:t>rchestration can effectively address distribution-system needs.</w:t>
      </w:r>
      <w:r>
        <w:t xml:space="preserve"> </w:t>
      </w:r>
      <w:r w:rsidRPr="00A86C5B" w:rsidR="00A86C5B">
        <w:t xml:space="preserve">For use cases addressing localized distribution-equipment </w:t>
      </w:r>
      <w:r w:rsidRPr="00A86C5B" w:rsidR="00A86C5B">
        <w:lastRenderedPageBreak/>
        <w:t>loading, the IOUs sh</w:t>
      </w:r>
      <w:r w:rsidR="00A86C5B">
        <w:t>ould</w:t>
      </w:r>
      <w:r w:rsidRPr="00A86C5B" w:rsidR="00A86C5B">
        <w:t xml:space="preserve"> describe the relevant equipment constraints, including service transformers and secondary distribution assets where applicable, and explain how the proposed DER response would address those constraints. The analysis sh</w:t>
      </w:r>
      <w:r w:rsidR="00A86C5B">
        <w:t>ould</w:t>
      </w:r>
      <w:r w:rsidRPr="00A86C5B" w:rsidR="00A86C5B">
        <w:t xml:space="preserve"> consider the timing of equipment loading, which may differ from the overall system peak.</w:t>
      </w:r>
    </w:p>
    <w:p w:rsidR="00455932" w:rsidP="00455932" w:rsidRDefault="76AE83A4" w14:paraId="2E321EC7" w14:textId="444088C3">
      <w:pPr>
        <w:pStyle w:val="CoL"/>
      </w:pPr>
      <w:r>
        <w:t>T</w:t>
      </w:r>
      <w:r w:rsidR="3AB21BCD">
        <w:t>hermal</w:t>
      </w:r>
      <w:r w:rsidRPr="00FC193C" w:rsidR="00AE51CA">
        <w:t xml:space="preserve"> overloads, customer energization and interconnection delays, </w:t>
      </w:r>
      <w:r w:rsidR="00A86C5B">
        <w:t xml:space="preserve">localized distribution-equipment loading, </w:t>
      </w:r>
      <w:r w:rsidRPr="00FC193C" w:rsidR="00AE51CA">
        <w:t>system peak loading, and voltage deviations</w:t>
      </w:r>
      <w:r w:rsidR="64F866E2">
        <w:t>, and distribution investment deferrals should</w:t>
      </w:r>
      <w:r w:rsidR="3AB21BCD">
        <w:t xml:space="preserve"> </w:t>
      </w:r>
      <w:r w:rsidR="64F866E2">
        <w:t>be considered</w:t>
      </w:r>
      <w:r w:rsidR="3AB21BCD">
        <w:t xml:space="preserve"> </w:t>
      </w:r>
      <w:r w:rsidR="00AE51CA">
        <w:t xml:space="preserve">in </w:t>
      </w:r>
      <w:r w:rsidR="002040D4">
        <w:t xml:space="preserve">the </w:t>
      </w:r>
      <w:r w:rsidR="004800B1">
        <w:t>J</w:t>
      </w:r>
      <w:r w:rsidR="002040D4">
        <w:t>oint</w:t>
      </w:r>
      <w:r w:rsidR="00AE51CA">
        <w:t xml:space="preserve"> IOU </w:t>
      </w:r>
      <w:r w:rsidR="004800B1">
        <w:t>A</w:t>
      </w:r>
      <w:r w:rsidR="00AE51CA">
        <w:t xml:space="preserve">pplication as primary grid constraints </w:t>
      </w:r>
      <w:r w:rsidR="0527FC30">
        <w:t>or</w:t>
      </w:r>
      <w:r w:rsidR="284B420E">
        <w:t xml:space="preserve"> </w:t>
      </w:r>
      <w:r w:rsidR="0527FC30">
        <w:t>operational benefits</w:t>
      </w:r>
      <w:r w:rsidR="284B420E">
        <w:t xml:space="preserve"> </w:t>
      </w:r>
      <w:r w:rsidR="00AE51CA">
        <w:t>that could be solved</w:t>
      </w:r>
      <w:r w:rsidR="150DCB9A">
        <w:t xml:space="preserve"> or enabled</w:t>
      </w:r>
      <w:r w:rsidR="00AE51CA">
        <w:t xml:space="preserve"> </w:t>
      </w:r>
      <w:r w:rsidR="150DCB9A">
        <w:t>respectively</w:t>
      </w:r>
      <w:r w:rsidR="284B420E">
        <w:t xml:space="preserve"> </w:t>
      </w:r>
      <w:r w:rsidR="00AE51CA">
        <w:t>through DER orchestration</w:t>
      </w:r>
      <w:r w:rsidRPr="00FC193C" w:rsidR="00AE51CA">
        <w:t>.</w:t>
      </w:r>
    </w:p>
    <w:p w:rsidR="00455932" w:rsidP="00455932" w:rsidRDefault="1001E64B" w14:paraId="5DE729E7" w14:textId="34D57277">
      <w:pPr>
        <w:pStyle w:val="CoL"/>
      </w:pPr>
      <w:r>
        <w:t xml:space="preserve">The </w:t>
      </w:r>
      <w:r w:rsidR="313FE878">
        <w:t>IOU DER orchestration framework application should be guided by the following 1</w:t>
      </w:r>
      <w:r w:rsidR="61CE7612">
        <w:t>1</w:t>
      </w:r>
      <w:r w:rsidR="313FE878">
        <w:t xml:space="preserve"> guiding principles: </w:t>
      </w:r>
    </w:p>
    <w:p w:rsidRPr="00455932" w:rsidR="00455932" w:rsidP="0066381B" w:rsidRDefault="47DEE821" w14:paraId="5E6B970B" w14:textId="47115F56">
      <w:pPr>
        <w:pStyle w:val="CoL"/>
        <w:numPr>
          <w:ilvl w:val="0"/>
          <w:numId w:val="81"/>
        </w:numPr>
        <w:spacing w:after="120" w:line="240" w:lineRule="auto"/>
        <w:ind w:left="1080" w:right="1440"/>
      </w:pPr>
      <w:r>
        <w:t>Net-</w:t>
      </w:r>
      <w:r w:rsidR="00455932">
        <w:t>Ratepayer benefi</w:t>
      </w:r>
      <w:r w:rsidR="008D5938">
        <w:t>ts</w:t>
      </w:r>
      <w:r w:rsidR="0007689C">
        <w:t>;</w:t>
      </w:r>
      <w:r w:rsidR="00455932">
        <w:t xml:space="preserve"> </w:t>
      </w:r>
    </w:p>
    <w:p w:rsidR="00455932" w:rsidP="0066381B" w:rsidRDefault="00455932" w14:paraId="608E6A58" w14:textId="7752452E">
      <w:pPr>
        <w:pStyle w:val="Standard"/>
        <w:numPr>
          <w:ilvl w:val="0"/>
          <w:numId w:val="40"/>
        </w:numPr>
        <w:spacing w:after="120" w:line="240" w:lineRule="auto"/>
        <w:ind w:left="1080" w:right="1440"/>
        <w:jc w:val="both"/>
        <w:rPr>
          <w:szCs w:val="26"/>
        </w:rPr>
      </w:pPr>
      <w:r w:rsidRPr="00614F00">
        <w:rPr>
          <w:szCs w:val="26"/>
        </w:rPr>
        <w:t>Technology-neutral, performance-based</w:t>
      </w:r>
      <w:r w:rsidR="0007689C">
        <w:rPr>
          <w:szCs w:val="26"/>
        </w:rPr>
        <w:t>;</w:t>
      </w:r>
      <w:r w:rsidRPr="00614F00">
        <w:rPr>
          <w:szCs w:val="26"/>
        </w:rPr>
        <w:t xml:space="preserve"> </w:t>
      </w:r>
    </w:p>
    <w:p w:rsidR="00455932" w:rsidP="0066381B" w:rsidRDefault="00455932" w14:paraId="52929AA5" w14:textId="5966B5D2">
      <w:pPr>
        <w:pStyle w:val="Standard"/>
        <w:numPr>
          <w:ilvl w:val="0"/>
          <w:numId w:val="40"/>
        </w:numPr>
        <w:spacing w:after="120" w:line="240" w:lineRule="auto"/>
        <w:ind w:left="1080" w:right="1440"/>
        <w:jc w:val="both"/>
        <w:rPr>
          <w:szCs w:val="26"/>
        </w:rPr>
      </w:pPr>
      <w:r w:rsidRPr="00614F00">
        <w:rPr>
          <w:szCs w:val="26"/>
        </w:rPr>
        <w:t>Locational and temporal value recognition</w:t>
      </w:r>
      <w:r w:rsidR="0007689C">
        <w:rPr>
          <w:szCs w:val="26"/>
        </w:rPr>
        <w:t>;</w:t>
      </w:r>
      <w:r w:rsidRPr="00614F00">
        <w:rPr>
          <w:szCs w:val="26"/>
        </w:rPr>
        <w:t xml:space="preserve"> </w:t>
      </w:r>
    </w:p>
    <w:p w:rsidR="00455932" w:rsidP="0066381B" w:rsidRDefault="00455932" w14:paraId="5D437C43" w14:textId="161D930C">
      <w:pPr>
        <w:pStyle w:val="Standard"/>
        <w:numPr>
          <w:ilvl w:val="0"/>
          <w:numId w:val="40"/>
        </w:numPr>
        <w:spacing w:after="120" w:line="240" w:lineRule="auto"/>
        <w:ind w:left="1080" w:right="1440"/>
        <w:jc w:val="both"/>
        <w:rPr>
          <w:szCs w:val="26"/>
        </w:rPr>
      </w:pPr>
      <w:r w:rsidRPr="00614F00">
        <w:rPr>
          <w:szCs w:val="26"/>
        </w:rPr>
        <w:t>Efficient operation of the grid</w:t>
      </w:r>
      <w:r w:rsidR="0007689C">
        <w:rPr>
          <w:szCs w:val="26"/>
        </w:rPr>
        <w:t>;</w:t>
      </w:r>
    </w:p>
    <w:p w:rsidR="00455932" w:rsidP="0066381B" w:rsidRDefault="00455932" w14:paraId="01030BC2" w14:textId="6C8601C7">
      <w:pPr>
        <w:pStyle w:val="Standard"/>
        <w:numPr>
          <w:ilvl w:val="0"/>
          <w:numId w:val="40"/>
        </w:numPr>
        <w:spacing w:after="120" w:line="240" w:lineRule="auto"/>
        <w:ind w:left="1080" w:right="1440"/>
        <w:jc w:val="both"/>
        <w:rPr>
          <w:szCs w:val="26"/>
        </w:rPr>
      </w:pPr>
      <w:r w:rsidRPr="00614F00">
        <w:rPr>
          <w:szCs w:val="26"/>
        </w:rPr>
        <w:t>Open access and Interoperability</w:t>
      </w:r>
      <w:r w:rsidR="0007689C">
        <w:rPr>
          <w:szCs w:val="26"/>
        </w:rPr>
        <w:t>;</w:t>
      </w:r>
      <w:r w:rsidRPr="00614F00">
        <w:rPr>
          <w:szCs w:val="26"/>
        </w:rPr>
        <w:t xml:space="preserve"> </w:t>
      </w:r>
    </w:p>
    <w:p w:rsidR="00455932" w:rsidP="0066381B" w:rsidRDefault="00455932" w14:paraId="6CE6B6CA" w14:textId="22BE650F">
      <w:pPr>
        <w:pStyle w:val="Standard"/>
        <w:numPr>
          <w:ilvl w:val="0"/>
          <w:numId w:val="40"/>
        </w:numPr>
        <w:spacing w:after="120" w:line="240" w:lineRule="auto"/>
        <w:ind w:left="1080" w:right="1440"/>
        <w:jc w:val="both"/>
        <w:rPr>
          <w:szCs w:val="26"/>
        </w:rPr>
      </w:pPr>
      <w:r w:rsidRPr="00614F00">
        <w:rPr>
          <w:szCs w:val="26"/>
        </w:rPr>
        <w:t>Transparent participation pathways and compensation</w:t>
      </w:r>
      <w:r w:rsidR="0007689C">
        <w:rPr>
          <w:szCs w:val="26"/>
        </w:rPr>
        <w:t>;</w:t>
      </w:r>
      <w:r w:rsidRPr="00614F00">
        <w:rPr>
          <w:szCs w:val="26"/>
        </w:rPr>
        <w:t xml:space="preserve"> </w:t>
      </w:r>
    </w:p>
    <w:p w:rsidR="00455932" w:rsidP="0066381B" w:rsidRDefault="00455932" w14:paraId="69FF4EC1" w14:textId="19A47901">
      <w:pPr>
        <w:pStyle w:val="Standard"/>
        <w:numPr>
          <w:ilvl w:val="0"/>
          <w:numId w:val="40"/>
        </w:numPr>
        <w:spacing w:after="120" w:line="240" w:lineRule="auto"/>
        <w:ind w:left="1080" w:right="1440"/>
        <w:jc w:val="both"/>
        <w:rPr>
          <w:szCs w:val="26"/>
        </w:rPr>
      </w:pPr>
      <w:r w:rsidRPr="00614F00">
        <w:rPr>
          <w:szCs w:val="26"/>
        </w:rPr>
        <w:t>Incremental, evidence-based implementation</w:t>
      </w:r>
      <w:r w:rsidR="0007689C">
        <w:rPr>
          <w:szCs w:val="26"/>
        </w:rPr>
        <w:t>;</w:t>
      </w:r>
    </w:p>
    <w:p w:rsidR="00455932" w:rsidP="0066381B" w:rsidRDefault="00455932" w14:paraId="027D32BC" w14:textId="1C75A1C2">
      <w:pPr>
        <w:pStyle w:val="Standard"/>
        <w:numPr>
          <w:ilvl w:val="0"/>
          <w:numId w:val="40"/>
        </w:numPr>
        <w:spacing w:after="120" w:line="240" w:lineRule="auto"/>
        <w:ind w:left="1080" w:right="1440"/>
        <w:jc w:val="both"/>
        <w:rPr>
          <w:szCs w:val="26"/>
        </w:rPr>
      </w:pPr>
      <w:r w:rsidRPr="00614F00">
        <w:rPr>
          <w:szCs w:val="26"/>
        </w:rPr>
        <w:t>Equity and customer protection</w:t>
      </w:r>
      <w:r w:rsidR="0007689C">
        <w:rPr>
          <w:szCs w:val="26"/>
        </w:rPr>
        <w:t>;</w:t>
      </w:r>
    </w:p>
    <w:p w:rsidR="00455932" w:rsidP="0066381B" w:rsidRDefault="00455932" w14:paraId="18100A00" w14:textId="6EB6DCCA">
      <w:pPr>
        <w:pStyle w:val="Standard"/>
        <w:numPr>
          <w:ilvl w:val="0"/>
          <w:numId w:val="40"/>
        </w:numPr>
        <w:spacing w:after="120" w:line="240" w:lineRule="auto"/>
        <w:ind w:left="1080" w:right="1440"/>
        <w:jc w:val="both"/>
        <w:rPr>
          <w:szCs w:val="26"/>
        </w:rPr>
      </w:pPr>
      <w:r w:rsidRPr="00614F00">
        <w:rPr>
          <w:szCs w:val="26"/>
        </w:rPr>
        <w:t>Cyber-secure and resilient</w:t>
      </w:r>
      <w:r w:rsidR="0007689C">
        <w:rPr>
          <w:szCs w:val="26"/>
        </w:rPr>
        <w:t>;</w:t>
      </w:r>
    </w:p>
    <w:p w:rsidR="00455932" w:rsidP="0066381B" w:rsidRDefault="00455932" w14:paraId="3A5C6237" w14:textId="1D056DB8">
      <w:pPr>
        <w:pStyle w:val="Standard"/>
        <w:numPr>
          <w:ilvl w:val="0"/>
          <w:numId w:val="40"/>
        </w:numPr>
        <w:spacing w:after="120" w:line="240" w:lineRule="auto"/>
        <w:ind w:left="1080" w:right="1440"/>
        <w:jc w:val="both"/>
        <w:rPr>
          <w:szCs w:val="26"/>
        </w:rPr>
      </w:pPr>
      <w:r w:rsidRPr="00614F00">
        <w:rPr>
          <w:szCs w:val="26"/>
        </w:rPr>
        <w:t>Preventing double compensation</w:t>
      </w:r>
      <w:r w:rsidR="0007689C">
        <w:rPr>
          <w:szCs w:val="26"/>
        </w:rPr>
        <w:t>;</w:t>
      </w:r>
      <w:r w:rsidR="002040D4">
        <w:rPr>
          <w:szCs w:val="26"/>
        </w:rPr>
        <w:t xml:space="preserve"> and</w:t>
      </w:r>
    </w:p>
    <w:p w:rsidRPr="00455932" w:rsidR="00455932" w:rsidP="0066381B" w:rsidRDefault="00455932" w14:paraId="24F96562" w14:textId="7B950A01">
      <w:pPr>
        <w:pStyle w:val="Standard"/>
        <w:numPr>
          <w:ilvl w:val="0"/>
          <w:numId w:val="40"/>
        </w:numPr>
        <w:spacing w:after="120" w:line="240" w:lineRule="auto"/>
        <w:ind w:left="1080" w:right="1440"/>
        <w:jc w:val="both"/>
        <w:rPr>
          <w:szCs w:val="26"/>
        </w:rPr>
      </w:pPr>
      <w:r>
        <w:t>Safe and reliable grid operation</w:t>
      </w:r>
      <w:r w:rsidR="002040D4">
        <w:t>.</w:t>
      </w:r>
    </w:p>
    <w:p w:rsidR="0068585A" w:rsidP="37159541" w:rsidRDefault="44BA362A" w14:paraId="4F43EFAB" w14:textId="7ACB7056">
      <w:pPr>
        <w:pStyle w:val="CoL"/>
      </w:pPr>
      <w:r>
        <w:t>The IOUs sh</w:t>
      </w:r>
      <w:r w:rsidR="006A7D95">
        <w:t>ould</w:t>
      </w:r>
      <w:r>
        <w:t xml:space="preserve"> </w:t>
      </w:r>
      <w:proofErr w:type="gramStart"/>
      <w:r w:rsidR="00ED38E2">
        <w:t>contract for</w:t>
      </w:r>
      <w:proofErr w:type="gramEnd"/>
      <w:r w:rsidR="00ED38E2">
        <w:t xml:space="preserve"> a facilitator</w:t>
      </w:r>
      <w:r w:rsidR="006A7D95">
        <w:t xml:space="preserve"> after consulting with the Energy Division</w:t>
      </w:r>
      <w:r w:rsidR="0068585A">
        <w:t xml:space="preserve"> to </w:t>
      </w:r>
      <w:r>
        <w:t>jointly convene a</w:t>
      </w:r>
      <w:r w:rsidR="0068585A">
        <w:t xml:space="preserve"> working group meeting series. The topics covered sh</w:t>
      </w:r>
      <w:r w:rsidR="00A37AF1">
        <w:t>ould</w:t>
      </w:r>
      <w:r w:rsidR="0068585A">
        <w:t xml:space="preserve"> include the following:</w:t>
      </w:r>
    </w:p>
    <w:p w:rsidR="0068585A" w:rsidP="00940486" w:rsidRDefault="0068585A" w14:paraId="6342BE7A" w14:textId="78D8A99D">
      <w:pPr>
        <w:pStyle w:val="CoL"/>
        <w:numPr>
          <w:ilvl w:val="1"/>
          <w:numId w:val="87"/>
        </w:numPr>
        <w:spacing w:after="120" w:line="240" w:lineRule="auto"/>
      </w:pPr>
      <w:r>
        <w:t>Guiding principles refinement;</w:t>
      </w:r>
    </w:p>
    <w:p w:rsidR="0068585A" w:rsidP="00940486" w:rsidRDefault="0068585A" w14:paraId="6D846985" w14:textId="07F7B257">
      <w:pPr>
        <w:pStyle w:val="CoL"/>
        <w:numPr>
          <w:ilvl w:val="1"/>
          <w:numId w:val="87"/>
        </w:numPr>
        <w:spacing w:after="120" w:line="240" w:lineRule="auto"/>
      </w:pPr>
      <w:r>
        <w:lastRenderedPageBreak/>
        <w:t>Valuation frameworks;</w:t>
      </w:r>
    </w:p>
    <w:p w:rsidR="0068585A" w:rsidP="00940486" w:rsidRDefault="0068585A" w14:paraId="2895D262" w14:textId="6010DA69">
      <w:pPr>
        <w:pStyle w:val="CoL"/>
        <w:numPr>
          <w:ilvl w:val="1"/>
          <w:numId w:val="87"/>
        </w:numPr>
        <w:spacing w:after="120" w:line="240" w:lineRule="auto"/>
      </w:pPr>
      <w:r>
        <w:t>Cost effectiveness and benefit-cost methodologies</w:t>
      </w:r>
      <w:r w:rsidR="00E30730">
        <w:t>;</w:t>
      </w:r>
    </w:p>
    <w:p w:rsidR="00E30730" w:rsidP="00940486" w:rsidRDefault="00E30730" w14:paraId="728F955D" w14:textId="1B757262">
      <w:pPr>
        <w:pStyle w:val="CoL"/>
        <w:numPr>
          <w:ilvl w:val="1"/>
          <w:numId w:val="87"/>
        </w:numPr>
        <w:spacing w:after="120" w:line="240" w:lineRule="auto"/>
      </w:pPr>
      <w:r>
        <w:t>Interoperability, DSO visibility, and dispatch and control;</w:t>
      </w:r>
    </w:p>
    <w:p w:rsidR="00E30730" w:rsidP="00940486" w:rsidRDefault="00E30730" w14:paraId="3391C446" w14:textId="34FA010E">
      <w:pPr>
        <w:pStyle w:val="CoL"/>
        <w:numPr>
          <w:ilvl w:val="1"/>
          <w:numId w:val="87"/>
        </w:numPr>
        <w:spacing w:after="120" w:line="240" w:lineRule="auto"/>
      </w:pPr>
      <w:r>
        <w:t>Role of DER aggregators;</w:t>
      </w:r>
    </w:p>
    <w:p w:rsidR="00E30730" w:rsidP="00940486" w:rsidRDefault="00E30730" w14:paraId="51201667" w14:textId="619F5CAD">
      <w:pPr>
        <w:pStyle w:val="CoL"/>
        <w:numPr>
          <w:ilvl w:val="1"/>
          <w:numId w:val="87"/>
        </w:numPr>
        <w:spacing w:after="120" w:line="240" w:lineRule="auto"/>
      </w:pPr>
      <w:r>
        <w:t>Flexible dispatching mechanisms;</w:t>
      </w:r>
    </w:p>
    <w:p w:rsidR="00E30730" w:rsidP="00940486" w:rsidRDefault="00E30730" w14:paraId="4A547113" w14:textId="0351C1A8">
      <w:pPr>
        <w:pStyle w:val="CoL"/>
        <w:numPr>
          <w:ilvl w:val="1"/>
          <w:numId w:val="87"/>
        </w:numPr>
        <w:spacing w:after="120" w:line="240" w:lineRule="auto"/>
      </w:pPr>
      <w:r>
        <w:t>IOU technical readiness;</w:t>
      </w:r>
    </w:p>
    <w:p w:rsidR="00E30730" w:rsidP="00940486" w:rsidRDefault="00E30730" w14:paraId="2F6EE0A1" w14:textId="3176C747">
      <w:pPr>
        <w:pStyle w:val="CoL"/>
        <w:numPr>
          <w:ilvl w:val="1"/>
          <w:numId w:val="87"/>
        </w:numPr>
        <w:spacing w:after="120" w:line="240" w:lineRule="auto"/>
      </w:pPr>
      <w:r>
        <w:t>Ownership of technology;</w:t>
      </w:r>
    </w:p>
    <w:p w:rsidR="00E30730" w:rsidP="00940486" w:rsidRDefault="00E30730" w14:paraId="0DB545B4" w14:textId="230F39CF">
      <w:pPr>
        <w:pStyle w:val="CoL"/>
        <w:numPr>
          <w:ilvl w:val="1"/>
          <w:numId w:val="87"/>
        </w:numPr>
        <w:spacing w:after="120" w:line="240" w:lineRule="auto"/>
      </w:pPr>
      <w:r>
        <w:t>Phased implementation and deployment;</w:t>
      </w:r>
    </w:p>
    <w:p w:rsidR="00B37038" w:rsidP="00940486" w:rsidRDefault="00E30730" w14:paraId="09CA7B03" w14:textId="77777777">
      <w:pPr>
        <w:pStyle w:val="CoL"/>
        <w:numPr>
          <w:ilvl w:val="1"/>
          <w:numId w:val="87"/>
        </w:numPr>
        <w:spacing w:after="120" w:line="240" w:lineRule="auto"/>
      </w:pPr>
      <w:r>
        <w:t>DER orchestration and real-time pricing</w:t>
      </w:r>
      <w:r w:rsidR="00B37038">
        <w:t>;</w:t>
      </w:r>
    </w:p>
    <w:p w:rsidRPr="007E52B6" w:rsidR="00B37038" w:rsidP="00B37038" w:rsidRDefault="00B37038" w14:paraId="5DFB793F" w14:textId="77777777">
      <w:pPr>
        <w:pStyle w:val="CoL"/>
        <w:numPr>
          <w:ilvl w:val="1"/>
          <w:numId w:val="87"/>
        </w:numPr>
        <w:spacing w:after="120" w:line="240" w:lineRule="auto"/>
      </w:pPr>
      <w:r w:rsidRPr="007E52B6">
        <w:rPr>
          <w:rFonts w:eastAsia="Book Antiqua" w:cs="Book Antiqua"/>
        </w:rPr>
        <w:t>Fair and non-discriminatory participation for utility and non-utility DER providers, and IOU conflict of interest and market power concerns;</w:t>
      </w:r>
    </w:p>
    <w:p w:rsidRPr="007E52B6" w:rsidR="00B37038" w:rsidP="00B37038" w:rsidRDefault="00B37038" w14:paraId="13673D8E" w14:textId="77777777">
      <w:pPr>
        <w:pStyle w:val="CoL"/>
        <w:numPr>
          <w:ilvl w:val="1"/>
          <w:numId w:val="87"/>
        </w:numPr>
        <w:spacing w:after="120" w:line="240" w:lineRule="auto"/>
      </w:pPr>
      <w:r w:rsidRPr="007E52B6">
        <w:rPr>
          <w:rFonts w:eastAsia="Book Antiqua" w:cs="Book Antiqua"/>
        </w:rPr>
        <w:t>DSO performance measurement, monitoring, and accountability</w:t>
      </w:r>
      <w:r>
        <w:rPr>
          <w:rFonts w:eastAsia="Book Antiqua" w:cs="Book Antiqua"/>
        </w:rPr>
        <w:t>.</w:t>
      </w:r>
      <w:r w:rsidRPr="007E52B6">
        <w:rPr>
          <w:rFonts w:eastAsia="Book Antiqua" w:cs="Book Antiqua"/>
        </w:rPr>
        <w:t xml:space="preserve"> </w:t>
      </w:r>
    </w:p>
    <w:p w:rsidR="00E30730" w:rsidP="001073A8" w:rsidRDefault="00E30730" w14:paraId="32DA51DE" w14:textId="69A188BA">
      <w:pPr>
        <w:pStyle w:val="CoL"/>
        <w:numPr>
          <w:ilvl w:val="0"/>
          <w:numId w:val="0"/>
        </w:numPr>
        <w:spacing w:after="120" w:line="240" w:lineRule="auto"/>
        <w:ind w:left="1080"/>
      </w:pPr>
    </w:p>
    <w:p w:rsidR="00D322A0" w:rsidP="37159541" w:rsidRDefault="00B37038" w14:paraId="52613130" w14:textId="184234A6">
      <w:pPr>
        <w:pStyle w:val="CoL"/>
      </w:pPr>
      <w:r w:rsidRPr="006A7D95">
        <w:t>Within one month of issuance of this decision, the IOUs sh</w:t>
      </w:r>
      <w:r>
        <w:t>ould</w:t>
      </w:r>
      <w:r w:rsidRPr="006A7D95">
        <w:t xml:space="preserve"> retain the working group facilitator </w:t>
      </w:r>
      <w:r>
        <w:t>and consult with</w:t>
      </w:r>
      <w:r w:rsidRPr="006A7D95">
        <w:t xml:space="preserve"> Energy Division </w:t>
      </w:r>
      <w:r>
        <w:t>on the selection</w:t>
      </w:r>
      <w:r w:rsidRPr="006A7D95">
        <w:t xml:space="preserve">. Within two months, the IOUs and </w:t>
      </w:r>
      <w:r w:rsidR="00A71C46">
        <w:t xml:space="preserve">the </w:t>
      </w:r>
      <w:r w:rsidRPr="006A7D95">
        <w:t>facilitator sh</w:t>
      </w:r>
      <w:r>
        <w:t>ould</w:t>
      </w:r>
      <w:r w:rsidRPr="006A7D95">
        <w:t xml:space="preserve"> finalize the scope of work, </w:t>
      </w:r>
      <w:r>
        <w:t xml:space="preserve">consulting with </w:t>
      </w:r>
      <w:r w:rsidRPr="006A7D95">
        <w:t>Energy Division</w:t>
      </w:r>
      <w:r>
        <w:t xml:space="preserve"> and parties to the proceeding</w:t>
      </w:r>
      <w:r w:rsidRPr="006A7D95">
        <w:t>. Within eight months, the facilitator sh</w:t>
      </w:r>
      <w:r>
        <w:t>ould</w:t>
      </w:r>
      <w:r w:rsidRPr="006A7D95">
        <w:t xml:space="preserve"> circulate the draft working group report for informal stakeholder comment, following Energy Division review. Within </w:t>
      </w:r>
      <w:r>
        <w:t>10</w:t>
      </w:r>
      <w:r w:rsidRPr="006A7D95">
        <w:t xml:space="preserve"> months, the facilitator sh</w:t>
      </w:r>
      <w:r>
        <w:t>ould</w:t>
      </w:r>
      <w:r w:rsidRPr="006A7D95">
        <w:t xml:space="preserve"> publish the final report, taking stakeholder comments into account and documenting areas of agreement and disagreement. </w:t>
      </w:r>
      <w:r>
        <w:t xml:space="preserve">The </w:t>
      </w:r>
      <w:r w:rsidRPr="006A7D95">
        <w:t>IOU</w:t>
      </w:r>
      <w:r>
        <w:t>s</w:t>
      </w:r>
      <w:r w:rsidRPr="006A7D95">
        <w:t xml:space="preserve"> sh</w:t>
      </w:r>
      <w:r>
        <w:t>all</w:t>
      </w:r>
      <w:r w:rsidRPr="006A7D95">
        <w:t xml:space="preserve"> attach the final report to </w:t>
      </w:r>
      <w:r>
        <w:t>the joint</w:t>
      </w:r>
      <w:r w:rsidRPr="006A7D95">
        <w:t xml:space="preserve"> application, to be filed within </w:t>
      </w:r>
      <w:r>
        <w:t>12</w:t>
      </w:r>
      <w:r w:rsidRPr="006A7D95">
        <w:t xml:space="preserve"> months of issuance of this decision. </w:t>
      </w:r>
      <w:r>
        <w:t>The</w:t>
      </w:r>
      <w:r w:rsidRPr="006A7D95">
        <w:t xml:space="preserve"> </w:t>
      </w:r>
      <w:r>
        <w:t>joint</w:t>
      </w:r>
      <w:r w:rsidRPr="006A7D95">
        <w:t xml:space="preserve"> application shall explain how </w:t>
      </w:r>
      <w:r>
        <w:t>working group</w:t>
      </w:r>
      <w:r w:rsidRPr="006A7D95">
        <w:t xml:space="preserve"> recommendations informed its proposals. </w:t>
      </w:r>
    </w:p>
    <w:p w:rsidR="3461B0DC" w:rsidP="37159541" w:rsidRDefault="00E30730" w14:paraId="738845AE" w14:textId="22CF97EE">
      <w:pPr>
        <w:pStyle w:val="CoL"/>
      </w:pPr>
      <w:r>
        <w:t>As part of the working group, or in addition, the IOUs</w:t>
      </w:r>
      <w:r w:rsidR="00A37AF1">
        <w:t xml:space="preserve"> should</w:t>
      </w:r>
      <w:r>
        <w:t xml:space="preserve"> convene a</w:t>
      </w:r>
      <w:r w:rsidR="44BA362A">
        <w:t xml:space="preserve">t least one pre-application stakeholder workshop before filing their applications. </w:t>
      </w:r>
      <w:r w:rsidR="00D322A0">
        <w:t xml:space="preserve">This meeting or </w:t>
      </w:r>
      <w:proofErr w:type="gramStart"/>
      <w:r w:rsidR="00D322A0">
        <w:t>meetings</w:t>
      </w:r>
      <w:proofErr w:type="gramEnd"/>
      <w:r w:rsidR="00D322A0">
        <w:t xml:space="preserve"> sh</w:t>
      </w:r>
      <w:r w:rsidR="00A37AF1">
        <w:t>ould</w:t>
      </w:r>
      <w:r w:rsidR="00D322A0">
        <w:t xml:space="preserve"> occur after the issuance of the draft working </w:t>
      </w:r>
      <w:r w:rsidR="00D322A0">
        <w:lastRenderedPageBreak/>
        <w:t xml:space="preserve">group report. </w:t>
      </w:r>
      <w:r w:rsidR="44BA362A">
        <w:t xml:space="preserve">Additional engagement </w:t>
      </w:r>
      <w:r w:rsidR="00A37AF1">
        <w:t>should</w:t>
      </w:r>
      <w:r w:rsidR="44BA362A">
        <w:t xml:space="preserve"> occur in consultation with Energy Division and should not delay the application filing deadline.</w:t>
      </w:r>
      <w:r w:rsidR="006A7D95">
        <w:t xml:space="preserve"> </w:t>
      </w:r>
      <w:r w:rsidRPr="006A7D95" w:rsidR="00B37038">
        <w:t>This joint pre-application workshop sh</w:t>
      </w:r>
      <w:r w:rsidR="00B37038">
        <w:t>ould</w:t>
      </w:r>
      <w:r w:rsidRPr="006A7D95" w:rsidR="00B37038">
        <w:t xml:space="preserve"> occur within </w:t>
      </w:r>
      <w:r w:rsidR="00B37038">
        <w:t>10</w:t>
      </w:r>
      <w:r w:rsidRPr="006A7D95" w:rsidR="00B37038">
        <w:t xml:space="preserve"> months of issuance of this decision, after publication of the final working group report, and sufficiently early to allow stakeholder feedback on the proposal to inform the IOUs’ </w:t>
      </w:r>
      <w:r w:rsidR="00B37038">
        <w:t xml:space="preserve">joint </w:t>
      </w:r>
      <w:r w:rsidRPr="006A7D95" w:rsidR="00B37038">
        <w:t>application filing</w:t>
      </w:r>
      <w:r w:rsidR="00B37038">
        <w:t>.</w:t>
      </w:r>
    </w:p>
    <w:p w:rsidR="4CA23B63" w:rsidP="644E129C" w:rsidRDefault="07C710AE" w14:paraId="7536BC42" w14:textId="58B39820">
      <w:pPr>
        <w:pStyle w:val="CoL"/>
      </w:pPr>
      <w:r>
        <w:t>The IOUs sh</w:t>
      </w:r>
      <w:r w:rsidR="00A37AF1">
        <w:t>ould</w:t>
      </w:r>
      <w:r w:rsidR="00511248">
        <w:t xml:space="preserve"> </w:t>
      </w:r>
      <w:r>
        <w:t xml:space="preserve">propose and justify in their </w:t>
      </w:r>
      <w:r w:rsidR="00511248">
        <w:t xml:space="preserve">joint </w:t>
      </w:r>
      <w:r>
        <w:t>DER orchestration application the valuation methodologies and metrics used to assess proposed DER orchestration use cases. The proposed methodologies sh</w:t>
      </w:r>
      <w:r w:rsidR="00A37AF1">
        <w:t>ould</w:t>
      </w:r>
      <w:r>
        <w:t xml:space="preserve"> account for the specific use case and, where applicable, its location and timing; differentiate between broader system-level and location-specific distribution-system benefits; and identify measurable avoided or deferred infrastructure costs and operational benefits.</w:t>
      </w:r>
      <w:r w:rsidR="006A7D95">
        <w:t xml:space="preserve"> </w:t>
      </w:r>
      <w:r w:rsidRPr="006A7D95" w:rsidR="006A7D95">
        <w:t>Any infrastructure savings included in the cost-effectiveness analysis sh</w:t>
      </w:r>
      <w:r w:rsidR="006A7D95">
        <w:t>ould</w:t>
      </w:r>
      <w:r w:rsidRPr="006A7D95" w:rsidR="006A7D95">
        <w:t xml:space="preserve"> reflect the distinction between avoided and deferred investments described in Section 5.</w:t>
      </w:r>
    </w:p>
    <w:p w:rsidRPr="008E0B64" w:rsidR="101A3B4C" w:rsidP="607ECC55" w:rsidRDefault="31605B7F" w14:paraId="392BA811" w14:textId="138EA662">
      <w:pPr>
        <w:pStyle w:val="CoL"/>
      </w:pPr>
      <w:r w:rsidRPr="002319E0">
        <w:t xml:space="preserve">The IOUs may propose the ACC, LNBA, or other valuation tools identified in the record but should explain why their selected tools and methodologies are </w:t>
      </w:r>
      <w:r w:rsidRPr="008E0B64" w:rsidR="717BA533">
        <w:t>appropriate</w:t>
      </w:r>
      <w:r w:rsidRPr="008E0B64" w:rsidR="50F2317A">
        <w:t xml:space="preserve"> </w:t>
      </w:r>
      <w:r w:rsidRPr="008E0B64" w:rsidR="717BA533">
        <w:t>for</w:t>
      </w:r>
      <w:r w:rsidRPr="008E0B64">
        <w:t xml:space="preserve"> the DER orchestration use cases being evaluated</w:t>
      </w:r>
      <w:r w:rsidRPr="008E0B64" w:rsidR="07C49E18">
        <w:t>, including whether they provide the necessary level of</w:t>
      </w:r>
      <w:r w:rsidRPr="008E0B64">
        <w:t xml:space="preserve"> locational </w:t>
      </w:r>
      <w:r w:rsidRPr="008E0B64" w:rsidR="07C49E18">
        <w:t>granularity</w:t>
      </w:r>
      <w:r w:rsidRPr="008E0B64">
        <w:t>.</w:t>
      </w:r>
    </w:p>
    <w:p w:rsidRPr="008E0B64" w:rsidR="7F9F83ED" w:rsidP="00A37AF1" w:rsidRDefault="00156A9A" w14:paraId="72CA3541" w14:textId="47FB978C">
      <w:pPr>
        <w:pStyle w:val="CoL"/>
      </w:pPr>
      <w:r w:rsidRPr="008E0B64">
        <w:t xml:space="preserve">The </w:t>
      </w:r>
      <w:r w:rsidRPr="008E0B64" w:rsidR="00A37AF1">
        <w:t>J</w:t>
      </w:r>
      <w:r w:rsidRPr="008E0B64">
        <w:t xml:space="preserve">oint </w:t>
      </w:r>
      <w:r w:rsidRPr="008E0B64" w:rsidR="7F9F83ED">
        <w:t xml:space="preserve">IOU </w:t>
      </w:r>
      <w:r w:rsidRPr="008E0B64" w:rsidR="00A37AF1">
        <w:t>A</w:t>
      </w:r>
      <w:r w:rsidRPr="008E0B64" w:rsidR="7F9F83ED">
        <w:t>pplication sh</w:t>
      </w:r>
      <w:r w:rsidR="00B37038">
        <w:t>all</w:t>
      </w:r>
      <w:r w:rsidRPr="008E0B64" w:rsidR="7F9F83ED">
        <w:t xml:space="preserve"> include a qualitative discussion of equity benefits that may result from proposed DER orchestration activities, where appropriate.</w:t>
      </w:r>
    </w:p>
    <w:p w:rsidRPr="00A37AF1" w:rsidR="00787082" w:rsidP="00A37AF1" w:rsidRDefault="180C6FA1" w14:paraId="34F0A920" w14:textId="3BA36B66">
      <w:pPr>
        <w:pStyle w:val="CoL"/>
        <w:rPr>
          <w:b/>
          <w:bCs/>
        </w:rPr>
      </w:pPr>
      <w:r w:rsidRPr="008E0B64">
        <w:t>The IOUs should propose cost-effectiveness methodologies that demonstrate a net benefit to ratepayers</w:t>
      </w:r>
      <w:r w:rsidRPr="008E0B64" w:rsidR="7BDA1BC8">
        <w:t>.</w:t>
      </w:r>
      <w:r w:rsidRPr="008E0B64">
        <w:t xml:space="preserve"> </w:t>
      </w:r>
      <w:r w:rsidRPr="008E0B64" w:rsidR="7BDA1BC8">
        <w:t>Proposed methodologies should</w:t>
      </w:r>
      <w:r w:rsidRPr="002319E0" w:rsidR="7BDA1BC8">
        <w:t xml:space="preserve"> evaluate costs and benefits at the use-case level, account for location-specific impacts where applicable, and compare measurable benefits, including </w:t>
      </w:r>
      <w:proofErr w:type="gramStart"/>
      <w:r w:rsidRPr="002319E0" w:rsidR="7BDA1BC8">
        <w:t>applicable avoided</w:t>
      </w:r>
      <w:proofErr w:type="gramEnd"/>
      <w:r w:rsidRPr="002319E0" w:rsidR="7BDA1BC8">
        <w:t xml:space="preserve"> costs, against the full incremental costs necessary to </w:t>
      </w:r>
      <w:r w:rsidRPr="002319E0" w:rsidR="7BDA1BC8">
        <w:lastRenderedPageBreak/>
        <w:t>implement and operate each use case.</w:t>
      </w:r>
      <w:r w:rsidR="006A7D95">
        <w:t xml:space="preserve"> </w:t>
      </w:r>
      <w:r w:rsidRPr="006A7D95" w:rsidR="006A7D95">
        <w:t>Where appropriate, the IOUs sh</w:t>
      </w:r>
      <w:r w:rsidR="006A7D95">
        <w:t>ould</w:t>
      </w:r>
      <w:r w:rsidRPr="006A7D95" w:rsidR="006A7D95">
        <w:t xml:space="preserve"> </w:t>
      </w:r>
      <w:r w:rsidR="006A7D95">
        <w:t xml:space="preserve">consistently </w:t>
      </w:r>
      <w:r w:rsidRPr="006A7D95" w:rsidR="006A7D95">
        <w:t>consider shared costs and combined benefits across related use cases and explain how their proposed methodologies account for these interactions, avoid double-counting, and reflect the location and timing of the grid needs being addressed.</w:t>
      </w:r>
    </w:p>
    <w:p w:rsidR="00BF3819" w:rsidP="00BF3819" w:rsidRDefault="00BF3819" w14:paraId="56330BFA" w14:textId="38F1D58E">
      <w:pPr>
        <w:pStyle w:val="CoL"/>
      </w:pPr>
      <w:r>
        <w:t xml:space="preserve">The </w:t>
      </w:r>
      <w:r w:rsidRPr="00E248E0">
        <w:t xml:space="preserve">IOUs </w:t>
      </w:r>
      <w:r>
        <w:t xml:space="preserve">should </w:t>
      </w:r>
      <w:r w:rsidRPr="00E248E0">
        <w:t xml:space="preserve">propose measurable performance, reliability, and cost-effectiveness criteria for determining when a DER </w:t>
      </w:r>
      <w:r w:rsidR="00853AE5">
        <w:t>o</w:t>
      </w:r>
      <w:r w:rsidRPr="00E248E0">
        <w:t xml:space="preserve">rchestration use case is ready to move from demonstration to broader deployment. </w:t>
      </w:r>
    </w:p>
    <w:p w:rsidR="00BF3819" w:rsidP="00BF3819" w:rsidRDefault="00BF3819" w14:paraId="4B41D7D3" w14:textId="77777777">
      <w:pPr>
        <w:pStyle w:val="CoL"/>
      </w:pPr>
      <w:r>
        <w:t xml:space="preserve">The </w:t>
      </w:r>
      <w:r w:rsidRPr="00E248E0">
        <w:t xml:space="preserve">IOUs </w:t>
      </w:r>
      <w:r>
        <w:t>should</w:t>
      </w:r>
      <w:r w:rsidRPr="00E248E0">
        <w:t xml:space="preserve"> identify the </w:t>
      </w:r>
      <w:proofErr w:type="gramStart"/>
      <w:r w:rsidRPr="00E248E0">
        <w:t>performance</w:t>
      </w:r>
      <w:proofErr w:type="gramEnd"/>
      <w:r w:rsidRPr="00E248E0">
        <w:t xml:space="preserve"> and reliability criteria DERs must satisfy before their capacity can be relied upon for distribution planning</w:t>
      </w:r>
      <w:r>
        <w:t xml:space="preserve"> as well as </w:t>
      </w:r>
      <w:r w:rsidRPr="00E248E0">
        <w:t>how dependable DER capacity could be represented in distribution planning.</w:t>
      </w:r>
      <w:r>
        <w:t xml:space="preserve"> </w:t>
      </w:r>
    </w:p>
    <w:p w:rsidR="00BF3819" w:rsidP="00BF3819" w:rsidRDefault="00BF3819" w14:paraId="53149520" w14:textId="40F9A013">
      <w:pPr>
        <w:pStyle w:val="CoL"/>
      </w:pPr>
      <w:r>
        <w:t xml:space="preserve">The </w:t>
      </w:r>
      <w:r w:rsidRPr="00E248E0">
        <w:t>IOUs</w:t>
      </w:r>
      <w:r>
        <w:t xml:space="preserve"> should</w:t>
      </w:r>
      <w:r w:rsidRPr="00E248E0">
        <w:t xml:space="preserve"> explain how demonstrated DER capacity could affect the need, timing, or sizing of traditional distribution investments.</w:t>
      </w:r>
    </w:p>
    <w:p w:rsidR="002C0D8A" w:rsidP="002C0D8A" w:rsidRDefault="002C0D8A" w14:paraId="2C7B3993" w14:textId="644393B7">
      <w:pPr>
        <w:pStyle w:val="CoL"/>
      </w:pPr>
      <w:r>
        <w:t xml:space="preserve">The IOUs should specify in their </w:t>
      </w:r>
      <w:r w:rsidR="00D62198">
        <w:t xml:space="preserve">joint </w:t>
      </w:r>
      <w:r>
        <w:t>application (</w:t>
      </w:r>
      <w:proofErr w:type="spellStart"/>
      <w:r>
        <w:t>i</w:t>
      </w:r>
      <w:proofErr w:type="spellEnd"/>
      <w:r>
        <w:t xml:space="preserve">) what information should be shared as part of the orchestration plan; (ii) with whom; (iii) with what required granularity/cadence/latency; and (iv) with what privacy/cybersecurity safeguards. </w:t>
      </w:r>
    </w:p>
    <w:p w:rsidR="002C0D8A" w:rsidP="002C0D8A" w:rsidRDefault="002C0D8A" w14:paraId="6E424C48" w14:textId="0F86CA65">
      <w:pPr>
        <w:pStyle w:val="CoL"/>
        <w:rPr>
          <w:rFonts w:eastAsia="Calibri" w:cs="Arial"/>
          <w:b/>
          <w:szCs w:val="26"/>
        </w:rPr>
      </w:pPr>
      <w:r>
        <w:t xml:space="preserve">The IOUs should propose in their </w:t>
      </w:r>
      <w:r w:rsidR="00D62198">
        <w:t xml:space="preserve">joint </w:t>
      </w:r>
      <w:r>
        <w:t>application open, standardized, and interoperable communication protocols that reduce reliance on proprietary OEM clouds and enable grid-edge innovation.</w:t>
      </w:r>
      <w:r w:rsidR="76176E90">
        <w:t xml:space="preserve"> </w:t>
      </w:r>
      <w:r w:rsidRPr="002319E0" w:rsidR="76176E90">
        <w:rPr>
          <w:rFonts w:eastAsia="Calibri" w:cs="Arial"/>
          <w:szCs w:val="26"/>
        </w:rPr>
        <w:t>Any proposed deviation should include justification for why open, standardized, and interoperable communication protocols will not meet the proposed needs.</w:t>
      </w:r>
    </w:p>
    <w:p w:rsidR="004A56D6" w:rsidP="00434083" w:rsidRDefault="002C0D8A" w14:paraId="311116F1" w14:textId="016EA9D7">
      <w:pPr>
        <w:pStyle w:val="CoL"/>
      </w:pPr>
      <w:r>
        <w:t xml:space="preserve"> The IOUs should address in their </w:t>
      </w:r>
      <w:r w:rsidR="00D62198">
        <w:t xml:space="preserve">joint </w:t>
      </w:r>
      <w:r>
        <w:t xml:space="preserve">application communication barriers such as excessive access fees, limited functionality, and vendor lock-in </w:t>
      </w:r>
      <w:r>
        <w:lastRenderedPageBreak/>
        <w:t xml:space="preserve">that can undermine DER </w:t>
      </w:r>
      <w:r w:rsidR="37CB08EE">
        <w:t>o</w:t>
      </w:r>
      <w:r w:rsidR="63131327">
        <w:t xml:space="preserve">rchestration </w:t>
      </w:r>
      <w:r>
        <w:t xml:space="preserve">program cost-effectiveness and ratepayer value. </w:t>
      </w:r>
    </w:p>
    <w:p w:rsidR="002C0D8A" w:rsidRDefault="00CC770E" w14:paraId="49A85E9E" w14:textId="03A12888">
      <w:pPr>
        <w:pStyle w:val="CoL"/>
      </w:pPr>
      <w:r>
        <w:t xml:space="preserve">The </w:t>
      </w:r>
      <w:r w:rsidR="003D143A">
        <w:t>J</w:t>
      </w:r>
      <w:r>
        <w:t xml:space="preserve">oint </w:t>
      </w:r>
      <w:r w:rsidR="002C0D8A">
        <w:t xml:space="preserve">IOU </w:t>
      </w:r>
      <w:r w:rsidR="003D143A">
        <w:t>A</w:t>
      </w:r>
      <w:r w:rsidR="002C0D8A">
        <w:t>pplication should establish pathways for secure, resilient communication and continuity of grid services, including safeguards in the event of technology provider failures or market exits. </w:t>
      </w:r>
    </w:p>
    <w:p w:rsidR="00AC4BCE" w:rsidP="002C0D8A" w:rsidRDefault="002C0D8A" w14:paraId="4DA7D2CB" w14:textId="19F1AE34">
      <w:pPr>
        <w:pStyle w:val="CoL"/>
      </w:pPr>
      <w:r>
        <w:t xml:space="preserve">The </w:t>
      </w:r>
      <w:r w:rsidRPr="00DD387E">
        <w:t xml:space="preserve">IOUs </w:t>
      </w:r>
      <w:r w:rsidR="00AC4BCE">
        <w:t>should</w:t>
      </w:r>
      <w:r w:rsidRPr="00DD387E">
        <w:t xml:space="preserve"> identify </w:t>
      </w:r>
      <w:r>
        <w:t>in their</w:t>
      </w:r>
      <w:r w:rsidR="00BC5D18">
        <w:t xml:space="preserve"> joint</w:t>
      </w:r>
      <w:r>
        <w:t xml:space="preserve"> application </w:t>
      </w:r>
      <w:r w:rsidRPr="00DD387E">
        <w:t xml:space="preserve">existing systems and capabilities that can support DER </w:t>
      </w:r>
      <w:r>
        <w:t>or</w:t>
      </w:r>
      <w:r w:rsidRPr="00DD387E">
        <w:t xml:space="preserve">chestration, additional capabilities needed to implement their </w:t>
      </w:r>
      <w:r w:rsidR="00B26842">
        <w:t>proposed orchestration framework</w:t>
      </w:r>
      <w:r w:rsidRPr="00DD387E">
        <w:t xml:space="preserve">, and </w:t>
      </w:r>
      <w:r>
        <w:t xml:space="preserve">a description of </w:t>
      </w:r>
      <w:r w:rsidRPr="00DD387E">
        <w:t xml:space="preserve">how their proposed architecture reflects their technical and operational readiness. </w:t>
      </w:r>
    </w:p>
    <w:p w:rsidR="00AC4BCE" w:rsidP="002C0D8A" w:rsidRDefault="00AC4BCE" w14:paraId="31E31D43" w14:textId="7F0C151E">
      <w:pPr>
        <w:pStyle w:val="CoL"/>
      </w:pPr>
      <w:r>
        <w:t>T</w:t>
      </w:r>
      <w:r w:rsidR="002C0D8A">
        <w:t xml:space="preserve">he </w:t>
      </w:r>
      <w:r w:rsidRPr="00DD387E" w:rsidR="002C0D8A">
        <w:t xml:space="preserve">IOUs </w:t>
      </w:r>
      <w:r>
        <w:t>should</w:t>
      </w:r>
      <w:r w:rsidRPr="00DD387E" w:rsidR="002C0D8A">
        <w:t xml:space="preserve"> distinguish </w:t>
      </w:r>
      <w:r w:rsidR="002C0D8A">
        <w:t xml:space="preserve">between </w:t>
      </w:r>
      <w:r w:rsidRPr="00DD387E" w:rsidR="002C0D8A">
        <w:t>existing and previously authorized capabilities from proposed new investments</w:t>
      </w:r>
      <w:r w:rsidR="008B2514">
        <w:t xml:space="preserve"> in their </w:t>
      </w:r>
      <w:r w:rsidR="00CC770E">
        <w:t xml:space="preserve">joint </w:t>
      </w:r>
      <w:r w:rsidR="008B2514">
        <w:t>application</w:t>
      </w:r>
      <w:r w:rsidRPr="00DD387E" w:rsidR="002C0D8A">
        <w:t xml:space="preserve">. </w:t>
      </w:r>
    </w:p>
    <w:p w:rsidRPr="00BC52C0" w:rsidR="002C0D8A" w:rsidP="002C0D8A" w:rsidRDefault="00AC4BCE" w14:paraId="5B42AB70" w14:textId="57E909C6">
      <w:pPr>
        <w:pStyle w:val="CoL"/>
      </w:pPr>
      <w:r>
        <w:t>T</w:t>
      </w:r>
      <w:r w:rsidR="002C0D8A">
        <w:t xml:space="preserve">he </w:t>
      </w:r>
      <w:r w:rsidRPr="00565079" w:rsidR="002C0D8A">
        <w:t xml:space="preserve">IOUs </w:t>
      </w:r>
      <w:r>
        <w:t>should</w:t>
      </w:r>
      <w:r w:rsidRPr="00565079" w:rsidR="002C0D8A">
        <w:t xml:space="preserve"> continue TSO-DSO coordination with CAISO during the application </w:t>
      </w:r>
      <w:r w:rsidR="002C0D8A">
        <w:t>proceeding</w:t>
      </w:r>
      <w:r w:rsidRPr="00565079" w:rsidR="002C0D8A">
        <w:t xml:space="preserve"> and incorporate relevant developments regarding DER visibility, data exchange, service prioritization, </w:t>
      </w:r>
      <w:r w:rsidR="006A7D95">
        <w:t xml:space="preserve">operational forecasting, </w:t>
      </w:r>
      <w:r w:rsidRPr="00565079" w:rsidR="002C0D8A">
        <w:t>and operational coordination into the application record.</w:t>
      </w:r>
    </w:p>
    <w:p w:rsidR="008B2514" w:rsidP="008B2514" w:rsidRDefault="3CF6BDD8" w14:paraId="0F37B32D" w14:textId="302BB44C">
      <w:pPr>
        <w:pStyle w:val="CoL"/>
      </w:pPr>
      <w:r>
        <w:t xml:space="preserve">IOUs should consider in their </w:t>
      </w:r>
      <w:r w:rsidR="00BC5D18">
        <w:t xml:space="preserve">joint </w:t>
      </w:r>
      <w:r>
        <w:t>application the role of DER aggregators in an orchestration framework and allow aggregators to provide coordinated DER services</w:t>
      </w:r>
      <w:r w:rsidR="17CF832A">
        <w:t xml:space="preserve"> </w:t>
      </w:r>
      <w:r w:rsidR="1CB8BEC6">
        <w:t xml:space="preserve">where </w:t>
      </w:r>
      <w:r w:rsidRPr="002319E0" w:rsidR="68989D5F">
        <w:t xml:space="preserve">their participation adds value, is cost-effective, and does not introduce unnecessary complexity. </w:t>
      </w:r>
      <w:proofErr w:type="gramStart"/>
      <w:r w:rsidRPr="002319E0" w:rsidR="68989D5F">
        <w:t>Participating</w:t>
      </w:r>
      <w:proofErr w:type="gramEnd"/>
      <w:r w:rsidRPr="002319E0" w:rsidR="68989D5F">
        <w:t xml:space="preserve"> aggregators</w:t>
      </w:r>
      <w:r w:rsidR="68989D5F">
        <w:t xml:space="preserve"> should be </w:t>
      </w:r>
      <w:r w:rsidRPr="002319E0" w:rsidR="68989D5F">
        <w:t>subject to</w:t>
      </w:r>
      <w:r w:rsidR="68989D5F">
        <w:t xml:space="preserve"> the same</w:t>
      </w:r>
      <w:r w:rsidRPr="002319E0" w:rsidR="68989D5F">
        <w:t xml:space="preserve"> performance and accountability requirements</w:t>
      </w:r>
      <w:r w:rsidR="195C055F">
        <w:t xml:space="preserve"> as the IOUs</w:t>
      </w:r>
      <w:r w:rsidRPr="002319E0" w:rsidR="68989D5F">
        <w:t>.</w:t>
      </w:r>
      <w:r w:rsidRPr="1EA89D75" w:rsidR="68989D5F">
        <w:rPr>
          <w:b/>
          <w:bCs/>
        </w:rPr>
        <w:t xml:space="preserve"> </w:t>
      </w:r>
    </w:p>
    <w:p w:rsidR="00703682" w:rsidP="008B2514" w:rsidRDefault="00D9102E" w14:paraId="6685DFAD" w14:textId="369D14D9">
      <w:pPr>
        <w:pStyle w:val="CoL"/>
      </w:pPr>
      <w:r>
        <w:t xml:space="preserve">The </w:t>
      </w:r>
      <w:r w:rsidRPr="002319E0" w:rsidR="5E0E2D0D">
        <w:t>IOU</w:t>
      </w:r>
      <w:r>
        <w:t>s</w:t>
      </w:r>
      <w:r w:rsidRPr="002319E0" w:rsidR="5E0E2D0D">
        <w:t xml:space="preserve"> should propose and justify in </w:t>
      </w:r>
      <w:r>
        <w:t>the joint</w:t>
      </w:r>
      <w:r w:rsidRPr="002319E0" w:rsidR="5E0E2D0D">
        <w:t xml:space="preserve"> application </w:t>
      </w:r>
      <w:r w:rsidR="5E0E2D0D">
        <w:t>flexib</w:t>
      </w:r>
      <w:r w:rsidR="129EA46D">
        <w:t>le</w:t>
      </w:r>
      <w:r w:rsidR="5E0E2D0D">
        <w:t xml:space="preserve"> dispatch</w:t>
      </w:r>
      <w:r w:rsidR="134BCD68">
        <w:t>ing</w:t>
      </w:r>
      <w:r w:rsidR="5E0E2D0D">
        <w:t xml:space="preserve"> </w:t>
      </w:r>
      <w:r w:rsidRPr="002319E0" w:rsidR="5E0E2D0D">
        <w:t>mechanis</w:t>
      </w:r>
      <w:r w:rsidR="483E0B65">
        <w:t>ms</w:t>
      </w:r>
      <w:r w:rsidRPr="002319E0" w:rsidR="5E0E2D0D">
        <w:t xml:space="preserve"> that enable DERs to provide distribution</w:t>
      </w:r>
      <w:r w:rsidR="59F0910A">
        <w:t>-level</w:t>
      </w:r>
      <w:r w:rsidRPr="002319E0" w:rsidR="5E0E2D0D">
        <w:t xml:space="preserve"> grid services</w:t>
      </w:r>
      <w:r w:rsidR="1416439C">
        <w:t xml:space="preserve"> based on identified </w:t>
      </w:r>
      <w:r w:rsidR="7DE4C62E">
        <w:t xml:space="preserve">system </w:t>
      </w:r>
      <w:r w:rsidR="1416439C">
        <w:t>needs</w:t>
      </w:r>
      <w:r w:rsidRPr="002319E0" w:rsidR="3B388704">
        <w:t>.</w:t>
      </w:r>
      <w:r w:rsidRPr="002319E0" w:rsidR="5E0E2D0D">
        <w:t xml:space="preserve"> The proposed mechanism</w:t>
      </w:r>
      <w:r w:rsidR="5E0E2D0D">
        <w:t>s</w:t>
      </w:r>
      <w:r w:rsidRPr="002319E0" w:rsidR="5E0E2D0D">
        <w:t xml:space="preserve"> should address participant eligibility</w:t>
      </w:r>
      <w:r w:rsidR="5E0E2D0D">
        <w:t>,</w:t>
      </w:r>
      <w:r w:rsidR="72E554F2">
        <w:t xml:space="preserve"> </w:t>
      </w:r>
      <w:r w:rsidRPr="002319E0" w:rsidR="5E0E2D0D">
        <w:t>protections against double payment or double counting, and performance, measurement, and verification requirements.</w:t>
      </w:r>
      <w:r w:rsidR="04D2C5F7">
        <w:t xml:space="preserve"> </w:t>
      </w:r>
    </w:p>
    <w:p w:rsidR="00DB464E" w:rsidP="00DB464E" w:rsidRDefault="00D9102E" w14:paraId="38790211" w14:textId="6189B67C">
      <w:pPr>
        <w:pStyle w:val="CoL"/>
      </w:pPr>
      <w:r>
        <w:lastRenderedPageBreak/>
        <w:t xml:space="preserve">The IOUs </w:t>
      </w:r>
      <w:r w:rsidR="27E6D9AE">
        <w:t xml:space="preserve">should </w:t>
      </w:r>
      <w:r w:rsidRPr="002319E0" w:rsidR="0C790883">
        <w:t>describe</w:t>
      </w:r>
      <w:r w:rsidRPr="002319E0" w:rsidR="27E6D9AE">
        <w:t xml:space="preserve"> the operational coordination</w:t>
      </w:r>
      <w:r w:rsidR="27E6D9AE">
        <w:t xml:space="preserve"> </w:t>
      </w:r>
      <w:r w:rsidRPr="002319E0" w:rsidR="27E6D9AE">
        <w:t xml:space="preserve">necessary to </w:t>
      </w:r>
      <w:r w:rsidRPr="002319E0" w:rsidR="0C790883">
        <w:t>en</w:t>
      </w:r>
      <w:r w:rsidR="6ADA773C">
        <w:t xml:space="preserve">able communication </w:t>
      </w:r>
      <w:r w:rsidR="3027000F">
        <w:t xml:space="preserve">with </w:t>
      </w:r>
      <w:r w:rsidR="6ADA773C">
        <w:t>and dispatch</w:t>
      </w:r>
      <w:r w:rsidR="253312F0">
        <w:t>able</w:t>
      </w:r>
      <w:r w:rsidR="6ADA773C">
        <w:t xml:space="preserve"> control over participating</w:t>
      </w:r>
      <w:r w:rsidRPr="002319E0" w:rsidR="27E6D9AE">
        <w:t xml:space="preserve"> </w:t>
      </w:r>
      <w:r w:rsidRPr="002319E0" w:rsidR="0C790883">
        <w:t>DER</w:t>
      </w:r>
      <w:r w:rsidR="5B2571D9">
        <w:t>s</w:t>
      </w:r>
      <w:r w:rsidRPr="002319E0" w:rsidR="27E6D9AE">
        <w:t xml:space="preserve"> </w:t>
      </w:r>
      <w:r w:rsidR="72FF24F9">
        <w:t>to</w:t>
      </w:r>
      <w:r w:rsidRPr="002319E0" w:rsidR="27E6D9AE">
        <w:t xml:space="preserve"> respond to DSO operational needs</w:t>
      </w:r>
      <w:r>
        <w:t>, identifying implementation differences across the IOUs where necessary</w:t>
      </w:r>
      <w:r w:rsidRPr="002319E0" w:rsidR="27E6D9AE">
        <w:t>.</w:t>
      </w:r>
      <w:r w:rsidR="27E6D9AE">
        <w:t xml:space="preserve"> </w:t>
      </w:r>
      <w:r w:rsidR="009E3797">
        <w:t xml:space="preserve">The </w:t>
      </w:r>
      <w:r w:rsidR="004800B1">
        <w:t xml:space="preserve">Joint IOU Application </w:t>
      </w:r>
      <w:r w:rsidRPr="009E3797" w:rsidR="009E3797">
        <w:t>sh</w:t>
      </w:r>
      <w:r w:rsidR="009E3797">
        <w:t>ould</w:t>
      </w:r>
      <w:r w:rsidRPr="009E3797" w:rsidR="009E3797">
        <w:t xml:space="preserve"> describe how it will detect communications failures, resource unavailability, and failure to deliver the expected DER response. </w:t>
      </w:r>
      <w:r w:rsidR="009E3797">
        <w:t>The application should</w:t>
      </w:r>
      <w:r w:rsidRPr="009E3797" w:rsidR="009E3797">
        <w:t xml:space="preserve"> identify notification responsibilities and procedures, fallback operating arrangements, and coordination necessary to maintain safe and reliable operation when the expected response is unavailable.</w:t>
      </w:r>
    </w:p>
    <w:p w:rsidR="00703682" w:rsidP="00DB464E" w:rsidRDefault="00DB464E" w14:paraId="283724A7" w14:textId="5C5218F7">
      <w:pPr>
        <w:pStyle w:val="CoL"/>
      </w:pPr>
      <w:r>
        <w:t xml:space="preserve">The </w:t>
      </w:r>
      <w:r w:rsidR="00703682">
        <w:t xml:space="preserve">IOUs </w:t>
      </w:r>
      <w:r>
        <w:t xml:space="preserve">should identify in their </w:t>
      </w:r>
      <w:r w:rsidR="00D9102E">
        <w:t xml:space="preserve">joint </w:t>
      </w:r>
      <w:r>
        <w:t xml:space="preserve">application </w:t>
      </w:r>
      <w:r w:rsidR="00703682">
        <w:t>the roles of utilities, aggregators, CCAs, customers, and other DER providers and address safeguards for competitive neutrality and appropriate Commission oversight</w:t>
      </w:r>
      <w:r>
        <w:t>.</w:t>
      </w:r>
    </w:p>
    <w:p w:rsidR="00FF2D89" w:rsidP="00DB464E" w:rsidRDefault="00FF2D89" w14:paraId="030C777D" w14:textId="67B4BA49">
      <w:pPr>
        <w:pStyle w:val="CoL"/>
      </w:pPr>
      <w:r>
        <w:t xml:space="preserve">The IOUs should demonstrate in their </w:t>
      </w:r>
      <w:r w:rsidR="00D9102E">
        <w:t xml:space="preserve">joint </w:t>
      </w:r>
      <w:r w:rsidR="00F85C7D">
        <w:t xml:space="preserve">application their </w:t>
      </w:r>
      <w:r w:rsidR="4723B965">
        <w:t>respective</w:t>
      </w:r>
      <w:r w:rsidR="260900C0">
        <w:t xml:space="preserve"> technological and operational</w:t>
      </w:r>
      <w:r>
        <w:t xml:space="preserve"> readiness for DER orchestration</w:t>
      </w:r>
      <w:r w:rsidR="36089A36">
        <w:t xml:space="preserve">, which </w:t>
      </w:r>
      <w:r>
        <w:t>should be assessed based on proven capabilities</w:t>
      </w:r>
      <w:r w:rsidR="65D23593">
        <w:t>,</w:t>
      </w:r>
      <w:r>
        <w:t xml:space="preserve"> including tested pilots and results.</w:t>
      </w:r>
      <w:r w:rsidR="0061171D">
        <w:t xml:space="preserve"> Proposed implementation </w:t>
      </w:r>
      <w:r w:rsidR="00B26842">
        <w:t xml:space="preserve">following the adoption of the DER orchestration framework </w:t>
      </w:r>
      <w:r w:rsidR="0061171D">
        <w:t>should reflect these differences in operational readiness</w:t>
      </w:r>
      <w:r w:rsidR="00507921">
        <w:t xml:space="preserve">, so long as the implementation </w:t>
      </w:r>
      <w:r w:rsidR="0061551E">
        <w:t xml:space="preserve">process </w:t>
      </w:r>
      <w:r w:rsidR="00507921">
        <w:t xml:space="preserve">is working towards </w:t>
      </w:r>
      <w:r w:rsidR="00B26842">
        <w:t>the</w:t>
      </w:r>
      <w:r w:rsidR="006F3CC8">
        <w:t xml:space="preserve"> common DER orchestration framework.</w:t>
      </w:r>
    </w:p>
    <w:p w:rsidR="00327101" w:rsidP="00327101" w:rsidRDefault="00FF2D89" w14:paraId="61A09F23" w14:textId="4085F475">
      <w:pPr>
        <w:pStyle w:val="CoL"/>
      </w:pPr>
      <w:r>
        <w:t xml:space="preserve">The IOUs should include in their </w:t>
      </w:r>
      <w:r w:rsidR="0061551E">
        <w:t>J</w:t>
      </w:r>
      <w:r w:rsidR="006F3CC8">
        <w:t xml:space="preserve">oint </w:t>
      </w:r>
      <w:r>
        <w:t xml:space="preserve">DER </w:t>
      </w:r>
      <w:r w:rsidR="0061551E">
        <w:t>O</w:t>
      </w:r>
      <w:r>
        <w:t xml:space="preserve">rchestration </w:t>
      </w:r>
      <w:r w:rsidR="0061551E">
        <w:t>A</w:t>
      </w:r>
      <w:r>
        <w:t xml:space="preserve">pplication </w:t>
      </w:r>
      <w:r w:rsidR="51EE0BF4">
        <w:t xml:space="preserve">the </w:t>
      </w:r>
      <w:r>
        <w:t>specific criteria by which they will demonstrate their</w:t>
      </w:r>
      <w:r w:rsidR="00323780">
        <w:t xml:space="preserve"> individual</w:t>
      </w:r>
      <w:r>
        <w:t xml:space="preserve"> technological and operational readiness to deploy DER orchestration</w:t>
      </w:r>
      <w:r w:rsidR="00323780">
        <w:t xml:space="preserve"> </w:t>
      </w:r>
      <w:r>
        <w:t>at scale</w:t>
      </w:r>
      <w:r w:rsidR="0093416B">
        <w:t xml:space="preserve"> in a manner that incorporates consistent foundational components that are working toward a common DER orchestration framework</w:t>
      </w:r>
      <w:r>
        <w:t>.</w:t>
      </w:r>
    </w:p>
    <w:p w:rsidRPr="00852424" w:rsidR="00852424" w:rsidP="00327101" w:rsidRDefault="00852424" w14:paraId="3B29C801" w14:textId="618E9DA3">
      <w:pPr>
        <w:pStyle w:val="CoL"/>
        <w:rPr>
          <w:rStyle w:val="eop"/>
        </w:rPr>
      </w:pPr>
      <w:r w:rsidRPr="68A23236">
        <w:rPr>
          <w:rStyle w:val="eop"/>
          <w:rFonts w:cs="Segoe UI"/>
        </w:rPr>
        <w:t xml:space="preserve">The IOUs should first leverage existing technology investment authorizations or pending </w:t>
      </w:r>
      <w:r w:rsidRPr="68A23236" w:rsidR="00B02B32">
        <w:rPr>
          <w:rStyle w:val="eop"/>
          <w:rFonts w:cs="Segoe UI"/>
        </w:rPr>
        <w:t xml:space="preserve">technology investment </w:t>
      </w:r>
      <w:r w:rsidRPr="68A23236">
        <w:rPr>
          <w:rStyle w:val="eop"/>
          <w:rFonts w:cs="Segoe UI"/>
        </w:rPr>
        <w:t xml:space="preserve">authorizations to </w:t>
      </w:r>
      <w:r w:rsidRPr="68A23236" w:rsidR="00B02B32">
        <w:rPr>
          <w:rStyle w:val="eop"/>
          <w:rFonts w:cs="Segoe UI"/>
        </w:rPr>
        <w:t xml:space="preserve">implement </w:t>
      </w:r>
      <w:r w:rsidRPr="68A23236" w:rsidR="00B02B32">
        <w:rPr>
          <w:rStyle w:val="eop"/>
          <w:rFonts w:cs="Segoe UI"/>
        </w:rPr>
        <w:lastRenderedPageBreak/>
        <w:t xml:space="preserve">their </w:t>
      </w:r>
      <w:r w:rsidRPr="68A23236">
        <w:rPr>
          <w:rStyle w:val="eop"/>
          <w:rFonts w:cs="Segoe UI"/>
        </w:rPr>
        <w:t>DER orchestration framework</w:t>
      </w:r>
      <w:r w:rsidRPr="68A23236" w:rsidR="00B02B32">
        <w:rPr>
          <w:rStyle w:val="eop"/>
          <w:rFonts w:cs="Segoe UI"/>
        </w:rPr>
        <w:t>s</w:t>
      </w:r>
      <w:r w:rsidRPr="68A23236">
        <w:rPr>
          <w:rStyle w:val="eop"/>
          <w:rFonts w:cs="Segoe UI"/>
        </w:rPr>
        <w:t xml:space="preserve"> before requesting </w:t>
      </w:r>
      <w:r w:rsidRPr="68A23236" w:rsidR="0ECEFD3D">
        <w:rPr>
          <w:rStyle w:val="eop"/>
          <w:rFonts w:cs="Segoe UI"/>
        </w:rPr>
        <w:t>authorization for</w:t>
      </w:r>
      <w:r w:rsidRPr="68A23236">
        <w:rPr>
          <w:rStyle w:val="eop"/>
          <w:rFonts w:cs="Segoe UI"/>
        </w:rPr>
        <w:t xml:space="preserve"> incremental technological investment</w:t>
      </w:r>
      <w:r w:rsidRPr="68A23236" w:rsidR="00B02B32">
        <w:rPr>
          <w:rStyle w:val="eop"/>
          <w:rFonts w:cs="Segoe UI"/>
        </w:rPr>
        <w:t>s</w:t>
      </w:r>
      <w:r w:rsidRPr="68A23236">
        <w:rPr>
          <w:rStyle w:val="eop"/>
          <w:rFonts w:cs="Segoe UI"/>
        </w:rPr>
        <w:t xml:space="preserve">.  </w:t>
      </w:r>
    </w:p>
    <w:p w:rsidR="00B02B32" w:rsidP="00B02B32" w:rsidRDefault="7FD2051B" w14:paraId="630F67B2" w14:textId="0642580C">
      <w:pPr>
        <w:pStyle w:val="CoL"/>
        <w:rPr>
          <w:rStyle w:val="eop"/>
          <w:rFonts w:cs="Segoe UI"/>
        </w:rPr>
      </w:pPr>
      <w:r w:rsidRPr="002319E0">
        <w:t xml:space="preserve">If </w:t>
      </w:r>
      <w:r w:rsidRPr="4363D5C7">
        <w:t>the</w:t>
      </w:r>
      <w:r w:rsidRPr="002319E0">
        <w:t xml:space="preserve"> IOU</w:t>
      </w:r>
      <w:r w:rsidRPr="4363D5C7">
        <w:t>s</w:t>
      </w:r>
      <w:r w:rsidRPr="002319E0">
        <w:t xml:space="preserve"> seek authorization for incremental technology investments </w:t>
      </w:r>
      <w:r w:rsidR="00B26842">
        <w:t xml:space="preserve">for their proposals to implement </w:t>
      </w:r>
      <w:r w:rsidR="00323780">
        <w:t>the joint</w:t>
      </w:r>
      <w:r w:rsidRPr="002319E0">
        <w:t xml:space="preserve"> DER orchestration </w:t>
      </w:r>
      <w:r w:rsidR="00B26842">
        <w:t>framework</w:t>
      </w:r>
      <w:r w:rsidRPr="002319E0">
        <w:t xml:space="preserve">, </w:t>
      </w:r>
      <w:r w:rsidRPr="28850AD9">
        <w:t>they</w:t>
      </w:r>
      <w:r w:rsidRPr="002319E0">
        <w:t xml:space="preserve"> should demonstrate why the necessary funding cannot be leveraged from the GRC or other applicable cost-recovery proceedings.</w:t>
      </w:r>
      <w:r w:rsidRPr="28850AD9">
        <w:t xml:space="preserve"> </w:t>
      </w:r>
    </w:p>
    <w:p w:rsidR="13E61B9E" w:rsidP="13E61B9E" w:rsidRDefault="2111686F" w14:paraId="2D70F892" w14:textId="4F79CFC0">
      <w:pPr>
        <w:pStyle w:val="CoL"/>
      </w:pPr>
      <w:r w:rsidRPr="002319E0">
        <w:t xml:space="preserve">The IOUs should be permitted to submit optional Tier 2 </w:t>
      </w:r>
      <w:r w:rsidR="0061551E">
        <w:t>a</w:t>
      </w:r>
      <w:r w:rsidRPr="002319E0">
        <w:t xml:space="preserve">dvice </w:t>
      </w:r>
      <w:r w:rsidR="0061551E">
        <w:t>l</w:t>
      </w:r>
      <w:r w:rsidRPr="002319E0">
        <w:t xml:space="preserve">etters within two months of adoption of this decision to establish </w:t>
      </w:r>
      <w:r w:rsidR="0061551E">
        <w:t>m</w:t>
      </w:r>
      <w:r w:rsidRPr="002319E0">
        <w:t xml:space="preserve">emorandum </w:t>
      </w:r>
      <w:r w:rsidR="0061551E">
        <w:t>a</w:t>
      </w:r>
      <w:r w:rsidRPr="002319E0">
        <w:t>ccounts</w:t>
      </w:r>
      <w:r w:rsidR="002A4FC2">
        <w:t xml:space="preserve"> to record administrative costs to support </w:t>
      </w:r>
      <w:r w:rsidR="00CC62A3">
        <w:t xml:space="preserve">the development of the DER orchestration application, including support for the working group and any minor studies </w:t>
      </w:r>
      <w:r w:rsidR="001115A7">
        <w:t xml:space="preserve">to support the application. Across the three IOUs, the total budget for these </w:t>
      </w:r>
      <w:r w:rsidR="0061551E">
        <w:t>m</w:t>
      </w:r>
      <w:r w:rsidR="001115A7">
        <w:t xml:space="preserve">emorandum </w:t>
      </w:r>
      <w:r w:rsidR="0061551E">
        <w:t>a</w:t>
      </w:r>
      <w:r w:rsidR="001115A7">
        <w:t>ccounts should be capped at $500,000.</w:t>
      </w:r>
      <w:r w:rsidR="00CF480A">
        <w:t xml:space="preserve"> </w:t>
      </w:r>
      <w:r w:rsidRPr="00CF480A" w:rsidR="00CF480A">
        <w:t>The advice letters sh</w:t>
      </w:r>
      <w:r w:rsidR="00CF480A">
        <w:t>ould</w:t>
      </w:r>
      <w:r w:rsidRPr="00CF480A" w:rsidR="00CF480A">
        <w:t xml:space="preserve"> describe anticipated incremental application-development costs and explain why existing authorized funding is insufficient. The IOUs s</w:t>
      </w:r>
      <w:r w:rsidR="00CF480A">
        <w:t xml:space="preserve">hould record their application-development costs in the memorandum accounts established by their Tier 2 advice letters and </w:t>
      </w:r>
      <w:r w:rsidRPr="00CF480A" w:rsidR="00CF480A">
        <w:t>coordinate accounting for shared expenses to remain within the $500,000 aggregate cap and avoid duplicate recording or recovery. Eligible costs sh</w:t>
      </w:r>
      <w:r w:rsidR="00CF480A">
        <w:t>ould</w:t>
      </w:r>
      <w:r w:rsidRPr="00CF480A" w:rsidR="00CF480A">
        <w:t xml:space="preserve"> be limited to application development, rather than technology acquisition or deployment, pilot operations, customer incentives, or ongoing program implementation.</w:t>
      </w:r>
    </w:p>
    <w:p w:rsidR="00327101" w:rsidP="00DB464E" w:rsidRDefault="001115A7" w14:paraId="26F7237C" w14:textId="4F9EF6E0">
      <w:pPr>
        <w:pStyle w:val="CoL"/>
      </w:pPr>
      <w:r>
        <w:t xml:space="preserve">The </w:t>
      </w:r>
      <w:r w:rsidRPr="002319E0" w:rsidR="2111686F">
        <w:t>IOU</w:t>
      </w:r>
      <w:r>
        <w:t xml:space="preserve">s’ </w:t>
      </w:r>
      <w:r w:rsidR="004800B1">
        <w:t>J</w:t>
      </w:r>
      <w:r>
        <w:t>oint</w:t>
      </w:r>
      <w:r w:rsidRPr="002319E0" w:rsidR="2111686F">
        <w:t xml:space="preserve"> DER </w:t>
      </w:r>
      <w:r w:rsidR="004800B1">
        <w:t>O</w:t>
      </w:r>
      <w:r w:rsidRPr="002319E0" w:rsidR="2111686F">
        <w:t xml:space="preserve">rchestration </w:t>
      </w:r>
      <w:r w:rsidR="004800B1">
        <w:t>A</w:t>
      </w:r>
      <w:r w:rsidRPr="002319E0" w:rsidR="2111686F">
        <w:t xml:space="preserve">pplication </w:t>
      </w:r>
      <w:r w:rsidR="006F369D">
        <w:t>must</w:t>
      </w:r>
      <w:r w:rsidRPr="002319E0" w:rsidR="2111686F">
        <w:t xml:space="preserve"> specify the source of funding or whether proposed technology investments will be customer- or utility-owned.</w:t>
      </w:r>
      <w:r w:rsidR="2111686F">
        <w:t xml:space="preserve"> </w:t>
      </w:r>
    </w:p>
    <w:p w:rsidR="008C7A05" w:rsidP="00DB464E" w:rsidRDefault="3C7C9A57" w14:paraId="2A90AEF3" w14:textId="32FBF0FD">
      <w:pPr>
        <w:pStyle w:val="CoL"/>
      </w:pPr>
      <w:r w:rsidRPr="002319E0">
        <w:t xml:space="preserve">Dynamic pricing and DER orchestration should be treated as complementary but distinct tools. </w:t>
      </w:r>
      <w:r w:rsidR="003A01DA">
        <w:t xml:space="preserve">The </w:t>
      </w:r>
      <w:r w:rsidR="0061551E">
        <w:t>J</w:t>
      </w:r>
      <w:r w:rsidR="003A01DA">
        <w:t xml:space="preserve">oint </w:t>
      </w:r>
      <w:r w:rsidRPr="002319E0">
        <w:t xml:space="preserve">IOU DER </w:t>
      </w:r>
      <w:r w:rsidR="0061551E">
        <w:t>O</w:t>
      </w:r>
      <w:r w:rsidRPr="002319E0">
        <w:t xml:space="preserve">rchestration </w:t>
      </w:r>
      <w:r w:rsidR="0061551E">
        <w:t>A</w:t>
      </w:r>
      <w:r w:rsidRPr="002319E0">
        <w:t xml:space="preserve">pplication should consider dynamic </w:t>
      </w:r>
      <w:proofErr w:type="gramStart"/>
      <w:r w:rsidRPr="002319E0">
        <w:t>pricing where</w:t>
      </w:r>
      <w:proofErr w:type="gramEnd"/>
      <w:r w:rsidRPr="002319E0">
        <w:t xml:space="preserve"> relevant to the development of DER </w:t>
      </w:r>
      <w:r w:rsidRPr="002319E0">
        <w:lastRenderedPageBreak/>
        <w:t>orchestration, including where customer responses to dynamic pricing may affect load patterns, DER availability, timing, or the cost-effectiveness of proposed DER orchestration use cases.</w:t>
      </w:r>
      <w:r w:rsidRPr="303DEE5E">
        <w:t xml:space="preserve"> </w:t>
      </w:r>
    </w:p>
    <w:p w:rsidR="00913C6D" w:rsidRDefault="00913C6D" w14:paraId="353FC586" w14:textId="23E0E079">
      <w:pPr>
        <w:pStyle w:val="CoL"/>
      </w:pPr>
      <w:r>
        <w:t>Th</w:t>
      </w:r>
      <w:r w:rsidRPr="00D57ADC">
        <w:t xml:space="preserve">e IOUs </w:t>
      </w:r>
      <w:r>
        <w:t>should</w:t>
      </w:r>
      <w:r w:rsidRPr="00D57ADC">
        <w:t xml:space="preserve"> </w:t>
      </w:r>
      <w:r w:rsidR="00A91B2F">
        <w:t>propose</w:t>
      </w:r>
      <w:r w:rsidRPr="00D57ADC" w:rsidR="00A91B2F">
        <w:t xml:space="preserve"> </w:t>
      </w:r>
      <w:r w:rsidRPr="00D57ADC">
        <w:t xml:space="preserve">a Load Flexibility </w:t>
      </w:r>
      <w:r w:rsidR="00F85C7D">
        <w:t>S</w:t>
      </w:r>
      <w:r w:rsidRPr="00D57ADC">
        <w:t>cenario</w:t>
      </w:r>
      <w:r>
        <w:t xml:space="preserve"> </w:t>
      </w:r>
      <w:r w:rsidRPr="00D57ADC">
        <w:t xml:space="preserve">as the </w:t>
      </w:r>
      <w:r>
        <w:t>fourth</w:t>
      </w:r>
      <w:r w:rsidRPr="00D57ADC">
        <w:t xml:space="preserve"> scenario in the annual DPEP Scenario Planning process</w:t>
      </w:r>
      <w:r w:rsidR="00CD345B">
        <w:t xml:space="preserve">, </w:t>
      </w:r>
      <w:r w:rsidRPr="00CD345B" w:rsidR="00CD345B">
        <w:t>with the details of the scenario to be developed through the stakeholder workshop and Tier 3 advice letter process described in this decision.</w:t>
      </w:r>
      <w:r>
        <w:t xml:space="preserve"> </w:t>
      </w:r>
    </w:p>
    <w:p w:rsidR="00913C6D" w:rsidP="000302C3" w:rsidRDefault="6CD4EBA6" w14:paraId="1008E979" w14:textId="05104971">
      <w:pPr>
        <w:pStyle w:val="CoL"/>
      </w:pPr>
      <w:r>
        <w:t xml:space="preserve">The IOUs should present their </w:t>
      </w:r>
      <w:r w:rsidR="26CA3DAD">
        <w:t>propos</w:t>
      </w:r>
      <w:r w:rsidR="48E8A49B">
        <w:t xml:space="preserve">al for establishing a </w:t>
      </w:r>
      <w:r>
        <w:t>Load Flexibility</w:t>
      </w:r>
      <w:r w:rsidR="46F14C46">
        <w:t xml:space="preserve"> S</w:t>
      </w:r>
      <w:r>
        <w:t xml:space="preserve">cenario at a full-day stakeholder workshop </w:t>
      </w:r>
      <w:r w:rsidR="3F6929BC">
        <w:t xml:space="preserve">within </w:t>
      </w:r>
      <w:r w:rsidR="00782B46">
        <w:t>12</w:t>
      </w:r>
      <w:r w:rsidR="3F6929BC">
        <w:t>0 calendar days of</w:t>
      </w:r>
      <w:r w:rsidR="1DF7DBCB">
        <w:t xml:space="preserve"> the issuance of this decision</w:t>
      </w:r>
      <w:r w:rsidR="146ED453">
        <w:t>.</w:t>
      </w:r>
      <w:r w:rsidR="00B75DED">
        <w:t xml:space="preserve"> </w:t>
      </w:r>
    </w:p>
    <w:p w:rsidR="001611E1" w:rsidP="000302C3" w:rsidRDefault="6CD4EBA6" w14:paraId="0CAF824A" w14:textId="15BF2D37">
      <w:pPr>
        <w:pStyle w:val="CoL"/>
      </w:pPr>
      <w:r>
        <w:t xml:space="preserve">The IOUs should file a joint Tier 3 </w:t>
      </w:r>
      <w:r w:rsidR="0061551E">
        <w:t>a</w:t>
      </w:r>
      <w:r>
        <w:t xml:space="preserve">dvice </w:t>
      </w:r>
      <w:r w:rsidR="0061551E">
        <w:t>l</w:t>
      </w:r>
      <w:r>
        <w:t xml:space="preserve">etter within 60 </w:t>
      </w:r>
      <w:r w:rsidR="05967AE2">
        <w:t xml:space="preserve">calendar </w:t>
      </w:r>
      <w:r>
        <w:t>days after the workshop providing the technical basis for Load Flexibility Scenario inputs</w:t>
      </w:r>
      <w:r w:rsidR="1A94BB4B">
        <w:t xml:space="preserve"> and describing how load flexibility scenarios will be incorporated into the scenario planning process of the DPEP</w:t>
      </w:r>
      <w:r w:rsidR="00782B46">
        <w:t>, beginning with the 2028-2029 DPEP cycle</w:t>
      </w:r>
      <w:r w:rsidR="0061551E">
        <w:t>.</w:t>
      </w:r>
      <w:r>
        <w:t xml:space="preserve"> </w:t>
      </w:r>
    </w:p>
    <w:p w:rsidR="00913C6D" w:rsidP="000302C3" w:rsidRDefault="001611E1" w14:paraId="7E8ECE97" w14:textId="46451C9B">
      <w:pPr>
        <w:pStyle w:val="CoL"/>
      </w:pPr>
      <w:r>
        <w:t>The IOUs sh</w:t>
      </w:r>
      <w:r w:rsidR="0061551E">
        <w:t>ould</w:t>
      </w:r>
      <w:r>
        <w:t xml:space="preserve"> seek informal written feedback on their proposal, which should be included in their </w:t>
      </w:r>
      <w:r w:rsidR="0061551E">
        <w:t>a</w:t>
      </w:r>
      <w:r>
        <w:t xml:space="preserve">dvice </w:t>
      </w:r>
      <w:r w:rsidR="0061551E">
        <w:t>l</w:t>
      </w:r>
      <w:r>
        <w:t>etter filing</w:t>
      </w:r>
      <w:r w:rsidR="00782B46">
        <w:t xml:space="preserve"> with an explanation of how the feedback was addressed</w:t>
      </w:r>
      <w:r>
        <w:t>.</w:t>
      </w:r>
    </w:p>
    <w:p w:rsidR="00913C6D" w:rsidP="00DB464E" w:rsidRDefault="00913C6D" w14:paraId="198403D6" w14:textId="5C20E8A7">
      <w:pPr>
        <w:pStyle w:val="CoL"/>
      </w:pPr>
      <w:r>
        <w:t>The IOUs should</w:t>
      </w:r>
      <w:r w:rsidRPr="00287617">
        <w:t xml:space="preserve"> use </w:t>
      </w:r>
      <w:r w:rsidRPr="00287617">
        <w:rPr>
          <w:rFonts w:eastAsia="Aptos" w:cs="Aptos"/>
        </w:rPr>
        <w:t>the methodological lessons and directional findings from EIS</w:t>
      </w:r>
      <w:r w:rsidR="00AD688A">
        <w:rPr>
          <w:rFonts w:eastAsia="Aptos" w:cs="Aptos"/>
        </w:rPr>
        <w:t xml:space="preserve"> Part </w:t>
      </w:r>
      <w:r w:rsidRPr="00287617">
        <w:rPr>
          <w:rFonts w:eastAsia="Aptos" w:cs="Aptos"/>
        </w:rPr>
        <w:t>2 as the analytical foundation</w:t>
      </w:r>
      <w:r>
        <w:rPr>
          <w:rFonts w:eastAsia="Aptos" w:cs="Aptos"/>
        </w:rPr>
        <w:t xml:space="preserve"> for a Load Flexibility Scenario</w:t>
      </w:r>
      <w:r w:rsidR="0061551E">
        <w:rPr>
          <w:rFonts w:eastAsia="Aptos" w:cs="Aptos"/>
        </w:rPr>
        <w:t xml:space="preserve"> proposal</w:t>
      </w:r>
      <w:r w:rsidRPr="00287617">
        <w:rPr>
          <w:rFonts w:eastAsia="Aptos" w:cs="Aptos"/>
        </w:rPr>
        <w:t xml:space="preserve"> </w:t>
      </w:r>
      <w:r w:rsidRPr="00287617">
        <w:t xml:space="preserve">and follow the same staged pathway the Commission used to </w:t>
      </w:r>
      <w:r w:rsidRPr="00D57ADC">
        <w:t xml:space="preserve">establish the scenario planning framework itself: a </w:t>
      </w:r>
      <w:r w:rsidR="00AD688A">
        <w:t>j</w:t>
      </w:r>
      <w:r w:rsidRPr="00D57ADC">
        <w:t xml:space="preserve">oint IOU </w:t>
      </w:r>
      <w:r w:rsidR="0061551E">
        <w:t>a</w:t>
      </w:r>
      <w:r w:rsidRPr="00D57ADC">
        <w:t xml:space="preserve">dvice </w:t>
      </w:r>
      <w:r w:rsidR="0061551E">
        <w:t>l</w:t>
      </w:r>
      <w:r w:rsidRPr="00D57ADC">
        <w:t xml:space="preserve">etter defining </w:t>
      </w:r>
      <w:r w:rsidR="0061551E">
        <w:t xml:space="preserve">both </w:t>
      </w:r>
      <w:r w:rsidRPr="00D57ADC">
        <w:t xml:space="preserve">the technical basis </w:t>
      </w:r>
      <w:r w:rsidR="0061551E">
        <w:t xml:space="preserve">for Load Flexibility Scenario inputs </w:t>
      </w:r>
      <w:r w:rsidRPr="00D57ADC">
        <w:t>and implementation in the subsequent DPEP cycle.</w:t>
      </w:r>
    </w:p>
    <w:p w:rsidRPr="001E2A62" w:rsidR="000302C3" w:rsidP="000302C3" w:rsidRDefault="000302C3" w14:paraId="26F4F2A6" w14:textId="486AB3C6">
      <w:pPr>
        <w:pStyle w:val="CoL"/>
      </w:pPr>
      <w:r>
        <w:lastRenderedPageBreak/>
        <w:t xml:space="preserve">It is reasonable to affirm all </w:t>
      </w:r>
      <w:r w:rsidR="00E87708">
        <w:t xml:space="preserve">Track 1 and Track 2 </w:t>
      </w:r>
      <w:r>
        <w:t xml:space="preserve">rulings made by the assigned ALJ or the assigned Commissioner related to the issues considered in this decision. </w:t>
      </w:r>
    </w:p>
    <w:p w:rsidR="000302C3" w:rsidP="000302C3" w:rsidRDefault="000302C3" w14:paraId="1E0D88F2" w14:textId="36472D55">
      <w:pPr>
        <w:pStyle w:val="CoL"/>
      </w:pPr>
      <w:r>
        <w:t xml:space="preserve">It is reasonable to deny all motions related to </w:t>
      </w:r>
      <w:r w:rsidR="00E87708">
        <w:t xml:space="preserve">Track 1 and Track 2 of this proceeding </w:t>
      </w:r>
      <w:r>
        <w:t>that were not ruled on.</w:t>
      </w:r>
    </w:p>
    <w:p w:rsidRPr="001E2A62" w:rsidR="00940486" w:rsidP="00940486" w:rsidRDefault="00940486" w14:paraId="40CF49E2" w14:textId="77777777">
      <w:pPr>
        <w:pStyle w:val="CoL"/>
        <w:numPr>
          <w:ilvl w:val="0"/>
          <w:numId w:val="0"/>
        </w:numPr>
        <w:ind w:left="547"/>
      </w:pPr>
    </w:p>
    <w:p w:rsidR="00BB0243" w:rsidP="000A6E05" w:rsidRDefault="2D098AA6" w14:paraId="76C61015" w14:textId="77777777">
      <w:pPr>
        <w:pStyle w:val="Mainex"/>
      </w:pPr>
      <w:bookmarkStart w:name="_Toc1084208007" w:id="115"/>
      <w:bookmarkStart w:name="_Toc243991476" w:id="116"/>
      <w:r>
        <w:t>O</w:t>
      </w:r>
      <w:r w:rsidR="5C579AB6">
        <w:t>RDER</w:t>
      </w:r>
      <w:bookmarkEnd w:id="115"/>
      <w:bookmarkEnd w:id="116"/>
    </w:p>
    <w:p w:rsidR="00F85C7D" w:rsidP="00F85C7D" w:rsidRDefault="00BB0243" w14:paraId="6B2A1E34" w14:textId="77777777">
      <w:pPr>
        <w:pStyle w:val="OP"/>
        <w:numPr>
          <w:ilvl w:val="0"/>
          <w:numId w:val="0"/>
        </w:numPr>
        <w:ind w:left="540"/>
      </w:pPr>
      <w:r w:rsidRPr="00BB0243">
        <w:rPr>
          <w:b/>
        </w:rPr>
        <w:t>IT IS ORDERED</w:t>
      </w:r>
      <w:r>
        <w:t xml:space="preserve"> that:</w:t>
      </w:r>
    </w:p>
    <w:p w:rsidR="00A928A5" w:rsidP="006C4559" w:rsidRDefault="00A928A5" w14:paraId="689A5FE7" w14:textId="0C214886">
      <w:pPr>
        <w:pStyle w:val="OP"/>
      </w:pPr>
      <w:r>
        <w:t>Pacific Gas and Electric Company, Southern California Edison Company, and San Diego Gas &amp; Electric Company shall submit</w:t>
      </w:r>
      <w:r w:rsidR="001611E1">
        <w:t xml:space="preserve"> a </w:t>
      </w:r>
      <w:r w:rsidR="003D143A">
        <w:t>J</w:t>
      </w:r>
      <w:r w:rsidR="001611E1">
        <w:t>oint</w:t>
      </w:r>
      <w:r>
        <w:t xml:space="preserve"> </w:t>
      </w:r>
      <w:r w:rsidR="003D143A">
        <w:t>D</w:t>
      </w:r>
      <w:r>
        <w:t xml:space="preserve">istributed </w:t>
      </w:r>
      <w:r w:rsidR="003D143A">
        <w:t>E</w:t>
      </w:r>
      <w:r>
        <w:t xml:space="preserve">nergy </w:t>
      </w:r>
      <w:r w:rsidR="003D143A">
        <w:t>R</w:t>
      </w:r>
      <w:r>
        <w:t xml:space="preserve">esources </w:t>
      </w:r>
      <w:r w:rsidR="003D143A">
        <w:t>O</w:t>
      </w:r>
      <w:r>
        <w:t xml:space="preserve">rchestration </w:t>
      </w:r>
      <w:r w:rsidR="003D143A">
        <w:t>A</w:t>
      </w:r>
      <w:r>
        <w:t>pplication to the Commission within 1</w:t>
      </w:r>
      <w:r w:rsidR="001611E1">
        <w:t>2</w:t>
      </w:r>
      <w:r>
        <w:t xml:space="preserve"> months of the issuance of this decision.</w:t>
      </w:r>
    </w:p>
    <w:p w:rsidR="00782B46" w:rsidP="001073A8" w:rsidRDefault="00782B46" w14:paraId="583D403E" w14:textId="77777777">
      <w:pPr>
        <w:pStyle w:val="OP"/>
        <w:numPr>
          <w:ilvl w:val="0"/>
          <w:numId w:val="0"/>
        </w:numPr>
        <w:ind w:left="540"/>
      </w:pPr>
    </w:p>
    <w:p w:rsidR="003351E5" w:rsidP="006C4559" w:rsidRDefault="001611E1" w14:paraId="52AFBACA" w14:textId="5342E4D5">
      <w:pPr>
        <w:pStyle w:val="OP"/>
      </w:pPr>
      <w:r>
        <w:t>Pacific Gas and Electric Company, Southern California Edison Company, and San Diego Gas &amp; Electric Company</w:t>
      </w:r>
      <w:r w:rsidR="006A7D95">
        <w:t>, the Investor-Owned Utilities (IOUs)</w:t>
      </w:r>
      <w:r>
        <w:t xml:space="preserve"> shall host</w:t>
      </w:r>
      <w:r w:rsidR="001A0B93">
        <w:t xml:space="preserve"> a</w:t>
      </w:r>
      <w:r>
        <w:t xml:space="preserve"> </w:t>
      </w:r>
      <w:r w:rsidR="00035F91">
        <w:t>working group meeting</w:t>
      </w:r>
      <w:r w:rsidR="001A0B93">
        <w:t xml:space="preserve"> serie</w:t>
      </w:r>
      <w:r w:rsidR="00035F91">
        <w:t xml:space="preserve">s to address the topic areas this decision directs </w:t>
      </w:r>
      <w:r w:rsidR="00564320">
        <w:t xml:space="preserve">the utilities to include in a </w:t>
      </w:r>
      <w:r w:rsidR="003D143A">
        <w:t>J</w:t>
      </w:r>
      <w:r w:rsidR="00564320">
        <w:t xml:space="preserve">oint </w:t>
      </w:r>
      <w:r w:rsidR="003D143A">
        <w:t>D</w:t>
      </w:r>
      <w:r w:rsidR="00564320">
        <w:t xml:space="preserve">istributed </w:t>
      </w:r>
      <w:r w:rsidR="003D143A">
        <w:t>E</w:t>
      </w:r>
      <w:r w:rsidR="00564320">
        <w:t xml:space="preserve">nergy </w:t>
      </w:r>
      <w:r w:rsidR="003D143A">
        <w:t>R</w:t>
      </w:r>
      <w:r w:rsidR="00564320">
        <w:t xml:space="preserve">esources </w:t>
      </w:r>
      <w:r w:rsidR="003D143A">
        <w:t>O</w:t>
      </w:r>
      <w:r w:rsidR="00564320">
        <w:t xml:space="preserve">rchestration </w:t>
      </w:r>
      <w:r w:rsidR="003D143A">
        <w:t>A</w:t>
      </w:r>
      <w:r w:rsidR="00564320">
        <w:t>pplication</w:t>
      </w:r>
      <w:r w:rsidR="004D07B4">
        <w:t xml:space="preserve">. </w:t>
      </w:r>
      <w:r w:rsidR="006A7D95">
        <w:t>The IOUs shall</w:t>
      </w:r>
      <w:r w:rsidRPr="006A7D95" w:rsidR="006A7D95">
        <w:t xml:space="preserve"> jointly contract with and fund the working group facilitator</w:t>
      </w:r>
      <w:r w:rsidR="006A7D95">
        <w:t>, after consulting with the</w:t>
      </w:r>
      <w:r w:rsidRPr="006A7D95" w:rsidR="006A7D95">
        <w:t xml:space="preserve"> Energy Division. The facilitator shall consult with Energy Division on progress, milestones, and substantive issues requiring staff attention.</w:t>
      </w:r>
      <w:r w:rsidR="006A7D95">
        <w:t xml:space="preserve"> Topics to be addressed in the working group</w:t>
      </w:r>
      <w:r w:rsidR="003351E5">
        <w:t xml:space="preserve"> include the following:</w:t>
      </w:r>
    </w:p>
    <w:p w:rsidR="002D00A3" w:rsidP="00737CF8" w:rsidRDefault="002D00A3" w14:paraId="0B3F601C" w14:textId="77777777">
      <w:pPr>
        <w:pStyle w:val="CoL"/>
        <w:numPr>
          <w:ilvl w:val="1"/>
          <w:numId w:val="88"/>
        </w:numPr>
      </w:pPr>
      <w:r>
        <w:t>Guiding principles refinement;</w:t>
      </w:r>
    </w:p>
    <w:p w:rsidR="002D00A3" w:rsidP="00737CF8" w:rsidRDefault="002D00A3" w14:paraId="1956C666" w14:textId="77777777">
      <w:pPr>
        <w:pStyle w:val="CoL"/>
        <w:numPr>
          <w:ilvl w:val="1"/>
          <w:numId w:val="88"/>
        </w:numPr>
      </w:pPr>
      <w:r>
        <w:t>Valuation frameworks;</w:t>
      </w:r>
    </w:p>
    <w:p w:rsidR="002D00A3" w:rsidP="00737CF8" w:rsidRDefault="002D00A3" w14:paraId="310601AF" w14:textId="77777777">
      <w:pPr>
        <w:pStyle w:val="CoL"/>
        <w:numPr>
          <w:ilvl w:val="1"/>
          <w:numId w:val="88"/>
        </w:numPr>
      </w:pPr>
      <w:r>
        <w:t>Cost effectiveness and benefit-cost methodologies;</w:t>
      </w:r>
    </w:p>
    <w:p w:rsidR="002D00A3" w:rsidP="00737CF8" w:rsidRDefault="002D00A3" w14:paraId="4E7B6D1E" w14:textId="77777777">
      <w:pPr>
        <w:pStyle w:val="CoL"/>
        <w:numPr>
          <w:ilvl w:val="1"/>
          <w:numId w:val="88"/>
        </w:numPr>
      </w:pPr>
      <w:r>
        <w:t>Interoperability, DSO visibility, and dispatch and control;</w:t>
      </w:r>
    </w:p>
    <w:p w:rsidR="002D00A3" w:rsidP="00737CF8" w:rsidRDefault="002D00A3" w14:paraId="7015E9DE" w14:textId="77777777">
      <w:pPr>
        <w:pStyle w:val="CoL"/>
        <w:numPr>
          <w:ilvl w:val="1"/>
          <w:numId w:val="88"/>
        </w:numPr>
      </w:pPr>
      <w:r>
        <w:lastRenderedPageBreak/>
        <w:t>Role of DER aggregators;</w:t>
      </w:r>
    </w:p>
    <w:p w:rsidR="002D00A3" w:rsidP="00737CF8" w:rsidRDefault="002D00A3" w14:paraId="13B9DEEA" w14:textId="77777777">
      <w:pPr>
        <w:pStyle w:val="CoL"/>
        <w:numPr>
          <w:ilvl w:val="1"/>
          <w:numId w:val="88"/>
        </w:numPr>
      </w:pPr>
      <w:r>
        <w:t>Flexible dispatching mechanisms;</w:t>
      </w:r>
    </w:p>
    <w:p w:rsidR="002D00A3" w:rsidP="00737CF8" w:rsidRDefault="002D00A3" w14:paraId="5CA974D2" w14:textId="77777777">
      <w:pPr>
        <w:pStyle w:val="CoL"/>
        <w:numPr>
          <w:ilvl w:val="1"/>
          <w:numId w:val="88"/>
        </w:numPr>
      </w:pPr>
      <w:r>
        <w:t>IOU technical readiness;</w:t>
      </w:r>
    </w:p>
    <w:p w:rsidR="002D00A3" w:rsidP="00737CF8" w:rsidRDefault="002D00A3" w14:paraId="6BF396DF" w14:textId="77777777">
      <w:pPr>
        <w:pStyle w:val="CoL"/>
        <w:numPr>
          <w:ilvl w:val="1"/>
          <w:numId w:val="88"/>
        </w:numPr>
      </w:pPr>
      <w:r>
        <w:t>Ownership of technology;</w:t>
      </w:r>
    </w:p>
    <w:p w:rsidR="002D00A3" w:rsidP="00737CF8" w:rsidRDefault="002D00A3" w14:paraId="7AEFC924" w14:textId="77777777">
      <w:pPr>
        <w:pStyle w:val="CoL"/>
        <w:numPr>
          <w:ilvl w:val="1"/>
          <w:numId w:val="88"/>
        </w:numPr>
      </w:pPr>
      <w:r>
        <w:t>Phased implementation and deployment;</w:t>
      </w:r>
    </w:p>
    <w:p w:rsidR="00782B46" w:rsidP="00737CF8" w:rsidRDefault="002D00A3" w14:paraId="0A5AC987" w14:textId="77777777">
      <w:pPr>
        <w:pStyle w:val="CoL"/>
        <w:numPr>
          <w:ilvl w:val="1"/>
          <w:numId w:val="88"/>
        </w:numPr>
      </w:pPr>
      <w:r>
        <w:t>DER orchestration and real-time pricing</w:t>
      </w:r>
      <w:r w:rsidR="00782B46">
        <w:t>;</w:t>
      </w:r>
    </w:p>
    <w:p w:rsidRPr="007E52B6" w:rsidR="00782B46" w:rsidP="00782B46" w:rsidRDefault="00782B46" w14:paraId="32939619" w14:textId="77777777">
      <w:pPr>
        <w:pStyle w:val="CoL"/>
        <w:numPr>
          <w:ilvl w:val="1"/>
          <w:numId w:val="88"/>
        </w:numPr>
      </w:pPr>
      <w:r w:rsidRPr="007E52B6">
        <w:rPr>
          <w:rFonts w:eastAsia="Book Antiqua" w:cs="Book Antiqua"/>
        </w:rPr>
        <w:t>Fair and non-discriminatory participation for utility and non-utility DER providers, and IOU conflict of interest and market power concerns;</w:t>
      </w:r>
    </w:p>
    <w:p w:rsidRPr="00A11A5D" w:rsidR="00782B46" w:rsidP="00782B46" w:rsidRDefault="00782B46" w14:paraId="62F21AD1" w14:textId="77777777">
      <w:pPr>
        <w:pStyle w:val="CoL"/>
        <w:numPr>
          <w:ilvl w:val="1"/>
          <w:numId w:val="88"/>
        </w:numPr>
      </w:pPr>
      <w:r w:rsidRPr="007E52B6">
        <w:rPr>
          <w:rFonts w:eastAsia="Book Antiqua" w:cs="Book Antiqua"/>
        </w:rPr>
        <w:t>DSO performance measurement, monitoring, and accountability.</w:t>
      </w:r>
    </w:p>
    <w:p w:rsidR="003351E5" w:rsidP="001073A8" w:rsidRDefault="003351E5" w14:paraId="77C0510D" w14:textId="4851A4E8">
      <w:pPr>
        <w:pStyle w:val="CoL"/>
        <w:numPr>
          <w:ilvl w:val="0"/>
          <w:numId w:val="0"/>
        </w:numPr>
        <w:ind w:left="1440"/>
      </w:pPr>
    </w:p>
    <w:p w:rsidR="001611E1" w:rsidP="006C4559" w:rsidRDefault="006A7D95" w14:paraId="47ECBB92" w14:textId="29AD8DA2">
      <w:pPr>
        <w:pStyle w:val="OP"/>
      </w:pPr>
      <w:r>
        <w:t>Pacific Gas and Electric Company, Southern California Edison Company, and San Diego Gas &amp; Electric Company, collectively the Investor-Owned Utilities (IOUs),</w:t>
      </w:r>
      <w:r w:rsidRPr="00A86C5B">
        <w:t xml:space="preserve"> </w:t>
      </w:r>
      <w:r>
        <w:t xml:space="preserve">shall retain the working group facilitator within one month of the issuance of this decision. </w:t>
      </w:r>
      <w:r w:rsidRPr="006A7D95">
        <w:t xml:space="preserve">Within two months, the IOUs and </w:t>
      </w:r>
      <w:r w:rsidR="003225B0">
        <w:t xml:space="preserve">the </w:t>
      </w:r>
      <w:r w:rsidRPr="006A7D95">
        <w:t>facilitator shall finalize the scope of work,</w:t>
      </w:r>
      <w:r>
        <w:t xml:space="preserve"> after consulting with the Energy Division</w:t>
      </w:r>
      <w:r w:rsidR="00782B46">
        <w:t xml:space="preserve"> and working group participants</w:t>
      </w:r>
      <w:r>
        <w:t xml:space="preserve">. </w:t>
      </w:r>
      <w:r w:rsidRPr="00A86C5B" w:rsidR="00A86C5B">
        <w:t xml:space="preserve">The </w:t>
      </w:r>
      <w:r w:rsidR="00A86C5B">
        <w:t xml:space="preserve">working group </w:t>
      </w:r>
      <w:r w:rsidRPr="00A86C5B" w:rsidR="00A86C5B">
        <w:t xml:space="preserve">consultant shall prepare a draft report within eight months and a final report within </w:t>
      </w:r>
      <w:r w:rsidR="00A86C5B">
        <w:t>10</w:t>
      </w:r>
      <w:r w:rsidRPr="00A86C5B" w:rsidR="00A86C5B">
        <w:t xml:space="preserve"> months of issuance of this decision, consistent with Section 4.2.1.</w:t>
      </w:r>
      <w:r w:rsidR="00A86C5B">
        <w:t xml:space="preserve"> Pacific Gas and Electric Company, Southern California Edison Company, and San Diego Gas &amp; Electric Company</w:t>
      </w:r>
      <w:r w:rsidRPr="00A86C5B" w:rsidR="00A86C5B">
        <w:t xml:space="preserve"> shall include the final report</w:t>
      </w:r>
      <w:r w:rsidR="00A86C5B">
        <w:t>,</w:t>
      </w:r>
      <w:r w:rsidRPr="00A86C5B" w:rsidR="00A86C5B">
        <w:t xml:space="preserve"> </w:t>
      </w:r>
      <w:r w:rsidR="00A86C5B">
        <w:t xml:space="preserve">which will consider the comments on the informal report, as an attachment to the Joint Investor-Owned Utilities Distributed Energy Resources Orchestration Application. </w:t>
      </w:r>
      <w:r w:rsidRPr="006A7D95">
        <w:t xml:space="preserve">The joint application shall explain how </w:t>
      </w:r>
      <w:r w:rsidR="00782B46">
        <w:t>working group</w:t>
      </w:r>
      <w:r w:rsidRPr="006A7D95">
        <w:t xml:space="preserve"> recommendations informed its proposals.</w:t>
      </w:r>
      <w:r w:rsidRPr="006A7D95" w:rsidDel="00A86C5B">
        <w:t xml:space="preserve"> </w:t>
      </w:r>
    </w:p>
    <w:p w:rsidR="00597985" w:rsidP="006C4559" w:rsidRDefault="00597985" w14:paraId="1B21177F" w14:textId="2F2A8350">
      <w:pPr>
        <w:pStyle w:val="OP"/>
      </w:pPr>
      <w:r>
        <w:lastRenderedPageBreak/>
        <w:t>T</w:t>
      </w:r>
      <w:r w:rsidRPr="00597985">
        <w:t>he working group</w:t>
      </w:r>
      <w:r>
        <w:t xml:space="preserve"> meeting series</w:t>
      </w:r>
      <w:r w:rsidRPr="00597985">
        <w:t xml:space="preserve"> and joint application shall address and include the primary objectives of </w:t>
      </w:r>
      <w:r>
        <w:t>distributed energy resource</w:t>
      </w:r>
      <w:r w:rsidR="00A3563B">
        <w:t>s</w:t>
      </w:r>
      <w:r>
        <w:t xml:space="preserve"> o</w:t>
      </w:r>
      <w:r w:rsidRPr="00597985">
        <w:t>rchestration as set forth in th</w:t>
      </w:r>
      <w:r w:rsidR="00623BAC">
        <w:t>is</w:t>
      </w:r>
      <w:r w:rsidRPr="00597985">
        <w:t xml:space="preserve"> decision.</w:t>
      </w:r>
    </w:p>
    <w:p w:rsidR="006C4559" w:rsidP="006C4559" w:rsidRDefault="5EC191BB" w14:paraId="45CEAB7F" w14:textId="55AC06F3">
      <w:pPr>
        <w:pStyle w:val="OP"/>
      </w:pPr>
      <w:r>
        <w:t xml:space="preserve">Pacific Gas and Electric Company, Southern California Edison Company, and San Diego Gas &amp; Electric Company are ordered to </w:t>
      </w:r>
      <w:r w:rsidR="0258EC29">
        <w:t>define and justify</w:t>
      </w:r>
      <w:r>
        <w:t xml:space="preserve"> </w:t>
      </w:r>
      <w:r w:rsidR="51C74462">
        <w:t xml:space="preserve">in their </w:t>
      </w:r>
      <w:r w:rsidR="00623BAC">
        <w:t>J</w:t>
      </w:r>
      <w:r w:rsidR="00315092">
        <w:t xml:space="preserve">oint </w:t>
      </w:r>
      <w:r w:rsidR="00623BAC">
        <w:t>D</w:t>
      </w:r>
      <w:r w:rsidR="446DA81D">
        <w:t xml:space="preserve">istributed </w:t>
      </w:r>
      <w:r w:rsidR="00623BAC">
        <w:t>E</w:t>
      </w:r>
      <w:r w:rsidR="446DA81D">
        <w:t xml:space="preserve">nergy </w:t>
      </w:r>
      <w:r w:rsidR="00623BAC">
        <w:t>R</w:t>
      </w:r>
      <w:r w:rsidR="446DA81D">
        <w:t>esources (DER</w:t>
      </w:r>
      <w:r w:rsidR="02583F9F">
        <w:t>)</w:t>
      </w:r>
      <w:r w:rsidR="446DA81D">
        <w:t xml:space="preserve"> </w:t>
      </w:r>
      <w:r w:rsidR="00623BAC">
        <w:t>O</w:t>
      </w:r>
      <w:r w:rsidR="446DA81D">
        <w:t xml:space="preserve">rchestration </w:t>
      </w:r>
      <w:r w:rsidR="00623BAC">
        <w:t>A</w:t>
      </w:r>
      <w:r w:rsidR="446DA81D">
        <w:t>pplication</w:t>
      </w:r>
      <w:r>
        <w:t xml:space="preserve"> the </w:t>
      </w:r>
      <w:r w:rsidR="2E5A16B4">
        <w:t>proposed</w:t>
      </w:r>
      <w:r>
        <w:t xml:space="preserve"> grid services that DERs will provide, such as reliability, </w:t>
      </w:r>
      <w:r w:rsidR="493D9980">
        <w:t xml:space="preserve">distribution capacity, </w:t>
      </w:r>
      <w:r>
        <w:t xml:space="preserve">outage </w:t>
      </w:r>
      <w:r w:rsidR="7C88915C">
        <w:t xml:space="preserve">mitigation or </w:t>
      </w:r>
      <w:r w:rsidR="04C4F3D6">
        <w:t>avoidance</w:t>
      </w:r>
      <w:r>
        <w:t>, infrastructure deferral, and electrification support.</w:t>
      </w:r>
    </w:p>
    <w:p w:rsidR="006C4559" w:rsidP="006C4559" w:rsidRDefault="006C4559" w14:paraId="2496138F" w14:textId="1F7551EC">
      <w:pPr>
        <w:pStyle w:val="OP"/>
      </w:pPr>
      <w:r>
        <w:t xml:space="preserve">Pacific Gas and Electric Company, Southern California Edison Company, and San Diego Gas &amp; Electric Company, collectively the Investor-Owned Utilities (IOUs), are ordered </w:t>
      </w:r>
      <w:r w:rsidR="00135B9C">
        <w:t>t</w:t>
      </w:r>
      <w:r>
        <w:t xml:space="preserve">o </w:t>
      </w:r>
      <w:r w:rsidR="2332F50A">
        <w:t xml:space="preserve">link each grid service proposed in their </w:t>
      </w:r>
      <w:r w:rsidR="003D143A">
        <w:t>J</w:t>
      </w:r>
      <w:r w:rsidR="00D108AD">
        <w:t xml:space="preserve">oint </w:t>
      </w:r>
      <w:r w:rsidR="003D143A">
        <w:t>D</w:t>
      </w:r>
      <w:r w:rsidR="00A3563B">
        <w:t xml:space="preserve">istributed </w:t>
      </w:r>
      <w:r w:rsidR="003D143A">
        <w:t>E</w:t>
      </w:r>
      <w:r w:rsidR="00A3563B">
        <w:t xml:space="preserve">nergy </w:t>
      </w:r>
      <w:r w:rsidR="003D143A">
        <w:t>R</w:t>
      </w:r>
      <w:r w:rsidR="00A3563B">
        <w:t>esources (</w:t>
      </w:r>
      <w:r w:rsidR="2332F50A">
        <w:t>DER</w:t>
      </w:r>
      <w:r w:rsidR="00A3563B">
        <w:t>)</w:t>
      </w:r>
      <w:r w:rsidR="2332F50A">
        <w:t xml:space="preserve"> </w:t>
      </w:r>
      <w:r w:rsidR="003D143A">
        <w:t>O</w:t>
      </w:r>
      <w:r w:rsidR="2332F50A">
        <w:t xml:space="preserve">rchestration </w:t>
      </w:r>
      <w:r w:rsidR="003D143A">
        <w:t>A</w:t>
      </w:r>
      <w:r w:rsidR="2332F50A">
        <w:t>pplication to specific system or distribution needs</w:t>
      </w:r>
      <w:r w:rsidR="05A19C3A">
        <w:t xml:space="preserve"> and explain how these needs were identified</w:t>
      </w:r>
      <w:r w:rsidR="2332F50A">
        <w:t>.</w:t>
      </w:r>
      <w:r w:rsidR="493202AC">
        <w:t xml:space="preserve"> </w:t>
      </w:r>
      <w:r>
        <w:t xml:space="preserve">The </w:t>
      </w:r>
      <w:r w:rsidRPr="00A37163">
        <w:t xml:space="preserve">IOUs </w:t>
      </w:r>
      <w:r>
        <w:t>are ordered to</w:t>
      </w:r>
      <w:r w:rsidRPr="00A37163">
        <w:t xml:space="preserve"> identify where DER flexibility can provide dependable distribution capacity and whether grid-utilization analysis can be used to identify locations where DER </w:t>
      </w:r>
      <w:r>
        <w:t>o</w:t>
      </w:r>
      <w:r w:rsidRPr="00A37163">
        <w:t>rchestration can effectively address distribution-system needs.</w:t>
      </w:r>
      <w:r>
        <w:t xml:space="preserve"> </w:t>
      </w:r>
      <w:r w:rsidRPr="00A86C5B" w:rsidR="00A86C5B">
        <w:t>For use cases addressing localized distribution-equipment loading, the IOUs shall describe the relevant equipment constraints, including service transformers and secondary distribution assets where applicable, and explain how the proposed DER response would address those constraints. The analysis shall consider the timing of equipment loading, which may differ from the overall system peak.</w:t>
      </w:r>
    </w:p>
    <w:p w:rsidR="006C4559" w:rsidP="006C4559" w:rsidRDefault="006C4559" w14:paraId="3F10780C" w14:textId="2EA968CC">
      <w:pPr>
        <w:pStyle w:val="OP"/>
      </w:pPr>
      <w:r>
        <w:t xml:space="preserve">Pacific Gas and Electric Company, Southern California Edison Company, and San Diego Gas &amp; Electric Company are ordered to </w:t>
      </w:r>
      <w:r w:rsidR="66D5EBD7">
        <w:t xml:space="preserve">consider </w:t>
      </w:r>
      <w:r w:rsidRPr="00FC193C">
        <w:t xml:space="preserve">thermal overloads, customer energization and interconnection delays, </w:t>
      </w:r>
      <w:r w:rsidR="00A86C5B">
        <w:t xml:space="preserve">localized distribution-equipment loading, </w:t>
      </w:r>
      <w:r w:rsidRPr="00FC193C">
        <w:t>system peak loading, and voltage deviations</w:t>
      </w:r>
      <w:r>
        <w:t xml:space="preserve"> as </w:t>
      </w:r>
      <w:r>
        <w:lastRenderedPageBreak/>
        <w:t xml:space="preserve">primary grid constraints that </w:t>
      </w:r>
      <w:r w:rsidR="76D77FEB">
        <w:t xml:space="preserve">may be addressed through </w:t>
      </w:r>
      <w:r w:rsidR="00A3563B">
        <w:t>distributed energy resources</w:t>
      </w:r>
      <w:r w:rsidR="76D77FEB">
        <w:t xml:space="preserve"> orchestration</w:t>
      </w:r>
      <w:r w:rsidR="18D7EF7C">
        <w:t xml:space="preserve"> in their formal application</w:t>
      </w:r>
      <w:r w:rsidR="76D77FEB">
        <w:t xml:space="preserve">. </w:t>
      </w:r>
    </w:p>
    <w:p w:rsidR="006C4559" w:rsidP="006C4559" w:rsidRDefault="5EC191BB" w14:paraId="75DA42C4" w14:textId="034BD67D">
      <w:pPr>
        <w:pStyle w:val="OP"/>
      </w:pPr>
      <w:r>
        <w:t>Pacific Gas and Electric Company, Southern California Edison Company, and San Diego Gas &amp; Electric Company are ordered to follow 1</w:t>
      </w:r>
      <w:r w:rsidR="0A95697D">
        <w:t>1</w:t>
      </w:r>
      <w:r>
        <w:t xml:space="preserve"> guiding principles as part of their distributed energy resources orchestration applications: </w:t>
      </w:r>
    </w:p>
    <w:p w:rsidRPr="00455932" w:rsidR="006C4559" w:rsidP="0066381B" w:rsidRDefault="004B2FE7" w14:paraId="5140544F" w14:textId="1954D824">
      <w:pPr>
        <w:pStyle w:val="CoL"/>
        <w:numPr>
          <w:ilvl w:val="0"/>
          <w:numId w:val="76"/>
        </w:numPr>
        <w:spacing w:after="120" w:line="240" w:lineRule="auto"/>
        <w:ind w:left="1080" w:right="1440"/>
      </w:pPr>
      <w:r>
        <w:rPr>
          <w:szCs w:val="26"/>
        </w:rPr>
        <w:t xml:space="preserve">Net </w:t>
      </w:r>
      <w:r w:rsidRPr="00455932" w:rsidR="006C4559">
        <w:rPr>
          <w:szCs w:val="26"/>
        </w:rPr>
        <w:t>Ratepayer benefit</w:t>
      </w:r>
      <w:r>
        <w:rPr>
          <w:szCs w:val="26"/>
        </w:rPr>
        <w:t>s</w:t>
      </w:r>
      <w:r w:rsidR="00D108AD">
        <w:rPr>
          <w:szCs w:val="26"/>
        </w:rPr>
        <w:t>;</w:t>
      </w:r>
      <w:r w:rsidRPr="00455932" w:rsidR="006C4559">
        <w:rPr>
          <w:szCs w:val="26"/>
        </w:rPr>
        <w:t xml:space="preserve"> </w:t>
      </w:r>
    </w:p>
    <w:p w:rsidR="006C4559" w:rsidP="0066381B" w:rsidRDefault="006C4559" w14:paraId="2BEF4553" w14:textId="5D1B0DE3">
      <w:pPr>
        <w:pStyle w:val="Standard"/>
        <w:numPr>
          <w:ilvl w:val="0"/>
          <w:numId w:val="40"/>
        </w:numPr>
        <w:spacing w:after="120" w:line="240" w:lineRule="auto"/>
        <w:ind w:left="1080" w:right="1440"/>
        <w:jc w:val="both"/>
        <w:rPr>
          <w:szCs w:val="26"/>
        </w:rPr>
      </w:pPr>
      <w:r w:rsidRPr="00614F00">
        <w:rPr>
          <w:szCs w:val="26"/>
        </w:rPr>
        <w:t>Technology-neutral, performance-based</w:t>
      </w:r>
      <w:r w:rsidR="00D108AD">
        <w:rPr>
          <w:szCs w:val="26"/>
        </w:rPr>
        <w:t>;</w:t>
      </w:r>
      <w:r w:rsidRPr="00614F00">
        <w:rPr>
          <w:szCs w:val="26"/>
        </w:rPr>
        <w:t xml:space="preserve"> </w:t>
      </w:r>
    </w:p>
    <w:p w:rsidR="006C4559" w:rsidP="0066381B" w:rsidRDefault="006C4559" w14:paraId="154346D7" w14:textId="1BFBF000">
      <w:pPr>
        <w:pStyle w:val="Standard"/>
        <w:numPr>
          <w:ilvl w:val="0"/>
          <w:numId w:val="40"/>
        </w:numPr>
        <w:spacing w:after="120" w:line="240" w:lineRule="auto"/>
        <w:ind w:left="1080" w:right="1440"/>
        <w:jc w:val="both"/>
        <w:rPr>
          <w:szCs w:val="26"/>
        </w:rPr>
      </w:pPr>
      <w:r w:rsidRPr="00614F00">
        <w:rPr>
          <w:szCs w:val="26"/>
        </w:rPr>
        <w:t>Locational and temporal value recognition</w:t>
      </w:r>
      <w:r w:rsidR="00D108AD">
        <w:rPr>
          <w:szCs w:val="26"/>
        </w:rPr>
        <w:t>;</w:t>
      </w:r>
      <w:r w:rsidRPr="00614F00">
        <w:rPr>
          <w:szCs w:val="26"/>
        </w:rPr>
        <w:t xml:space="preserve"> </w:t>
      </w:r>
    </w:p>
    <w:p w:rsidR="006C4559" w:rsidP="0066381B" w:rsidRDefault="006C4559" w14:paraId="510156BC" w14:textId="5DAB06E3">
      <w:pPr>
        <w:pStyle w:val="Standard"/>
        <w:numPr>
          <w:ilvl w:val="0"/>
          <w:numId w:val="40"/>
        </w:numPr>
        <w:spacing w:after="120" w:line="240" w:lineRule="auto"/>
        <w:ind w:left="1080" w:right="1440"/>
        <w:jc w:val="both"/>
        <w:rPr>
          <w:szCs w:val="26"/>
        </w:rPr>
      </w:pPr>
      <w:r w:rsidRPr="00614F00">
        <w:rPr>
          <w:szCs w:val="26"/>
        </w:rPr>
        <w:t>Efficient operation of the grid</w:t>
      </w:r>
      <w:r w:rsidR="00C3721F">
        <w:rPr>
          <w:szCs w:val="26"/>
        </w:rPr>
        <w:t>;</w:t>
      </w:r>
    </w:p>
    <w:p w:rsidR="006C4559" w:rsidP="0066381B" w:rsidRDefault="006C4559" w14:paraId="3B693FB7" w14:textId="0F7028B1">
      <w:pPr>
        <w:pStyle w:val="Standard"/>
        <w:numPr>
          <w:ilvl w:val="0"/>
          <w:numId w:val="40"/>
        </w:numPr>
        <w:spacing w:after="120" w:line="240" w:lineRule="auto"/>
        <w:ind w:left="1080" w:right="1440"/>
        <w:jc w:val="both"/>
      </w:pPr>
      <w:r>
        <w:t xml:space="preserve">Open access and </w:t>
      </w:r>
      <w:r w:rsidR="74F6CB33">
        <w:t>i</w:t>
      </w:r>
      <w:r>
        <w:t>nteroperability</w:t>
      </w:r>
      <w:r w:rsidR="00C3721F">
        <w:t>;</w:t>
      </w:r>
      <w:r>
        <w:t xml:space="preserve"> </w:t>
      </w:r>
    </w:p>
    <w:p w:rsidR="006C4559" w:rsidP="0066381B" w:rsidRDefault="006C4559" w14:paraId="4FBE2C04" w14:textId="25DD67C0">
      <w:pPr>
        <w:pStyle w:val="Standard"/>
        <w:numPr>
          <w:ilvl w:val="0"/>
          <w:numId w:val="40"/>
        </w:numPr>
        <w:spacing w:after="120" w:line="240" w:lineRule="auto"/>
        <w:ind w:left="1080" w:right="1440"/>
        <w:jc w:val="both"/>
        <w:rPr>
          <w:szCs w:val="26"/>
        </w:rPr>
      </w:pPr>
      <w:r w:rsidRPr="00614F00">
        <w:rPr>
          <w:szCs w:val="26"/>
        </w:rPr>
        <w:t>Transparent participation pathways and compensation</w:t>
      </w:r>
      <w:r w:rsidR="00C3721F">
        <w:rPr>
          <w:szCs w:val="26"/>
        </w:rPr>
        <w:t>;</w:t>
      </w:r>
      <w:r w:rsidRPr="00614F00">
        <w:rPr>
          <w:szCs w:val="26"/>
        </w:rPr>
        <w:t xml:space="preserve"> </w:t>
      </w:r>
    </w:p>
    <w:p w:rsidR="006C4559" w:rsidP="0066381B" w:rsidRDefault="006C4559" w14:paraId="4DAB7BCE" w14:textId="2DF7953C">
      <w:pPr>
        <w:pStyle w:val="Standard"/>
        <w:numPr>
          <w:ilvl w:val="0"/>
          <w:numId w:val="40"/>
        </w:numPr>
        <w:spacing w:after="120" w:line="240" w:lineRule="auto"/>
        <w:ind w:left="1080" w:right="1440"/>
        <w:jc w:val="both"/>
        <w:rPr>
          <w:szCs w:val="26"/>
        </w:rPr>
      </w:pPr>
      <w:r w:rsidRPr="00614F00">
        <w:rPr>
          <w:szCs w:val="26"/>
        </w:rPr>
        <w:t>Incremental, evidence-based implementation</w:t>
      </w:r>
      <w:r w:rsidR="00C3721F">
        <w:rPr>
          <w:szCs w:val="26"/>
        </w:rPr>
        <w:t>;</w:t>
      </w:r>
    </w:p>
    <w:p w:rsidR="006C4559" w:rsidP="0066381B" w:rsidRDefault="006C4559" w14:paraId="46B96C52" w14:textId="6DF2B0FF">
      <w:pPr>
        <w:pStyle w:val="Standard"/>
        <w:numPr>
          <w:ilvl w:val="0"/>
          <w:numId w:val="40"/>
        </w:numPr>
        <w:spacing w:after="120" w:line="240" w:lineRule="auto"/>
        <w:ind w:left="1080" w:right="1440"/>
        <w:jc w:val="both"/>
      </w:pPr>
      <w:r>
        <w:t>Equity and customer protection</w:t>
      </w:r>
      <w:r w:rsidR="00C3721F">
        <w:t>;</w:t>
      </w:r>
    </w:p>
    <w:p w:rsidR="006C4559" w:rsidP="0066381B" w:rsidRDefault="006C4559" w14:paraId="527D6180" w14:textId="3F52120A">
      <w:pPr>
        <w:pStyle w:val="Standard"/>
        <w:numPr>
          <w:ilvl w:val="0"/>
          <w:numId w:val="40"/>
        </w:numPr>
        <w:spacing w:after="120" w:line="240" w:lineRule="auto"/>
        <w:ind w:left="1080" w:right="1440"/>
        <w:jc w:val="both"/>
        <w:rPr>
          <w:szCs w:val="26"/>
        </w:rPr>
      </w:pPr>
      <w:r w:rsidRPr="00614F00">
        <w:rPr>
          <w:szCs w:val="26"/>
        </w:rPr>
        <w:t>Cyber-secure and resilient</w:t>
      </w:r>
      <w:r w:rsidR="00C3721F">
        <w:rPr>
          <w:szCs w:val="26"/>
        </w:rPr>
        <w:t>;</w:t>
      </w:r>
    </w:p>
    <w:p w:rsidR="006C4559" w:rsidP="0066381B" w:rsidRDefault="006C4559" w14:paraId="2F1251EE" w14:textId="791ACD63">
      <w:pPr>
        <w:pStyle w:val="Standard"/>
        <w:numPr>
          <w:ilvl w:val="0"/>
          <w:numId w:val="40"/>
        </w:numPr>
        <w:spacing w:after="120" w:line="240" w:lineRule="auto"/>
        <w:ind w:left="1080" w:right="1440"/>
        <w:jc w:val="both"/>
        <w:rPr>
          <w:szCs w:val="26"/>
        </w:rPr>
      </w:pPr>
      <w:r w:rsidRPr="00614F00">
        <w:rPr>
          <w:szCs w:val="26"/>
        </w:rPr>
        <w:t>Preventing double compensation</w:t>
      </w:r>
      <w:r w:rsidR="00C3721F">
        <w:rPr>
          <w:szCs w:val="26"/>
        </w:rPr>
        <w:t>; and</w:t>
      </w:r>
    </w:p>
    <w:p w:rsidRPr="00455932" w:rsidR="006C4559" w:rsidP="0066381B" w:rsidRDefault="006C4559" w14:paraId="6CDDD68C" w14:textId="1577611A">
      <w:pPr>
        <w:pStyle w:val="Standard"/>
        <w:numPr>
          <w:ilvl w:val="0"/>
          <w:numId w:val="40"/>
        </w:numPr>
        <w:spacing w:after="120" w:line="240" w:lineRule="auto"/>
        <w:ind w:left="1080" w:right="1440"/>
        <w:jc w:val="both"/>
        <w:rPr>
          <w:szCs w:val="26"/>
        </w:rPr>
      </w:pPr>
      <w:r>
        <w:t>Safe and reliable grid operation</w:t>
      </w:r>
      <w:r w:rsidR="00C3721F">
        <w:t>.</w:t>
      </w:r>
    </w:p>
    <w:p w:rsidR="006C4559" w:rsidP="006C4559" w:rsidRDefault="493202AC" w14:paraId="6DE8F6E3" w14:textId="7CF2E87D">
      <w:pPr>
        <w:pStyle w:val="OP"/>
      </w:pPr>
      <w:r>
        <w:t xml:space="preserve"> </w:t>
      </w:r>
      <w:r w:rsidR="00B02D9F">
        <w:t xml:space="preserve">As part of the working group meeting series, or in addition, </w:t>
      </w:r>
      <w:r w:rsidRPr="051441C4" w:rsidR="2F7B4F2A">
        <w:t>Pacific Gas and Electric Company, Southern California Edison Company, and San Diego Gas &amp; Electric Company</w:t>
      </w:r>
      <w:r w:rsidR="00623BAC">
        <w:t>, collectively the Investor-Owned Utilities (IOUs)</w:t>
      </w:r>
      <w:r w:rsidRPr="051441C4" w:rsidR="2F7B4F2A">
        <w:t xml:space="preserve"> shall jointly convene at least one pre-application stakeholder workshop during the period between </w:t>
      </w:r>
      <w:r w:rsidR="00BE6EA9">
        <w:t>issuance of the draft working group report</w:t>
      </w:r>
      <w:r w:rsidRPr="051441C4" w:rsidR="2F7B4F2A">
        <w:t xml:space="preserve"> and the application filing deadline. In consultation with Energy Division, the IOUs may conduct additional joint or utility-specific public engagement as needed. Such engagement shall occur sufficiently early to inform application development without delaying the application filing deadline established by this decision.</w:t>
      </w:r>
      <w:r w:rsidRPr="006A7D95" w:rsidR="006A7D95">
        <w:t xml:space="preserve"> </w:t>
      </w:r>
      <w:r w:rsidR="006A7D95">
        <w:br/>
        <w:t xml:space="preserve">The </w:t>
      </w:r>
      <w:r w:rsidRPr="006A7D95" w:rsidR="006A7D95">
        <w:t xml:space="preserve">joint pre-application workshop shall occur within ten months of issuance of this decision, after publication of the final working group report, and sufficiently </w:t>
      </w:r>
      <w:r w:rsidRPr="006A7D95" w:rsidR="006A7D95">
        <w:lastRenderedPageBreak/>
        <w:t>early to allow stakeholder feedback on the common framework and utility-specific implementation proposals to inform the IOUs’ application filings</w:t>
      </w:r>
      <w:r w:rsidR="006A7D95">
        <w:t>.</w:t>
      </w:r>
    </w:p>
    <w:p w:rsidR="006C4559" w:rsidP="006C4559" w:rsidRDefault="55AEC55B" w14:paraId="6C7E3070" w14:textId="7FDEDDF9">
      <w:pPr>
        <w:pStyle w:val="OP"/>
      </w:pPr>
      <w:r>
        <w:t xml:space="preserve">Pacific Gas and Electric Company, Southern California Edison Company, and San Diego Gas &amp; Electric Company are ordered to propose and justify in their </w:t>
      </w:r>
      <w:r w:rsidR="00623BAC">
        <w:t>J</w:t>
      </w:r>
      <w:r w:rsidR="00C3721F">
        <w:t xml:space="preserve">oint </w:t>
      </w:r>
      <w:r w:rsidR="00623BAC">
        <w:t>D</w:t>
      </w:r>
      <w:r w:rsidR="00C3721F">
        <w:t xml:space="preserve">istributed </w:t>
      </w:r>
      <w:r w:rsidR="00623BAC">
        <w:t>E</w:t>
      </w:r>
      <w:r w:rsidR="00C3721F">
        <w:t xml:space="preserve">nergy </w:t>
      </w:r>
      <w:r w:rsidR="00623BAC">
        <w:t>R</w:t>
      </w:r>
      <w:r w:rsidR="00C3721F">
        <w:t>esources (</w:t>
      </w:r>
      <w:r>
        <w:t>DER</w:t>
      </w:r>
      <w:r w:rsidR="00C3721F">
        <w:t>)</w:t>
      </w:r>
      <w:r>
        <w:t xml:space="preserve"> </w:t>
      </w:r>
      <w:r w:rsidR="00623BAC">
        <w:t>O</w:t>
      </w:r>
      <w:r>
        <w:t xml:space="preserve">rchestration </w:t>
      </w:r>
      <w:r w:rsidR="00623BAC">
        <w:t>A</w:t>
      </w:r>
      <w:r>
        <w:t xml:space="preserve">pplication valuation methodologies to assess </w:t>
      </w:r>
      <w:r w:rsidR="6D552323">
        <w:t>the value of</w:t>
      </w:r>
      <w:r>
        <w:t xml:space="preserve"> </w:t>
      </w:r>
      <w:r w:rsidR="1E3FBC85">
        <w:t xml:space="preserve">each </w:t>
      </w:r>
      <w:r>
        <w:t>DER orchestration use case. The proposed methodologies shall account for the specific use case and</w:t>
      </w:r>
      <w:r w:rsidR="7CCF2C90">
        <w:t xml:space="preserve"> </w:t>
      </w:r>
      <w:r w:rsidR="3D5B3593">
        <w:t xml:space="preserve">its </w:t>
      </w:r>
      <w:r w:rsidR="7CCF2C90">
        <w:t>location and timing</w:t>
      </w:r>
      <w:r>
        <w:t>, where applicable</w:t>
      </w:r>
      <w:r w:rsidR="4D2BD44E">
        <w:t xml:space="preserve">. The proposed methodologies should also </w:t>
      </w:r>
      <w:r>
        <w:t xml:space="preserve">distinguish between </w:t>
      </w:r>
      <w:r w:rsidR="093CE687">
        <w:t xml:space="preserve">locational benefits at the </w:t>
      </w:r>
      <w:r>
        <w:t>system</w:t>
      </w:r>
      <w:r w:rsidR="00881C6B">
        <w:t xml:space="preserve"> </w:t>
      </w:r>
      <w:r>
        <w:t>level</w:t>
      </w:r>
      <w:r w:rsidR="4C5CB46F">
        <w:t xml:space="preserve"> </w:t>
      </w:r>
      <w:r>
        <w:t xml:space="preserve">and </w:t>
      </w:r>
      <w:r w:rsidR="10779F6D">
        <w:t>circuit</w:t>
      </w:r>
      <w:r w:rsidR="00881C6B">
        <w:t xml:space="preserve"> </w:t>
      </w:r>
      <w:r w:rsidR="10779F6D">
        <w:t>level</w:t>
      </w:r>
      <w:r>
        <w:t xml:space="preserve">. </w:t>
      </w:r>
      <w:r w:rsidRPr="006A7D95" w:rsidR="006A7D95">
        <w:t>Any infrastructure savings included in the cost-effectiveness analysis shall reflect the distinction between avoided and deferred investments described in Section 5.</w:t>
      </w:r>
    </w:p>
    <w:p w:rsidR="00BF3819" w:rsidP="00BF3819" w:rsidRDefault="00BF3819" w14:paraId="5760977A" w14:textId="4D4071C5">
      <w:pPr>
        <w:pStyle w:val="OP"/>
      </w:pPr>
      <w:r>
        <w:t xml:space="preserve">Pacific Gas and Electric Company, Southern California Edison Company, and San Diego Gas &amp; Electric Company are ordered to propose </w:t>
      </w:r>
      <w:r w:rsidR="006863B3">
        <w:t xml:space="preserve">valuation </w:t>
      </w:r>
      <w:r>
        <w:t xml:space="preserve">metrics to evaluate the effectiveness of distribution energy resources (DER) orchestration in </w:t>
      </w:r>
      <w:r w:rsidR="000C51AE">
        <w:t xml:space="preserve">their </w:t>
      </w:r>
      <w:r w:rsidR="003D143A">
        <w:t>J</w:t>
      </w:r>
      <w:r w:rsidR="000C51AE">
        <w:t>oint</w:t>
      </w:r>
      <w:r>
        <w:t xml:space="preserve"> DER </w:t>
      </w:r>
      <w:r w:rsidR="003D143A">
        <w:t>O</w:t>
      </w:r>
      <w:r>
        <w:t xml:space="preserve">rchestration </w:t>
      </w:r>
      <w:r w:rsidR="003D143A">
        <w:t>A</w:t>
      </w:r>
      <w:r>
        <w:t>pplication.</w:t>
      </w:r>
    </w:p>
    <w:p w:rsidR="00BF3819" w:rsidP="00BF3819" w:rsidRDefault="5B68DD3D" w14:paraId="2FA00567" w14:textId="7214DD8E">
      <w:pPr>
        <w:pStyle w:val="OP"/>
      </w:pPr>
      <w:r>
        <w:t xml:space="preserve">Pacific Gas and Electric Company, Southern California Edison Company, and San Diego Gas &amp; Electric Company may </w:t>
      </w:r>
      <w:r w:rsidR="0F900D3A">
        <w:t>use</w:t>
      </w:r>
      <w:r>
        <w:t xml:space="preserve"> the Avoided Cost Calculator, Locational Net Benefits Analysis, or other valuation tools in their </w:t>
      </w:r>
      <w:r w:rsidR="69FE3BA9">
        <w:t>proposed</w:t>
      </w:r>
      <w:r w:rsidR="5F3543D4">
        <w:t xml:space="preserve"> valuation</w:t>
      </w:r>
      <w:r w:rsidR="69FE3BA9">
        <w:t xml:space="preserve"> methodologies</w:t>
      </w:r>
      <w:r>
        <w:t xml:space="preserve"> but </w:t>
      </w:r>
      <w:r w:rsidR="631AB2A4">
        <w:t xml:space="preserve">they must </w:t>
      </w:r>
      <w:r>
        <w:t xml:space="preserve">explain why the selected tools and methodologies are appropriate for </w:t>
      </w:r>
      <w:r w:rsidR="37FA54AB">
        <w:t xml:space="preserve">the respective </w:t>
      </w:r>
      <w:r w:rsidR="00A3563B">
        <w:t>distributed energy resources</w:t>
      </w:r>
      <w:r>
        <w:t xml:space="preserve"> orchestration use case</w:t>
      </w:r>
      <w:r w:rsidR="7BF74D22">
        <w:t>.</w:t>
      </w:r>
      <w:r w:rsidR="00BF3819">
        <w:t xml:space="preserve"> </w:t>
      </w:r>
    </w:p>
    <w:p w:rsidR="00BF3819" w:rsidP="48FE0788" w:rsidRDefault="080F9E29" w14:paraId="17F14B5F" w14:textId="66642EB4">
      <w:pPr>
        <w:pStyle w:val="OP"/>
      </w:pPr>
      <w:r>
        <w:t>Pacific Gas and Electric Company, Southern California Edison Company, and San Diego Gas &amp; Electric Company are ordered to include a qualitative discussion of equity benefits</w:t>
      </w:r>
      <w:r w:rsidR="105DBD31">
        <w:t xml:space="preserve"> in their </w:t>
      </w:r>
      <w:r w:rsidR="00A3563B">
        <w:t>distributed energy resources</w:t>
      </w:r>
      <w:r w:rsidR="105DBD31">
        <w:t xml:space="preserve"> orchestration use</w:t>
      </w:r>
      <w:r w:rsidR="00A3563B">
        <w:t xml:space="preserve"> </w:t>
      </w:r>
      <w:r w:rsidR="105DBD31">
        <w:t>case valuations</w:t>
      </w:r>
      <w:r>
        <w:t xml:space="preserve"> where appropriate. </w:t>
      </w:r>
    </w:p>
    <w:p w:rsidR="00BF3819" w:rsidP="00BF3819" w:rsidRDefault="080F9E29" w14:paraId="12422BB2" w14:textId="33B6D31A">
      <w:pPr>
        <w:pStyle w:val="OP"/>
      </w:pPr>
      <w:r>
        <w:lastRenderedPageBreak/>
        <w:t>Pacific Gas and Electric Company, Southern California Edison Company, and San Diego Gas &amp; Electric Company</w:t>
      </w:r>
      <w:r w:rsidR="006A7D95">
        <w:t>, collectively the Investor-Owned Utilities (IOUs),</w:t>
      </w:r>
      <w:r>
        <w:t xml:space="preserve"> are ordered to propose cost-effectiveness methodologies</w:t>
      </w:r>
      <w:r w:rsidR="244CCD85">
        <w:t xml:space="preserve"> for each use</w:t>
      </w:r>
      <w:r w:rsidR="00A3563B">
        <w:t xml:space="preserve"> </w:t>
      </w:r>
      <w:r w:rsidR="244CCD85">
        <w:t>case</w:t>
      </w:r>
      <w:r>
        <w:t xml:space="preserve"> in their </w:t>
      </w:r>
      <w:r w:rsidR="00A3563B">
        <w:t>Joint Distributed Energy Resources (DER)</w:t>
      </w:r>
      <w:r>
        <w:t xml:space="preserve"> </w:t>
      </w:r>
      <w:r w:rsidR="00A3563B">
        <w:t>O</w:t>
      </w:r>
      <w:r>
        <w:t xml:space="preserve">rchestration </w:t>
      </w:r>
      <w:r w:rsidR="00A3563B">
        <w:t>A</w:t>
      </w:r>
      <w:r>
        <w:t>pplication that demonstrate net benefit to ratepayers by comparing measurable benefits against the full incremental costs necessary to implement and operate each DER orchestration use case</w:t>
      </w:r>
      <w:r w:rsidR="3E683FA9">
        <w:t>,</w:t>
      </w:r>
      <w:r w:rsidR="3DA1DCA5">
        <w:t xml:space="preserve"> </w:t>
      </w:r>
      <w:r>
        <w:t>account</w:t>
      </w:r>
      <w:r w:rsidR="4B35CE44">
        <w:t xml:space="preserve">ing </w:t>
      </w:r>
      <w:r>
        <w:t>for location-specific impacts</w:t>
      </w:r>
      <w:r w:rsidR="2753EE33">
        <w:t>.</w:t>
      </w:r>
      <w:r>
        <w:t xml:space="preserve"> </w:t>
      </w:r>
      <w:r w:rsidRPr="006A7D95" w:rsidR="006A7D95">
        <w:t>Where appropriate, the IOUs s</w:t>
      </w:r>
      <w:r w:rsidR="006A7D95">
        <w:t>hall</w:t>
      </w:r>
      <w:r w:rsidRPr="006A7D95" w:rsidR="006A7D95">
        <w:t xml:space="preserve"> </w:t>
      </w:r>
      <w:r w:rsidR="006A7D95">
        <w:t xml:space="preserve">consistently </w:t>
      </w:r>
      <w:r w:rsidRPr="006A7D95" w:rsidR="006A7D95">
        <w:t>consider shared costs and combined benefits across related use cases and explain how their proposed methodologies account for these interactions, avoid double-counting, and reflect the location and timing of the grid needs being addressed.</w:t>
      </w:r>
    </w:p>
    <w:p w:rsidR="00BF3819" w:rsidP="00BF3819" w:rsidRDefault="1E4D7046" w14:paraId="28FC1158" w14:textId="70125880">
      <w:pPr>
        <w:pStyle w:val="OP"/>
      </w:pPr>
      <w:r w:rsidDel="00BF3819">
        <w:t xml:space="preserve">Pacific Gas and Electric Company, Southern California Edison Company, and San Diego Gas &amp; Electric Company are ordered to propose measurable performance, reliability, and cost-effectiveness criteria in their </w:t>
      </w:r>
      <w:r w:rsidR="00A3563B">
        <w:t>J</w:t>
      </w:r>
      <w:r w:rsidR="00C83A8B">
        <w:t xml:space="preserve">oint </w:t>
      </w:r>
      <w:r w:rsidR="00A3563B">
        <w:t>D</w:t>
      </w:r>
      <w:r w:rsidDel="00BF3819">
        <w:t xml:space="preserve">istribution </w:t>
      </w:r>
      <w:r w:rsidR="00A3563B">
        <w:t>E</w:t>
      </w:r>
      <w:r w:rsidDel="00BF3819">
        <w:t xml:space="preserve">nergy </w:t>
      </w:r>
      <w:r w:rsidR="00A3563B">
        <w:t>R</w:t>
      </w:r>
      <w:r w:rsidDel="00BF3819">
        <w:t xml:space="preserve">esources (DER) </w:t>
      </w:r>
      <w:r w:rsidR="00A3563B">
        <w:t>O</w:t>
      </w:r>
      <w:r w:rsidDel="00BF3819">
        <w:t xml:space="preserve">rchestration </w:t>
      </w:r>
      <w:r w:rsidR="00A3563B">
        <w:t>A</w:t>
      </w:r>
      <w:r w:rsidDel="00BF3819">
        <w:t xml:space="preserve">pplication for determining when a DER orchestration use case is ready to move from demonstration to broader deployment. </w:t>
      </w:r>
    </w:p>
    <w:p w:rsidR="00BF3819" w:rsidP="00BF3819" w:rsidRDefault="00BF3819" w14:paraId="69321709" w14:textId="72EFD595">
      <w:pPr>
        <w:pStyle w:val="OP"/>
      </w:pPr>
      <w:r>
        <w:t xml:space="preserve">Pacific Gas and Electric Company, Southern California Edison Company, and San Diego Gas &amp; Electric Company are ordered to </w:t>
      </w:r>
      <w:r w:rsidR="00BE373C">
        <w:t xml:space="preserve">propose </w:t>
      </w:r>
      <w:r w:rsidR="004E7404">
        <w:t xml:space="preserve">in their </w:t>
      </w:r>
      <w:r w:rsidR="00A3563B">
        <w:t>J</w:t>
      </w:r>
      <w:r w:rsidR="00C83A8B">
        <w:t xml:space="preserve">oint </w:t>
      </w:r>
      <w:r w:rsidR="00A3563B">
        <w:t>D</w:t>
      </w:r>
      <w:r w:rsidR="004E7404">
        <w:t xml:space="preserve">istributed </w:t>
      </w:r>
      <w:r w:rsidR="00A3563B">
        <w:t>E</w:t>
      </w:r>
      <w:r w:rsidR="004E7404">
        <w:t xml:space="preserve">nergy </w:t>
      </w:r>
      <w:r w:rsidR="00A3563B">
        <w:t>R</w:t>
      </w:r>
      <w:r w:rsidR="004E7404">
        <w:t xml:space="preserve">esources </w:t>
      </w:r>
      <w:r w:rsidR="003D44F3">
        <w:t xml:space="preserve">(DER) </w:t>
      </w:r>
      <w:r w:rsidR="00A3563B">
        <w:t>O</w:t>
      </w:r>
      <w:r w:rsidR="004E7404">
        <w:t xml:space="preserve">rchestration </w:t>
      </w:r>
      <w:r w:rsidR="00A3563B">
        <w:t>A</w:t>
      </w:r>
      <w:r w:rsidR="004E7404">
        <w:t xml:space="preserve">pplication </w:t>
      </w:r>
      <w:r>
        <w:t xml:space="preserve">the performance and reliability criteria DERs must satisfy before their capacity can be relied upon for distribution planning as well as how dependable DER capacity could be represented in distribution planning. </w:t>
      </w:r>
    </w:p>
    <w:p w:rsidR="00BF3819" w:rsidP="00BF3819" w:rsidRDefault="00BF3819" w14:paraId="20FE5070" w14:textId="3B3A8F5E">
      <w:pPr>
        <w:pStyle w:val="OP"/>
      </w:pPr>
      <w:r>
        <w:t xml:space="preserve">Pacific Gas and Electric Company, Southern California Edison Company, and San Diego Gas &amp; Electric Company are ordered to explain in their </w:t>
      </w:r>
      <w:r w:rsidR="00A3563B">
        <w:t>J</w:t>
      </w:r>
      <w:r w:rsidR="00C83A8B">
        <w:t xml:space="preserve">oint </w:t>
      </w:r>
      <w:r w:rsidR="00A3563B">
        <w:t>D</w:t>
      </w:r>
      <w:r>
        <w:t xml:space="preserve">istributed </w:t>
      </w:r>
      <w:r w:rsidR="00A3563B">
        <w:t>E</w:t>
      </w:r>
      <w:r>
        <w:t xml:space="preserve">nergy </w:t>
      </w:r>
      <w:r w:rsidR="00A3563B">
        <w:t>R</w:t>
      </w:r>
      <w:r>
        <w:t xml:space="preserve">esources (DER) </w:t>
      </w:r>
      <w:r w:rsidR="00A3563B">
        <w:t>O</w:t>
      </w:r>
      <w:r>
        <w:t xml:space="preserve">rchestration </w:t>
      </w:r>
      <w:r w:rsidR="00A3563B">
        <w:t>A</w:t>
      </w:r>
      <w:r>
        <w:t xml:space="preserve">pplication how </w:t>
      </w:r>
      <w:r>
        <w:lastRenderedPageBreak/>
        <w:t>demonstrated DER capacity could affect the need, timing, or sizing of traditional distribution investments.</w:t>
      </w:r>
    </w:p>
    <w:p w:rsidR="006C4559" w:rsidP="006C4559" w:rsidRDefault="006C4559" w14:paraId="05B65CB9" w14:textId="702A9F50">
      <w:pPr>
        <w:pStyle w:val="OP"/>
      </w:pPr>
      <w:r>
        <w:t xml:space="preserve">Pacific Gas and Electric Company, Southern California Edison Company, and San Diego Gas &amp; Electric Company are ordered to specify in their </w:t>
      </w:r>
      <w:r w:rsidR="00A3563B">
        <w:t>J</w:t>
      </w:r>
      <w:r w:rsidR="00C83A8B">
        <w:t xml:space="preserve">oint </w:t>
      </w:r>
      <w:r w:rsidR="00A3563B">
        <w:t>D</w:t>
      </w:r>
      <w:r>
        <w:t xml:space="preserve">istributed </w:t>
      </w:r>
      <w:r w:rsidR="00A3563B">
        <w:t>E</w:t>
      </w:r>
      <w:r>
        <w:t xml:space="preserve">nergy </w:t>
      </w:r>
      <w:r w:rsidR="00A3563B">
        <w:t>R</w:t>
      </w:r>
      <w:r>
        <w:t>esources</w:t>
      </w:r>
      <w:r w:rsidR="003D44F3">
        <w:t xml:space="preserve"> </w:t>
      </w:r>
      <w:r w:rsidR="00A3563B">
        <w:t>O</w:t>
      </w:r>
      <w:r>
        <w:t xml:space="preserve">rchestration </w:t>
      </w:r>
      <w:r w:rsidR="00A3563B">
        <w:t>A</w:t>
      </w:r>
      <w:r>
        <w:t>pplication (</w:t>
      </w:r>
      <w:proofErr w:type="spellStart"/>
      <w:r>
        <w:t>i</w:t>
      </w:r>
      <w:proofErr w:type="spellEnd"/>
      <w:r>
        <w:t xml:space="preserve">) what information should be shared as part of the orchestration plan; (ii) with whom; (iii) with what required granularity/cadence/latency; and (iv) with what privacy/cybersecurity safeguards. </w:t>
      </w:r>
    </w:p>
    <w:p w:rsidR="006C4559" w:rsidP="006C4559" w:rsidRDefault="006C4559" w14:paraId="400FE7E5" w14:textId="63BD4940">
      <w:pPr>
        <w:pStyle w:val="OP"/>
      </w:pPr>
      <w:r>
        <w:t xml:space="preserve">Pacific Gas and Electric Company, Southern California Edison Company, and San Diego Gas &amp; Electric Company are ordered propose in their </w:t>
      </w:r>
      <w:r w:rsidR="00A3563B">
        <w:t>J</w:t>
      </w:r>
      <w:r w:rsidR="004774A4">
        <w:t xml:space="preserve">oint </w:t>
      </w:r>
      <w:r w:rsidR="00A3563B">
        <w:t>D</w:t>
      </w:r>
      <w:r>
        <w:t xml:space="preserve">istributed </w:t>
      </w:r>
      <w:r w:rsidR="00A3563B">
        <w:t>E</w:t>
      </w:r>
      <w:r>
        <w:t xml:space="preserve">nergy </w:t>
      </w:r>
      <w:r w:rsidR="00A3563B">
        <w:t>R</w:t>
      </w:r>
      <w:r>
        <w:t>esources</w:t>
      </w:r>
      <w:r w:rsidR="003D44F3">
        <w:t xml:space="preserve"> </w:t>
      </w:r>
      <w:r w:rsidR="00A3563B">
        <w:t>O</w:t>
      </w:r>
      <w:r>
        <w:t xml:space="preserve">rchestration </w:t>
      </w:r>
      <w:r w:rsidR="00A3563B">
        <w:t>A</w:t>
      </w:r>
      <w:r>
        <w:t>pplication open, standardized, and interoperable communication protocols that reduce reliance on proprietary original equipment manufacturer clouds and enable grid-edge innovation.</w:t>
      </w:r>
      <w:r w:rsidR="35924575">
        <w:t xml:space="preserve"> </w:t>
      </w:r>
      <w:r w:rsidRPr="41101FA5" w:rsidR="35924575">
        <w:t>Any proposed deviation shall include justification for why open, standardized, and interoperable communication protocols will not meet the proposed needs.</w:t>
      </w:r>
    </w:p>
    <w:p w:rsidR="006C4559" w:rsidP="006C4559" w:rsidRDefault="006C4559" w14:paraId="3D4008FE" w14:textId="290C65CC">
      <w:pPr>
        <w:pStyle w:val="OP"/>
      </w:pPr>
      <w:r>
        <w:t xml:space="preserve"> Pacific Gas and Electric Company, Southern California Edison Company, and San Diego Gas &amp; Electric Company are ordered address in their </w:t>
      </w:r>
      <w:r w:rsidR="00A3563B">
        <w:t>J</w:t>
      </w:r>
      <w:r w:rsidR="004774A4">
        <w:t xml:space="preserve">oint </w:t>
      </w:r>
      <w:r w:rsidR="00A3563B">
        <w:t>D</w:t>
      </w:r>
      <w:r>
        <w:t xml:space="preserve">istributed </w:t>
      </w:r>
      <w:r w:rsidR="00A3563B">
        <w:t>E</w:t>
      </w:r>
      <w:r>
        <w:t xml:space="preserve">nergy </w:t>
      </w:r>
      <w:r w:rsidR="00A3563B">
        <w:t>R</w:t>
      </w:r>
      <w:r>
        <w:t xml:space="preserve">esources (DER) </w:t>
      </w:r>
      <w:r w:rsidR="00A3563B">
        <w:t>O</w:t>
      </w:r>
      <w:r>
        <w:t xml:space="preserve">rchestration </w:t>
      </w:r>
      <w:r w:rsidR="00A3563B">
        <w:t>A</w:t>
      </w:r>
      <w:r>
        <w:t xml:space="preserve">pplication communication barriers such as excessive access fees, limited functionality, and </w:t>
      </w:r>
      <w:r w:rsidRPr="0022734D">
        <w:t>vendor lock-in</w:t>
      </w:r>
      <w:r>
        <w:t xml:space="preserve"> that can undermine DER program cost-effectiveness and ratepayer value.</w:t>
      </w:r>
    </w:p>
    <w:p w:rsidR="006C4559" w:rsidP="006C4559" w:rsidRDefault="006C4559" w14:paraId="5CA5D914" w14:textId="27FF52AE">
      <w:pPr>
        <w:pStyle w:val="OP"/>
      </w:pPr>
      <w:r>
        <w:t xml:space="preserve">Pacific Gas and Electric Company, Southern California Edison Company, and San Diego Gas &amp; Electric Company are ordered to </w:t>
      </w:r>
      <w:r w:rsidRPr="00DD387E">
        <w:t xml:space="preserve">identify </w:t>
      </w:r>
      <w:r>
        <w:t xml:space="preserve">in their </w:t>
      </w:r>
      <w:r w:rsidR="000619E8">
        <w:t>J</w:t>
      </w:r>
      <w:r w:rsidR="00744653">
        <w:t xml:space="preserve">oint </w:t>
      </w:r>
      <w:r w:rsidR="000619E8">
        <w:t>D</w:t>
      </w:r>
      <w:r>
        <w:t xml:space="preserve">istributed </w:t>
      </w:r>
      <w:r w:rsidR="000619E8">
        <w:t>E</w:t>
      </w:r>
      <w:r>
        <w:t xml:space="preserve">nergy </w:t>
      </w:r>
      <w:r w:rsidR="000619E8">
        <w:t>R</w:t>
      </w:r>
      <w:r>
        <w:t xml:space="preserve">esources (DER) </w:t>
      </w:r>
      <w:r w:rsidR="000619E8">
        <w:t>O</w:t>
      </w:r>
      <w:r>
        <w:t xml:space="preserve">rchestration </w:t>
      </w:r>
      <w:r w:rsidR="000619E8">
        <w:t>A</w:t>
      </w:r>
      <w:r>
        <w:t>pplication</w:t>
      </w:r>
      <w:r w:rsidR="00744653">
        <w:t xml:space="preserve"> each utility’s</w:t>
      </w:r>
      <w:r>
        <w:t xml:space="preserve"> </w:t>
      </w:r>
      <w:r w:rsidRPr="00DD387E">
        <w:t xml:space="preserve">existing systems and capabilities that can support DER </w:t>
      </w:r>
      <w:r>
        <w:t>or</w:t>
      </w:r>
      <w:r w:rsidRPr="00DD387E">
        <w:t xml:space="preserve">chestration, </w:t>
      </w:r>
      <w:r w:rsidR="00C96696">
        <w:t xml:space="preserve">and a summary of </w:t>
      </w:r>
      <w:r w:rsidRPr="00DD387E">
        <w:t>additional capabilities needed to implement their proposals, and</w:t>
      </w:r>
      <w:r>
        <w:t xml:space="preserve"> </w:t>
      </w:r>
      <w:r w:rsidRPr="00DD387E">
        <w:lastRenderedPageBreak/>
        <w:t xml:space="preserve">how </w:t>
      </w:r>
      <w:r w:rsidR="0003760C">
        <w:t>each utility’s</w:t>
      </w:r>
      <w:r w:rsidRPr="00DD387E">
        <w:t xml:space="preserve"> proposed architecture reflects their technical and operational readiness</w:t>
      </w:r>
      <w:r w:rsidR="00627641">
        <w:t xml:space="preserve"> </w:t>
      </w:r>
      <w:r w:rsidR="006147A5">
        <w:t>to move forward with a consistent DER orchestration framework</w:t>
      </w:r>
      <w:r w:rsidRPr="00DD387E">
        <w:t xml:space="preserve">. </w:t>
      </w:r>
    </w:p>
    <w:p w:rsidR="006C4559" w:rsidP="006C4559" w:rsidRDefault="006C4559" w14:paraId="6185C82E" w14:textId="690AEAE8">
      <w:pPr>
        <w:pStyle w:val="OP"/>
      </w:pPr>
      <w:r>
        <w:t xml:space="preserve">Pacific Gas and Electric Company, Southern California Edison Company, and San Diego Gas &amp; Electric Company are ordered to </w:t>
      </w:r>
      <w:r w:rsidRPr="00DD387E">
        <w:t xml:space="preserve">distinguish </w:t>
      </w:r>
      <w:r>
        <w:t xml:space="preserve">between </w:t>
      </w:r>
      <w:r w:rsidRPr="00DD387E">
        <w:t>existing and previously authorized capabilities from proposed new investments</w:t>
      </w:r>
      <w:r>
        <w:t xml:space="preserve"> in their </w:t>
      </w:r>
      <w:r w:rsidR="000619E8">
        <w:t>J</w:t>
      </w:r>
      <w:r w:rsidR="004F34E3">
        <w:t xml:space="preserve">oint </w:t>
      </w:r>
      <w:r w:rsidR="000619E8">
        <w:t>D</w:t>
      </w:r>
      <w:r>
        <w:t xml:space="preserve">istributed </w:t>
      </w:r>
      <w:r w:rsidR="000619E8">
        <w:t>E</w:t>
      </w:r>
      <w:r>
        <w:t xml:space="preserve">nergy </w:t>
      </w:r>
      <w:r w:rsidR="000619E8">
        <w:t>R</w:t>
      </w:r>
      <w:r w:rsidR="00135B9C">
        <w:t>esources</w:t>
      </w:r>
      <w:r w:rsidR="000A6D5E">
        <w:t xml:space="preserve"> </w:t>
      </w:r>
      <w:r w:rsidR="000619E8">
        <w:t>O</w:t>
      </w:r>
      <w:r>
        <w:t xml:space="preserve">rchestration </w:t>
      </w:r>
      <w:r w:rsidR="000619E8">
        <w:t>A</w:t>
      </w:r>
      <w:r>
        <w:t>pplication</w:t>
      </w:r>
      <w:r w:rsidRPr="00DD387E">
        <w:t xml:space="preserve">. </w:t>
      </w:r>
    </w:p>
    <w:p w:rsidRPr="00BC52C0" w:rsidR="000619E8" w:rsidP="000619E8" w:rsidRDefault="006C4559" w14:paraId="272FA63F" w14:textId="521E6402">
      <w:pPr>
        <w:pStyle w:val="OP"/>
      </w:pPr>
      <w:r>
        <w:t xml:space="preserve">Pacific Gas and Electric Company, Southern California Edison Company, and San Diego Gas &amp; Electric Company are ordered to </w:t>
      </w:r>
      <w:r w:rsidRPr="00565079">
        <w:t>continue</w:t>
      </w:r>
      <w:r w:rsidR="00D3538D">
        <w:t xml:space="preserve"> transmission system operator-distribution system operator</w:t>
      </w:r>
      <w:r w:rsidRPr="00565079">
        <w:t xml:space="preserve"> coordination with </w:t>
      </w:r>
      <w:r w:rsidR="00D3538D">
        <w:t xml:space="preserve">the </w:t>
      </w:r>
      <w:r w:rsidRPr="00565079">
        <w:t>C</w:t>
      </w:r>
      <w:r w:rsidR="00D3538D">
        <w:t>alifornia Independent System Operator</w:t>
      </w:r>
      <w:r w:rsidRPr="00565079">
        <w:t xml:space="preserve"> during the </w:t>
      </w:r>
      <w:r w:rsidR="000619E8">
        <w:t>D</w:t>
      </w:r>
      <w:r>
        <w:t xml:space="preserve">istributed </w:t>
      </w:r>
      <w:r w:rsidR="000619E8">
        <w:t>E</w:t>
      </w:r>
      <w:r>
        <w:t xml:space="preserve">nergy </w:t>
      </w:r>
      <w:r w:rsidR="000619E8">
        <w:t>R</w:t>
      </w:r>
      <w:r w:rsidR="00135B9C">
        <w:t>esources</w:t>
      </w:r>
      <w:r>
        <w:t xml:space="preserve"> (DER) </w:t>
      </w:r>
      <w:r w:rsidR="000619E8">
        <w:t>O</w:t>
      </w:r>
      <w:r>
        <w:t xml:space="preserve">rchestration </w:t>
      </w:r>
      <w:r w:rsidR="000619E8">
        <w:t>A</w:t>
      </w:r>
      <w:r w:rsidRPr="00565079">
        <w:t xml:space="preserve">pplication proceeding and incorporate relevant developments regarding DER visibility, data exchange, service prioritization, </w:t>
      </w:r>
      <w:r w:rsidR="006A7D95">
        <w:t xml:space="preserve">operational forecasting, </w:t>
      </w:r>
      <w:r w:rsidRPr="00565079">
        <w:t>and operational coordination into the application record.</w:t>
      </w:r>
    </w:p>
    <w:p w:rsidR="006C4559" w:rsidP="006C4559" w:rsidRDefault="5EC191BB" w14:paraId="6E312105" w14:textId="5E296427">
      <w:pPr>
        <w:pStyle w:val="OP"/>
      </w:pPr>
      <w:r>
        <w:t xml:space="preserve">Pacific Gas and Electric Company, Southern California Edison Company, and San Diego Gas &amp; Electric Company are ordered to </w:t>
      </w:r>
      <w:r w:rsidR="24BCEBCD">
        <w:t xml:space="preserve">address in their </w:t>
      </w:r>
      <w:r w:rsidR="000619E8">
        <w:t>J</w:t>
      </w:r>
      <w:r w:rsidR="004F34E3">
        <w:t xml:space="preserve">oint </w:t>
      </w:r>
      <w:r w:rsidR="000619E8">
        <w:t>D</w:t>
      </w:r>
      <w:r w:rsidR="24BCEBCD">
        <w:t xml:space="preserve">istributed </w:t>
      </w:r>
      <w:r w:rsidR="000619E8">
        <w:t>E</w:t>
      </w:r>
      <w:r w:rsidR="24BCEBCD">
        <w:t xml:space="preserve">nergy </w:t>
      </w:r>
      <w:r w:rsidR="000619E8">
        <w:t>R</w:t>
      </w:r>
      <w:r w:rsidR="24BCEBCD">
        <w:t xml:space="preserve">esources (DER) </w:t>
      </w:r>
      <w:r w:rsidR="000619E8">
        <w:t>O</w:t>
      </w:r>
      <w:r w:rsidR="24BCEBCD">
        <w:t xml:space="preserve">rchestration </w:t>
      </w:r>
      <w:r w:rsidR="000619E8">
        <w:t>A</w:t>
      </w:r>
      <w:r w:rsidR="24BCEBCD">
        <w:t>pplication the potential role of DER aggregators in their proposed orchestration frameworks.</w:t>
      </w:r>
      <w:r w:rsidR="5F29F194">
        <w:t xml:space="preserve"> If aggregators are </w:t>
      </w:r>
      <w:r w:rsidR="003225B0">
        <w:t>included,</w:t>
      </w:r>
      <w:r w:rsidR="5F29F194">
        <w:t xml:space="preserve"> they must add value, not </w:t>
      </w:r>
      <w:r w:rsidR="013C2E53">
        <w:t>undermine the goal of cost effectiveness, nor add unnecessary complexity.</w:t>
      </w:r>
      <w:r w:rsidR="24BCEBCD">
        <w:t xml:space="preserve">  </w:t>
      </w:r>
    </w:p>
    <w:p w:rsidR="006C4559" w:rsidP="006C4559" w:rsidRDefault="006C4559" w14:paraId="63091426" w14:textId="218510E0">
      <w:pPr>
        <w:pStyle w:val="OP"/>
      </w:pPr>
      <w:r>
        <w:t>Pacific Gas and Electric Company, Southern California Edison Company, and San Diego Gas &amp; Electric Company are ordered to</w:t>
      </w:r>
      <w:r w:rsidRPr="00073733">
        <w:t xml:space="preserve"> propose </w:t>
      </w:r>
      <w:r>
        <w:t xml:space="preserve">in their </w:t>
      </w:r>
      <w:r w:rsidR="000619E8">
        <w:t>J</w:t>
      </w:r>
      <w:r w:rsidR="00356153">
        <w:t xml:space="preserve">oint </w:t>
      </w:r>
      <w:r w:rsidR="000619E8">
        <w:t>D</w:t>
      </w:r>
      <w:r>
        <w:t xml:space="preserve">istributed </w:t>
      </w:r>
      <w:r w:rsidR="000619E8">
        <w:t>E</w:t>
      </w:r>
      <w:r>
        <w:t xml:space="preserve">nergy </w:t>
      </w:r>
      <w:r w:rsidR="000619E8">
        <w:t>R</w:t>
      </w:r>
      <w:r>
        <w:t xml:space="preserve">esources (DER) </w:t>
      </w:r>
      <w:r w:rsidR="000619E8">
        <w:t>O</w:t>
      </w:r>
      <w:r>
        <w:t xml:space="preserve">rchestration </w:t>
      </w:r>
      <w:r w:rsidR="000619E8">
        <w:t>A</w:t>
      </w:r>
      <w:r>
        <w:t xml:space="preserve">pplication </w:t>
      </w:r>
      <w:r w:rsidRPr="00073733">
        <w:t>a</w:t>
      </w:r>
      <w:r>
        <w:t xml:space="preserve"> </w:t>
      </w:r>
      <w:r w:rsidRPr="00073733">
        <w:t xml:space="preserve">flexible  </w:t>
      </w:r>
      <w:r w:rsidR="7780C5B2">
        <w:t xml:space="preserve">dispatching </w:t>
      </w:r>
      <w:r w:rsidRPr="00073733">
        <w:t>mechanism that enables DERs to offer grid services</w:t>
      </w:r>
      <w:r>
        <w:t xml:space="preserve"> and a</w:t>
      </w:r>
      <w:r w:rsidRPr="00073733">
        <w:t>ddress</w:t>
      </w:r>
      <w:r>
        <w:t>es</w:t>
      </w:r>
      <w:r w:rsidRPr="00073733">
        <w:t xml:space="preserve"> participant eligibility,</w:t>
      </w:r>
      <w:r>
        <w:t xml:space="preserve"> </w:t>
      </w:r>
      <w:r w:rsidRPr="00073733">
        <w:t xml:space="preserve">settlement </w:t>
      </w:r>
      <w:r w:rsidR="065A769F">
        <w:t>structures,</w:t>
      </w:r>
      <w:r w:rsidRPr="00073733">
        <w:t xml:space="preserve"> protections against double payment or double counting, and performance</w:t>
      </w:r>
      <w:r w:rsidR="00C77222">
        <w:t xml:space="preserve">, </w:t>
      </w:r>
      <w:r>
        <w:t>measurement and verification</w:t>
      </w:r>
      <w:r w:rsidRPr="00073733">
        <w:t xml:space="preserve"> requirements. </w:t>
      </w:r>
    </w:p>
    <w:p w:rsidR="006C4559" w:rsidP="006C4559" w:rsidRDefault="006C4559" w14:paraId="6E56EB84" w14:textId="57B063C3">
      <w:pPr>
        <w:pStyle w:val="OP"/>
      </w:pPr>
      <w:r>
        <w:lastRenderedPageBreak/>
        <w:t xml:space="preserve">Pacific Gas and Electric Company, Southern California Edison Company, and San Diego Gas &amp; Electric Company are ordered to explain in their </w:t>
      </w:r>
      <w:r w:rsidR="000619E8">
        <w:t>J</w:t>
      </w:r>
      <w:r w:rsidR="00264DBD">
        <w:t xml:space="preserve">oint </w:t>
      </w:r>
      <w:r w:rsidR="000619E8">
        <w:t>D</w:t>
      </w:r>
      <w:r>
        <w:t xml:space="preserve">istributed </w:t>
      </w:r>
      <w:r w:rsidR="000619E8">
        <w:t>E</w:t>
      </w:r>
      <w:r>
        <w:t xml:space="preserve">nergy </w:t>
      </w:r>
      <w:r w:rsidR="000619E8">
        <w:t>R</w:t>
      </w:r>
      <w:r>
        <w:t xml:space="preserve">esources (DER) </w:t>
      </w:r>
      <w:r w:rsidR="000619E8">
        <w:t>O</w:t>
      </w:r>
      <w:r>
        <w:t xml:space="preserve">rchestration </w:t>
      </w:r>
      <w:r w:rsidR="000619E8">
        <w:t>A</w:t>
      </w:r>
      <w:r>
        <w:t xml:space="preserve">pplication </w:t>
      </w:r>
      <w:r w:rsidRPr="00073733">
        <w:t>how their proposed</w:t>
      </w:r>
      <w:r>
        <w:t xml:space="preserve"> </w:t>
      </w:r>
      <w:r w:rsidR="493202AC">
        <w:t>flexib</w:t>
      </w:r>
      <w:r w:rsidR="74C36190">
        <w:t>le</w:t>
      </w:r>
      <w:r w:rsidR="1D1D4238">
        <w:t xml:space="preserve"> dispatch</w:t>
      </w:r>
      <w:r w:rsidR="15591103">
        <w:t>ing</w:t>
      </w:r>
      <w:r w:rsidR="1D1D4238">
        <w:t xml:space="preserve"> </w:t>
      </w:r>
      <w:r w:rsidR="493202AC">
        <w:t>mechanism</w:t>
      </w:r>
      <w:r w:rsidR="5BF859C0">
        <w:t>s</w:t>
      </w:r>
      <w:r w:rsidRPr="00073733">
        <w:t xml:space="preserve"> can schedule and dispatch DER flexibility based on identified distribution</w:t>
      </w:r>
      <w:r w:rsidR="000619E8">
        <w:t xml:space="preserve"> </w:t>
      </w:r>
      <w:r w:rsidRPr="00073733">
        <w:t>system needs</w:t>
      </w:r>
      <w:r>
        <w:t xml:space="preserve"> and</w:t>
      </w:r>
      <w:r w:rsidRPr="00073733">
        <w:t xml:space="preserve"> how they will exercise communication and dispatch control over participating DERs, including the mechanisms necessary to ensure DERs respond to </w:t>
      </w:r>
      <w:r>
        <w:t>distribution system operator</w:t>
      </w:r>
      <w:r w:rsidRPr="00073733">
        <w:t xml:space="preserve"> operational needs.</w:t>
      </w:r>
      <w:r>
        <w:t xml:space="preserve"> </w:t>
      </w:r>
    </w:p>
    <w:p w:rsidR="006C4559" w:rsidP="006C4559" w:rsidRDefault="006C4559" w14:paraId="17960E82" w14:textId="5E2BB0A6">
      <w:pPr>
        <w:pStyle w:val="OP"/>
      </w:pPr>
      <w:r>
        <w:t>Pacific Gas and Electric Company, Southern California Edison Company, and San Diego Gas &amp; Electric Company</w:t>
      </w:r>
      <w:r w:rsidR="009E3797">
        <w:t>, collectively the Investor-Owned Utilities (IOUs),</w:t>
      </w:r>
      <w:r>
        <w:t xml:space="preserve"> are ordered to </w:t>
      </w:r>
      <w:r w:rsidRPr="00073733">
        <w:t xml:space="preserve">explain </w:t>
      </w:r>
      <w:r>
        <w:t xml:space="preserve">in their </w:t>
      </w:r>
      <w:r w:rsidR="000619E8">
        <w:t>J</w:t>
      </w:r>
      <w:r w:rsidR="000C5EA2">
        <w:t xml:space="preserve">oint </w:t>
      </w:r>
      <w:r w:rsidR="000619E8">
        <w:t>D</w:t>
      </w:r>
      <w:r>
        <w:t xml:space="preserve">istributed </w:t>
      </w:r>
      <w:r w:rsidR="000619E8">
        <w:t>E</w:t>
      </w:r>
      <w:r>
        <w:t xml:space="preserve">nergy </w:t>
      </w:r>
      <w:r w:rsidR="000619E8">
        <w:t>R</w:t>
      </w:r>
      <w:r>
        <w:t xml:space="preserve">esources (DER) </w:t>
      </w:r>
      <w:r w:rsidR="000619E8">
        <w:t>O</w:t>
      </w:r>
      <w:r>
        <w:t xml:space="preserve">rchestration </w:t>
      </w:r>
      <w:r w:rsidR="000619E8">
        <w:t>A</w:t>
      </w:r>
      <w:r>
        <w:t xml:space="preserve">pplication </w:t>
      </w:r>
      <w:r w:rsidRPr="00073733">
        <w:t>how the</w:t>
      </w:r>
      <w:r>
        <w:t xml:space="preserve">ir proposed </w:t>
      </w:r>
      <w:r w:rsidR="493202AC">
        <w:t>flexib</w:t>
      </w:r>
      <w:r w:rsidR="35AB701A">
        <w:t xml:space="preserve">ility dispatch mechanisms </w:t>
      </w:r>
      <w:r w:rsidR="0F45ADB8">
        <w:t>enable</w:t>
      </w:r>
      <w:r w:rsidRPr="00073733">
        <w:t xml:space="preserve"> open and non</w:t>
      </w:r>
      <w:r w:rsidR="000619E8">
        <w:t>-</w:t>
      </w:r>
      <w:r w:rsidRPr="00073733">
        <w:t xml:space="preserve">discriminatory participation for utility-, </w:t>
      </w:r>
      <w:r>
        <w:t>community choice aggregator</w:t>
      </w:r>
      <w:r w:rsidRPr="00073733">
        <w:t xml:space="preserve">-, </w:t>
      </w:r>
      <w:r w:rsidR="00853AE5">
        <w:t>energy services aggregator</w:t>
      </w:r>
      <w:r w:rsidRPr="00073733">
        <w:t>-, and customer-managed DERs.</w:t>
      </w:r>
      <w:r w:rsidR="009E3797">
        <w:t xml:space="preserve"> The Joint</w:t>
      </w:r>
      <w:r w:rsidRPr="009E3797" w:rsidR="009E3797">
        <w:t xml:space="preserve"> IOU </w:t>
      </w:r>
      <w:r w:rsidR="009E3797">
        <w:t>A</w:t>
      </w:r>
      <w:r w:rsidRPr="009E3797" w:rsidR="009E3797">
        <w:t xml:space="preserve">pplication shall describe how it will detect communications failures, resource unavailability, and failure to deliver the expected DER response. </w:t>
      </w:r>
      <w:r w:rsidR="009E3797">
        <w:t>The Joint Application</w:t>
      </w:r>
      <w:r w:rsidRPr="009E3797" w:rsidR="009E3797">
        <w:t xml:space="preserve"> shall identify notification responsibilities and procedures, fallback operating arrangements, and coordination necessary to maintain safe and reliable operation when the expected response is unavailable.</w:t>
      </w:r>
    </w:p>
    <w:p w:rsidR="006C4559" w:rsidP="006C4559" w:rsidRDefault="006C4559" w14:paraId="72B745E6" w14:textId="5909231C">
      <w:pPr>
        <w:pStyle w:val="OP"/>
      </w:pPr>
      <w:r>
        <w:t xml:space="preserve">Pacific Gas and Electric Company, Southern California Edison Company, and San Diego Gas &amp; Electric Company are ordered to identify in their </w:t>
      </w:r>
      <w:r w:rsidR="000619E8">
        <w:t>J</w:t>
      </w:r>
      <w:r w:rsidR="000C5EA2">
        <w:t xml:space="preserve">oint </w:t>
      </w:r>
      <w:r w:rsidR="000619E8">
        <w:t>D</w:t>
      </w:r>
      <w:r>
        <w:t xml:space="preserve">istributed </w:t>
      </w:r>
      <w:r w:rsidR="000619E8">
        <w:t>E</w:t>
      </w:r>
      <w:r>
        <w:t xml:space="preserve">nergy </w:t>
      </w:r>
      <w:r w:rsidR="000619E8">
        <w:t>R</w:t>
      </w:r>
      <w:r>
        <w:t xml:space="preserve">esources (DER) </w:t>
      </w:r>
      <w:r w:rsidR="000619E8">
        <w:t>O</w:t>
      </w:r>
      <w:r>
        <w:t xml:space="preserve">rchestration </w:t>
      </w:r>
      <w:r w:rsidR="000619E8">
        <w:t>A</w:t>
      </w:r>
      <w:r>
        <w:t xml:space="preserve">pplication </w:t>
      </w:r>
      <w:r w:rsidRPr="00073733">
        <w:t xml:space="preserve">the roles of utilities, </w:t>
      </w:r>
      <w:r w:rsidR="00853AE5">
        <w:t xml:space="preserve">energy service </w:t>
      </w:r>
      <w:r w:rsidRPr="00073733">
        <w:t xml:space="preserve">aggregators, </w:t>
      </w:r>
      <w:r>
        <w:t>community choice aggregator</w:t>
      </w:r>
      <w:r w:rsidRPr="00073733">
        <w:t>s, customers, and other DER providers and address safeguards for competitive neutrality and appropriate Commission oversight</w:t>
      </w:r>
      <w:r>
        <w:t>.</w:t>
      </w:r>
    </w:p>
    <w:p w:rsidR="006C4559" w:rsidP="006C4559" w:rsidRDefault="006C4559" w14:paraId="7C017CFD" w14:textId="48E2179C">
      <w:pPr>
        <w:pStyle w:val="OP"/>
      </w:pPr>
      <w:r>
        <w:lastRenderedPageBreak/>
        <w:t xml:space="preserve">Pacific Gas and Electric Company, Southern California Edison Company, and San Diego Gas &amp; Electric Company are ordered to demonstrate in their </w:t>
      </w:r>
      <w:r w:rsidR="000619E8">
        <w:t>J</w:t>
      </w:r>
      <w:r w:rsidR="000C5EA2">
        <w:t xml:space="preserve">oint </w:t>
      </w:r>
      <w:r w:rsidR="000619E8">
        <w:t>D</w:t>
      </w:r>
      <w:r>
        <w:t xml:space="preserve">istributed </w:t>
      </w:r>
      <w:r w:rsidR="000619E8">
        <w:t>E</w:t>
      </w:r>
      <w:r>
        <w:t xml:space="preserve">nergy </w:t>
      </w:r>
      <w:r w:rsidR="000619E8">
        <w:t>R</w:t>
      </w:r>
      <w:r>
        <w:t xml:space="preserve">esources (DER) </w:t>
      </w:r>
      <w:r w:rsidR="000619E8">
        <w:t>O</w:t>
      </w:r>
      <w:r>
        <w:t xml:space="preserve">rchestration </w:t>
      </w:r>
      <w:r w:rsidR="000619E8">
        <w:t>A</w:t>
      </w:r>
      <w:r>
        <w:t xml:space="preserve">pplication their level of </w:t>
      </w:r>
      <w:r w:rsidRPr="00623225">
        <w:t>readiness</w:t>
      </w:r>
      <w:r>
        <w:t xml:space="preserve"> for DER orchestration</w:t>
      </w:r>
      <w:r w:rsidRPr="00623225">
        <w:t>, and that readiness should be assessed based on proven capabilities including tested pilots and result</w:t>
      </w:r>
      <w:r w:rsidR="00685361">
        <w:t>s</w:t>
      </w:r>
      <w:r w:rsidR="69059849">
        <w:t>.</w:t>
      </w:r>
      <w:r w:rsidR="00685361">
        <w:t xml:space="preserve"> </w:t>
      </w:r>
      <w:r w:rsidRPr="00685361" w:rsidR="00685361">
        <w:t xml:space="preserve">Capabilities not yet demonstrated shall be identified separately as implementation dependencies. Such capabilities may inform phased implementation schedules but shall not constitute authorization for additional investment. </w:t>
      </w:r>
    </w:p>
    <w:p w:rsidR="006C4559" w:rsidP="006C4559" w:rsidRDefault="006C4559" w14:paraId="6025009A" w14:textId="75E127B7">
      <w:pPr>
        <w:pStyle w:val="OP"/>
      </w:pPr>
      <w:r>
        <w:t>Pacific Gas and Electric Company, Southern California Edison Company, and San Diego Gas &amp; Electric Company</w:t>
      </w:r>
      <w:r w:rsidR="00685361">
        <w:t>, collectively the Investor-Owned Utilities (IOUs),</w:t>
      </w:r>
      <w:r>
        <w:t xml:space="preserve"> are ordered to include in their </w:t>
      </w:r>
      <w:r w:rsidR="000619E8">
        <w:t>J</w:t>
      </w:r>
      <w:r w:rsidR="00CC2916">
        <w:t xml:space="preserve">oint </w:t>
      </w:r>
      <w:r w:rsidR="000619E8">
        <w:t>D</w:t>
      </w:r>
      <w:r>
        <w:t xml:space="preserve">istributed </w:t>
      </w:r>
      <w:r w:rsidR="000619E8">
        <w:t>E</w:t>
      </w:r>
      <w:r>
        <w:t xml:space="preserve">nergy </w:t>
      </w:r>
      <w:r w:rsidR="000619E8">
        <w:t>R</w:t>
      </w:r>
      <w:r>
        <w:t xml:space="preserve">esources (DER) </w:t>
      </w:r>
      <w:r w:rsidR="000619E8">
        <w:t>O</w:t>
      </w:r>
      <w:r>
        <w:t xml:space="preserve">rchestration </w:t>
      </w:r>
      <w:r w:rsidR="000619E8">
        <w:t>A</w:t>
      </w:r>
      <w:r>
        <w:t>pplication specific criteria by which they will demonstrate their technological and operational readiness to deploy DER orchestration efforts at scale.</w:t>
      </w:r>
      <w:r w:rsidR="00685361">
        <w:t xml:space="preserve"> </w:t>
      </w:r>
      <w:r w:rsidRPr="00685361" w:rsidR="00685361">
        <w:t>Each IOU shall explain how planned capabilities will be validated before broader deployment.</w:t>
      </w:r>
    </w:p>
    <w:p w:rsidRPr="00852424" w:rsidR="004B4B22" w:rsidP="0066381B" w:rsidRDefault="004B4B22" w14:paraId="076E6F59" w14:textId="6B0022C2">
      <w:pPr>
        <w:pStyle w:val="OP"/>
        <w:rPr>
          <w:rStyle w:val="eop"/>
        </w:rPr>
      </w:pPr>
      <w:r>
        <w:t xml:space="preserve">Pacific Gas and Electric Company, Southern California Edison Company, and San Diego Gas &amp; Electric Company </w:t>
      </w:r>
      <w:r w:rsidRPr="0643A8E2">
        <w:rPr>
          <w:rStyle w:val="eop"/>
          <w:rFonts w:cs="Segoe UI"/>
        </w:rPr>
        <w:t xml:space="preserve">are ordered to first leverage existing technology investment authorizations or pending technology investment authorizations to implement the distributed energy resources (DER) orchestration </w:t>
      </w:r>
      <w:r w:rsidRPr="0643A8E2" w:rsidR="4E739E75">
        <w:rPr>
          <w:rStyle w:val="eop"/>
          <w:rFonts w:cs="Segoe UI"/>
        </w:rPr>
        <w:t>framework</w:t>
      </w:r>
      <w:r w:rsidRPr="0643A8E2">
        <w:rPr>
          <w:rStyle w:val="eop"/>
          <w:rFonts w:cs="Segoe UI"/>
        </w:rPr>
        <w:t xml:space="preserve"> before requesting any incremental technological investment</w:t>
      </w:r>
      <w:r w:rsidRPr="0643A8E2" w:rsidR="00B02B32">
        <w:rPr>
          <w:rStyle w:val="eop"/>
          <w:rFonts w:cs="Segoe UI"/>
        </w:rPr>
        <w:t>s</w:t>
      </w:r>
      <w:r w:rsidRPr="0643A8E2">
        <w:rPr>
          <w:rStyle w:val="eop"/>
          <w:rFonts w:cs="Segoe UI"/>
        </w:rPr>
        <w:t xml:space="preserve">.  </w:t>
      </w:r>
    </w:p>
    <w:p w:rsidR="004B4B22" w:rsidP="0066381B" w:rsidRDefault="004B4B22" w14:paraId="7DDA8BC5" w14:textId="32BF12EA">
      <w:pPr>
        <w:pStyle w:val="OP"/>
        <w:rPr>
          <w:rStyle w:val="eop"/>
          <w:rFonts w:cs="Segoe UI"/>
        </w:rPr>
      </w:pPr>
      <w:r>
        <w:t>Pacific Gas and Electric Company, Southern California Edison Company, and San Diego Gas &amp; Electric Company are ordered to</w:t>
      </w:r>
      <w:r w:rsidRPr="27511BD4">
        <w:rPr>
          <w:rStyle w:val="eop"/>
          <w:rFonts w:cs="Segoe UI"/>
        </w:rPr>
        <w:t xml:space="preserve"> demonstrate why </w:t>
      </w:r>
      <w:r w:rsidRPr="6468BBBE" w:rsidR="15202E26">
        <w:rPr>
          <w:rStyle w:val="eop"/>
          <w:rFonts w:cs="Segoe UI"/>
        </w:rPr>
        <w:t xml:space="preserve">funding </w:t>
      </w:r>
      <w:r w:rsidRPr="69E20DDC" w:rsidR="15202E26">
        <w:rPr>
          <w:rStyle w:val="eop"/>
          <w:rFonts w:cs="Segoe UI"/>
        </w:rPr>
        <w:t xml:space="preserve">from their </w:t>
      </w:r>
      <w:r w:rsidRPr="27511BD4">
        <w:rPr>
          <w:rStyle w:val="eop"/>
          <w:rFonts w:cs="Segoe UI"/>
        </w:rPr>
        <w:t xml:space="preserve">General Rate Case or other cost recovery </w:t>
      </w:r>
      <w:r w:rsidRPr="0D77E2C1" w:rsidR="4E739E75">
        <w:rPr>
          <w:rStyle w:val="eop"/>
          <w:rFonts w:cs="Segoe UI"/>
        </w:rPr>
        <w:t>proceeding</w:t>
      </w:r>
      <w:r w:rsidRPr="0D77E2C1" w:rsidR="030EDC47">
        <w:rPr>
          <w:rStyle w:val="eop"/>
          <w:rFonts w:cs="Segoe UI"/>
        </w:rPr>
        <w:t>s cannot be leveraged</w:t>
      </w:r>
      <w:r w:rsidRPr="27511BD4">
        <w:rPr>
          <w:rStyle w:val="eop"/>
          <w:rFonts w:cs="Segoe UI"/>
        </w:rPr>
        <w:t xml:space="preserve"> for any incremental technology investments they seek</w:t>
      </w:r>
      <w:r w:rsidR="00C96696">
        <w:rPr>
          <w:rStyle w:val="eop"/>
          <w:rFonts w:cs="Segoe UI"/>
        </w:rPr>
        <w:t>.</w:t>
      </w:r>
      <w:r w:rsidRPr="27511BD4">
        <w:rPr>
          <w:rStyle w:val="eop"/>
          <w:rFonts w:cs="Segoe UI"/>
        </w:rPr>
        <w:t>.</w:t>
      </w:r>
    </w:p>
    <w:p w:rsidR="1F876A1E" w:rsidP="1F876A1E" w:rsidRDefault="31F1A8B1" w14:paraId="3D4256AA" w14:textId="4051053D">
      <w:pPr>
        <w:pStyle w:val="OP"/>
      </w:pPr>
      <w:r w:rsidRPr="2242E2DF">
        <w:lastRenderedPageBreak/>
        <w:t>Pacific Gas and Electric Company, Southern California Edison Company, and San Diego Gas &amp; Electric Company</w:t>
      </w:r>
      <w:r w:rsidR="000619E8">
        <w:t>, collectively the Investor-Owned Utilities</w:t>
      </w:r>
      <w:r w:rsidRPr="2242E2DF">
        <w:t xml:space="preserve"> </w:t>
      </w:r>
      <w:r w:rsidR="0040589A">
        <w:t>(IOUs)</w:t>
      </w:r>
      <w:r w:rsidR="000619E8">
        <w:t>,</w:t>
      </w:r>
      <w:r w:rsidR="0040589A">
        <w:t xml:space="preserve"> </w:t>
      </w:r>
      <w:r w:rsidRPr="2242E2DF">
        <w:t xml:space="preserve">may submit optional Tier 2 </w:t>
      </w:r>
      <w:r w:rsidR="000619E8">
        <w:t>a</w:t>
      </w:r>
      <w:r w:rsidRPr="2242E2DF">
        <w:t xml:space="preserve">dvice </w:t>
      </w:r>
      <w:r w:rsidR="000619E8">
        <w:t>l</w:t>
      </w:r>
      <w:r w:rsidRPr="2242E2DF">
        <w:t xml:space="preserve">etters within two months of adoption of this decision to establish </w:t>
      </w:r>
      <w:r w:rsidR="000619E8">
        <w:t>m</w:t>
      </w:r>
      <w:r w:rsidRPr="2242E2DF">
        <w:t xml:space="preserve">emorandum </w:t>
      </w:r>
      <w:r w:rsidR="000619E8">
        <w:t>a</w:t>
      </w:r>
      <w:r w:rsidRPr="2242E2DF">
        <w:t xml:space="preserve">ccounts to track incremental costs associated with </w:t>
      </w:r>
      <w:r w:rsidR="00762AEB">
        <w:t xml:space="preserve">preparing the </w:t>
      </w:r>
      <w:r w:rsidR="000619E8">
        <w:t>J</w:t>
      </w:r>
      <w:r w:rsidR="00762AEB">
        <w:t xml:space="preserve">oint </w:t>
      </w:r>
      <w:r w:rsidR="000619E8">
        <w:t>D</w:t>
      </w:r>
      <w:r w:rsidR="00762AEB">
        <w:t xml:space="preserve">istributed </w:t>
      </w:r>
      <w:r w:rsidR="000619E8">
        <w:t>E</w:t>
      </w:r>
      <w:r w:rsidR="00762AEB">
        <w:t xml:space="preserve">nergy </w:t>
      </w:r>
      <w:r w:rsidR="000619E8">
        <w:t>R</w:t>
      </w:r>
      <w:r w:rsidR="00762AEB">
        <w:t>esources</w:t>
      </w:r>
      <w:r w:rsidR="008C0817">
        <w:t xml:space="preserve"> </w:t>
      </w:r>
      <w:r w:rsidR="000619E8">
        <w:t>O</w:t>
      </w:r>
      <w:r w:rsidR="008C0817">
        <w:t xml:space="preserve">rchestration </w:t>
      </w:r>
      <w:r w:rsidR="000619E8">
        <w:t>A</w:t>
      </w:r>
      <w:r w:rsidR="008C0817">
        <w:t xml:space="preserve">pplication, including administrative costs, costs to support the working group, and any minor studies needed to support the development of the application. </w:t>
      </w:r>
      <w:r w:rsidR="0040589A">
        <w:t xml:space="preserve">The IOUs must justify any costs recorded in this </w:t>
      </w:r>
      <w:r w:rsidR="000619E8">
        <w:t>m</w:t>
      </w:r>
      <w:r w:rsidR="0040589A">
        <w:t xml:space="preserve">emorandum </w:t>
      </w:r>
      <w:r w:rsidR="000619E8">
        <w:t>a</w:t>
      </w:r>
      <w:r w:rsidR="0040589A">
        <w:t xml:space="preserve">ccount, and the </w:t>
      </w:r>
      <w:r w:rsidR="000619E8">
        <w:t>m</w:t>
      </w:r>
      <w:r w:rsidR="0040589A">
        <w:t xml:space="preserve">emorandum </w:t>
      </w:r>
      <w:r w:rsidR="000619E8">
        <w:t>a</w:t>
      </w:r>
      <w:r w:rsidR="0040589A">
        <w:t>ccount shall be capped at a total of $500,000 shared across the IOUs.</w:t>
      </w:r>
      <w:r w:rsidR="00CF480A">
        <w:t xml:space="preserve"> </w:t>
      </w:r>
      <w:r w:rsidRPr="00CF480A" w:rsidR="00CF480A">
        <w:t xml:space="preserve">The advice letters shall describe anticipated incremental application-development costs and explain why existing authorized funding is insufficient. The IOUs shall </w:t>
      </w:r>
      <w:r w:rsidR="00CF480A">
        <w:t xml:space="preserve">record application-development costs in the memorandum accounts established by their Tier 2 advice letters and </w:t>
      </w:r>
      <w:r w:rsidRPr="00CF480A" w:rsidR="00CF480A">
        <w:t>coordinate accounting for shared expenses to remain within the $500,000 aggregate cap and avoid duplicate recording or recovery. Eligible costs shall be limited to application development, rather than technology acquisition or deployment, pilot operations, customer incentives, or ongoing program implementation. Recording costs does not establish their reasonableness or authorize recovery.</w:t>
      </w:r>
    </w:p>
    <w:p w:rsidR="006C4559" w:rsidP="006C4559" w:rsidRDefault="355882CD" w14:paraId="1B50BE49" w14:textId="78EC7278">
      <w:pPr>
        <w:pStyle w:val="OP"/>
      </w:pPr>
      <w:r w:rsidRPr="1115E623">
        <w:t>Pacific Gas and Electric Company, Southern California Edison Company, and San Diego Gas &amp; Electric Company are ordered to consider dynamic pricing in their</w:t>
      </w:r>
      <w:r w:rsidR="0040589A">
        <w:t xml:space="preserve"> </w:t>
      </w:r>
      <w:r w:rsidR="000619E8">
        <w:t>J</w:t>
      </w:r>
      <w:r w:rsidR="0040589A">
        <w:t>oint</w:t>
      </w:r>
      <w:r w:rsidRPr="1115E623">
        <w:t xml:space="preserve"> </w:t>
      </w:r>
      <w:r w:rsidR="000619E8">
        <w:t>D</w:t>
      </w:r>
      <w:r w:rsidR="0040589A">
        <w:t xml:space="preserve">istributed </w:t>
      </w:r>
      <w:r w:rsidR="000619E8">
        <w:t>E</w:t>
      </w:r>
      <w:r w:rsidR="0040589A">
        <w:t xml:space="preserve">nergy </w:t>
      </w:r>
      <w:r w:rsidR="000619E8">
        <w:t>Re</w:t>
      </w:r>
      <w:r w:rsidR="0040589A">
        <w:t>sources (</w:t>
      </w:r>
      <w:r w:rsidRPr="1115E623">
        <w:t>DER</w:t>
      </w:r>
      <w:r w:rsidR="0040589A">
        <w:t>)</w:t>
      </w:r>
      <w:r w:rsidRPr="1115E623">
        <w:t xml:space="preserve"> </w:t>
      </w:r>
      <w:r w:rsidR="000619E8">
        <w:t>O</w:t>
      </w:r>
      <w:r w:rsidRPr="1115E623">
        <w:t xml:space="preserve">rchestration </w:t>
      </w:r>
      <w:r w:rsidR="000619E8">
        <w:t>A</w:t>
      </w:r>
      <w:r w:rsidRPr="1115E623">
        <w:t xml:space="preserve">pplication where relevant to the development of DER orchestration, including where customer responses to dynamic pricing may affect load patterns, DER availability, timing, or the cost-effectiveness of proposed DER orchestration use cases. </w:t>
      </w:r>
    </w:p>
    <w:p w:rsidR="000302C3" w:rsidP="000302C3" w:rsidRDefault="00167C6C" w14:paraId="585B5532" w14:textId="674573A5">
      <w:pPr>
        <w:pStyle w:val="OP"/>
      </w:pPr>
      <w:r>
        <w:lastRenderedPageBreak/>
        <w:t xml:space="preserve">Within </w:t>
      </w:r>
      <w:r w:rsidR="00C96696">
        <w:t>12</w:t>
      </w:r>
      <w:r>
        <w:t>0 calendar days</w:t>
      </w:r>
      <w:r w:rsidR="00033A51">
        <w:t xml:space="preserve"> of the issuance if this decision,</w:t>
      </w:r>
      <w:r>
        <w:t xml:space="preserve"> </w:t>
      </w:r>
      <w:r w:rsidR="006C4559">
        <w:t xml:space="preserve">Pacific Gas and Electric Company, Southern California Edison Company, and San Diego Gas &amp; Electric Company are </w:t>
      </w:r>
      <w:r w:rsidR="000302C3">
        <w:t>ordered to present their</w:t>
      </w:r>
      <w:r w:rsidR="00033A51">
        <w:t xml:space="preserve"> proposal</w:t>
      </w:r>
      <w:r w:rsidR="000302C3">
        <w:t xml:space="preserve"> </w:t>
      </w:r>
      <w:r w:rsidR="00A4075E">
        <w:t xml:space="preserve">of </w:t>
      </w:r>
      <w:r w:rsidR="00E34DB0">
        <w:t>for incorporating a</w:t>
      </w:r>
      <w:r w:rsidR="00A4075E">
        <w:t xml:space="preserve"> </w:t>
      </w:r>
      <w:r w:rsidR="000302C3">
        <w:t xml:space="preserve">Load Flexibility </w:t>
      </w:r>
      <w:r w:rsidR="000619E8">
        <w:t>S</w:t>
      </w:r>
      <w:r w:rsidR="00254359">
        <w:t xml:space="preserve">cenario </w:t>
      </w:r>
      <w:r w:rsidR="001B5F3A">
        <w:t xml:space="preserve">into the Scenario Planning </w:t>
      </w:r>
      <w:r w:rsidR="002C50FA">
        <w:t>process</w:t>
      </w:r>
      <w:r w:rsidR="006B7B6C">
        <w:t xml:space="preserve"> of </w:t>
      </w:r>
      <w:r w:rsidR="00AF7A39">
        <w:t xml:space="preserve">the </w:t>
      </w:r>
      <w:r w:rsidR="006C4559">
        <w:t xml:space="preserve">Distribution Planning and Execution Process (DPEP) </w:t>
      </w:r>
      <w:r w:rsidR="000302C3">
        <w:t>at a full-day stakeholder workshop</w:t>
      </w:r>
      <w:r w:rsidR="006C4559">
        <w:t xml:space="preserve"> </w:t>
      </w:r>
      <w:r w:rsidR="000302C3">
        <w:t xml:space="preserve">with presentations addressing the technical elements outlined below. </w:t>
      </w:r>
    </w:p>
    <w:p w:rsidR="000302C3" w:rsidP="0066381B" w:rsidRDefault="000302C3" w14:paraId="42E04AE9" w14:textId="77777777">
      <w:pPr>
        <w:pStyle w:val="CoL"/>
        <w:numPr>
          <w:ilvl w:val="0"/>
          <w:numId w:val="77"/>
        </w:numPr>
        <w:spacing w:after="120" w:line="240" w:lineRule="auto"/>
        <w:ind w:left="1080" w:right="1440"/>
      </w:pPr>
      <w:r>
        <w:t>Technical methodologies and foundational assumptions of a Load Flexibility Scenario;</w:t>
      </w:r>
    </w:p>
    <w:p w:rsidR="000302C3" w:rsidP="0066381B" w:rsidRDefault="000302C3" w14:paraId="31A6AE21" w14:textId="77777777">
      <w:pPr>
        <w:pStyle w:val="Standard"/>
        <w:numPr>
          <w:ilvl w:val="0"/>
          <w:numId w:val="67"/>
        </w:numPr>
        <w:spacing w:after="120" w:line="240" w:lineRule="auto"/>
        <w:ind w:left="1080" w:right="1440"/>
      </w:pPr>
      <w:r>
        <w:t>How the Load Flexibility Scenario relates to and interacts with existing Low, Base, and High scenarios (e.g., whether it is independent from the other scenarios or if it modifies them);</w:t>
      </w:r>
    </w:p>
    <w:p w:rsidR="000302C3" w:rsidP="0066381B" w:rsidRDefault="000302C3" w14:paraId="6272E787" w14:textId="77777777">
      <w:pPr>
        <w:pStyle w:val="Standard"/>
        <w:numPr>
          <w:ilvl w:val="0"/>
          <w:numId w:val="67"/>
        </w:numPr>
        <w:spacing w:after="120" w:line="240" w:lineRule="auto"/>
        <w:ind w:left="1080" w:right="1440"/>
      </w:pPr>
      <w:r>
        <w:t>Integration with each utility’s decision logic framework and any required modifications to existing decision logic;</w:t>
      </w:r>
    </w:p>
    <w:p w:rsidR="000302C3" w:rsidP="0066381B" w:rsidRDefault="146ED453" w14:paraId="6D290114" w14:textId="77777777">
      <w:pPr>
        <w:pStyle w:val="Standard"/>
        <w:numPr>
          <w:ilvl w:val="0"/>
          <w:numId w:val="67"/>
        </w:numPr>
        <w:spacing w:after="120" w:line="240" w:lineRule="auto"/>
        <w:ind w:left="1080" w:right="1440"/>
      </w:pPr>
      <w:r>
        <w:t>Proposed criteria for determining implementation readiness;</w:t>
      </w:r>
    </w:p>
    <w:p w:rsidR="000302C3" w:rsidP="000302C3" w:rsidRDefault="006C4559" w14:paraId="07F3EDB9" w14:textId="011C5E85">
      <w:pPr>
        <w:pStyle w:val="OP"/>
      </w:pPr>
      <w:r>
        <w:t xml:space="preserve">Pacific Gas and Electric Company, Southern California Edison Company, and San Diego Gas &amp; Electric Company, collectively the </w:t>
      </w:r>
      <w:r w:rsidR="00220B7B">
        <w:t>I</w:t>
      </w:r>
      <w:r>
        <w:t>nvestor-</w:t>
      </w:r>
      <w:r w:rsidR="00220B7B">
        <w:t>O</w:t>
      </w:r>
      <w:r>
        <w:t xml:space="preserve">wned </w:t>
      </w:r>
      <w:r w:rsidR="00220B7B">
        <w:t>U</w:t>
      </w:r>
      <w:r>
        <w:t>tilities (IOUs),</w:t>
      </w:r>
      <w:r w:rsidR="000302C3">
        <w:t xml:space="preserve"> are ordered to file a joint Tier 3 </w:t>
      </w:r>
      <w:r w:rsidR="009A566E">
        <w:t>a</w:t>
      </w:r>
      <w:r w:rsidR="000302C3">
        <w:t xml:space="preserve">dvice </w:t>
      </w:r>
      <w:r w:rsidR="009A566E">
        <w:t>l</w:t>
      </w:r>
      <w:r w:rsidR="000302C3">
        <w:t xml:space="preserve">etter within 60 </w:t>
      </w:r>
      <w:r w:rsidR="240336BA">
        <w:t xml:space="preserve">calendar </w:t>
      </w:r>
      <w:r w:rsidR="000302C3">
        <w:t xml:space="preserve">days after the workshop providing the technical basis for Load Flexibility Scenario inputs. At minimum, the </w:t>
      </w:r>
      <w:r w:rsidR="009A566E">
        <w:t>a</w:t>
      </w:r>
      <w:r w:rsidR="000302C3">
        <w:t xml:space="preserve">dvice </w:t>
      </w:r>
      <w:r w:rsidR="009A566E">
        <w:t>l</w:t>
      </w:r>
      <w:r w:rsidR="000302C3">
        <w:t>etters sh</w:t>
      </w:r>
      <w:r w:rsidR="00682E4A">
        <w:t>all</w:t>
      </w:r>
      <w:r w:rsidR="000302C3">
        <w:t xml:space="preserve"> include: </w:t>
      </w:r>
    </w:p>
    <w:p w:rsidR="000302C3" w:rsidP="0066381B" w:rsidRDefault="000302C3" w14:paraId="33F38E00" w14:textId="0E5BF4BE">
      <w:pPr>
        <w:pStyle w:val="Standard"/>
        <w:numPr>
          <w:ilvl w:val="0"/>
          <w:numId w:val="68"/>
        </w:numPr>
        <w:spacing w:after="120" w:line="240" w:lineRule="auto"/>
        <w:ind w:left="1080" w:right="1440"/>
      </w:pPr>
      <w:r>
        <w:t xml:space="preserve">Each IOU's load-modifier (load flexibility) methodology, including whether inputs are derived from </w:t>
      </w:r>
      <w:r w:rsidR="00F57105">
        <w:t>CEC’s D-Flex Tool (2023)</w:t>
      </w:r>
      <w:r w:rsidR="00BB5FF2">
        <w:t xml:space="preserve"> technical potential outputs</w:t>
      </w:r>
      <w:r>
        <w:t xml:space="preserve">, </w:t>
      </w:r>
      <w:r w:rsidR="00B3435F">
        <w:t>utilit</w:t>
      </w:r>
      <w:r w:rsidR="0021383E">
        <w:t xml:space="preserve">y-developed </w:t>
      </w:r>
      <w:r w:rsidR="00964B4F">
        <w:t xml:space="preserve">disaggregated </w:t>
      </w:r>
      <w:r>
        <w:t>outputs, a hybrid of the two inputs, or another utility method;</w:t>
      </w:r>
    </w:p>
    <w:p w:rsidR="000302C3" w:rsidP="0066381B" w:rsidRDefault="000302C3" w14:paraId="219B6DE5" w14:textId="77777777">
      <w:pPr>
        <w:pStyle w:val="Standard"/>
        <w:numPr>
          <w:ilvl w:val="0"/>
          <w:numId w:val="68"/>
        </w:numPr>
        <w:spacing w:after="120" w:line="240" w:lineRule="auto"/>
        <w:ind w:left="1080" w:right="1440"/>
      </w:pPr>
      <w:r>
        <w:t>L</w:t>
      </w:r>
      <w:r w:rsidRPr="00A30663">
        <w:t>ocational granularity at which each IOU can resolve demand flexibility inputs (substation, circuit) and the disaggregation method;</w:t>
      </w:r>
    </w:p>
    <w:p w:rsidR="000302C3" w:rsidP="0066381B" w:rsidRDefault="000302C3" w14:paraId="62D3A023" w14:textId="77777777">
      <w:pPr>
        <w:pStyle w:val="Standard"/>
        <w:numPr>
          <w:ilvl w:val="0"/>
          <w:numId w:val="68"/>
        </w:numPr>
        <w:spacing w:after="120" w:line="240" w:lineRule="auto"/>
        <w:ind w:left="1080" w:right="1440"/>
      </w:pPr>
      <w:r>
        <w:t>T</w:t>
      </w:r>
      <w:r w:rsidRPr="00A30663">
        <w:t>emporal granularity of modeled flexibility (hourly profiles, peak coincidence with local constraints);</w:t>
      </w:r>
    </w:p>
    <w:p w:rsidR="000302C3" w:rsidP="0066381B" w:rsidRDefault="000302C3" w14:paraId="6BB35686" w14:textId="77777777">
      <w:pPr>
        <w:pStyle w:val="Standard"/>
        <w:numPr>
          <w:ilvl w:val="0"/>
          <w:numId w:val="68"/>
        </w:numPr>
        <w:spacing w:after="120" w:line="240" w:lineRule="auto"/>
        <w:ind w:left="1080" w:right="1440"/>
      </w:pPr>
      <w:r>
        <w:lastRenderedPageBreak/>
        <w:t>Applicability and thresholds: the criteria and locations where each IOU proposes to apply the Load Flexibility Scenario, including the determination that system-level levers (e.g., traditional upgrades, IEPR-forecasted load growth assumptions, pending load categories) are sufficient to address distribution grid constraints;</w:t>
      </w:r>
    </w:p>
    <w:p w:rsidR="000302C3" w:rsidP="0066381B" w:rsidRDefault="000302C3" w14:paraId="5A0B3D87" w14:textId="77777777">
      <w:pPr>
        <w:pStyle w:val="Standard"/>
        <w:numPr>
          <w:ilvl w:val="0"/>
          <w:numId w:val="68"/>
        </w:numPr>
        <w:spacing w:after="120" w:line="240" w:lineRule="auto"/>
        <w:ind w:left="1080" w:right="1440"/>
      </w:pPr>
      <w:r>
        <w:t>P</w:t>
      </w:r>
      <w:r w:rsidRPr="00A30663">
        <w:t>roposed definition of the scenario's role</w:t>
      </w:r>
      <w:r>
        <w:t xml:space="preserve">, </w:t>
      </w:r>
      <w:r w:rsidRPr="00A30663">
        <w:t>prioritization (</w:t>
      </w:r>
      <w:proofErr w:type="gramStart"/>
      <w:r>
        <w:t>similar</w:t>
      </w:r>
      <w:r w:rsidRPr="00A30663">
        <w:t xml:space="preserve"> to</w:t>
      </w:r>
      <w:proofErr w:type="gramEnd"/>
      <w:r w:rsidRPr="00A30663">
        <w:t xml:space="preserve"> the Low Scenario) versus sizing/timing (</w:t>
      </w:r>
      <w:proofErr w:type="gramStart"/>
      <w:r>
        <w:t>similar</w:t>
      </w:r>
      <w:r w:rsidRPr="00A30663">
        <w:t xml:space="preserve"> to</w:t>
      </w:r>
      <w:proofErr w:type="gramEnd"/>
      <w:r w:rsidRPr="00A30663">
        <w:t xml:space="preserve"> the High Scenario);</w:t>
      </w:r>
    </w:p>
    <w:p w:rsidR="000302C3" w:rsidP="0066381B" w:rsidRDefault="000302C3" w14:paraId="7C443EC7" w14:textId="77777777">
      <w:pPr>
        <w:pStyle w:val="Standard"/>
        <w:numPr>
          <w:ilvl w:val="0"/>
          <w:numId w:val="68"/>
        </w:numPr>
        <w:spacing w:after="120" w:line="240" w:lineRule="auto"/>
        <w:ind w:left="1080" w:right="1440"/>
      </w:pPr>
      <w:r>
        <w:t>G</w:t>
      </w:r>
      <w:r w:rsidRPr="00A30663">
        <w:t>uardrails, including reconciliation with the IEPR forecast and prevention of counting</w:t>
      </w:r>
      <w:r>
        <w:t xml:space="preserve"> multiple times</w:t>
      </w:r>
      <w:r w:rsidRPr="00A30663">
        <w:t xml:space="preserve"> against existing scenarios</w:t>
      </w:r>
      <w:r>
        <w:t>,</w:t>
      </w:r>
      <w:r w:rsidRPr="00A30663">
        <w:t xml:space="preserve"> pending loads</w:t>
      </w:r>
      <w:r>
        <w:t xml:space="preserve"> and other demand side management programs</w:t>
      </w:r>
      <w:r w:rsidRPr="00A30663">
        <w:t>;</w:t>
      </w:r>
    </w:p>
    <w:p w:rsidR="000302C3" w:rsidP="0066381B" w:rsidRDefault="000302C3" w14:paraId="61295738" w14:textId="18F136E3">
      <w:pPr>
        <w:pStyle w:val="Standard"/>
        <w:numPr>
          <w:ilvl w:val="0"/>
          <w:numId w:val="68"/>
        </w:numPr>
        <w:spacing w:after="120" w:line="240" w:lineRule="auto"/>
        <w:ind w:left="1080" w:right="1440"/>
      </w:pPr>
      <w:r>
        <w:t>D</w:t>
      </w:r>
      <w:r w:rsidRPr="00A30663">
        <w:t xml:space="preserve">ata infrastructure dependencies (including </w:t>
      </w:r>
      <w:r w:rsidR="000B7D68">
        <w:t xml:space="preserve">AMI </w:t>
      </w:r>
      <w:r w:rsidRPr="00A30663">
        <w:t xml:space="preserve">2.0 timing) and any </w:t>
      </w:r>
      <w:r w:rsidR="007E1C70">
        <w:t>temporary solutions pending full deployment of such dependencies</w:t>
      </w:r>
      <w:r w:rsidRPr="00A30663">
        <w:t xml:space="preserve">; and </w:t>
      </w:r>
    </w:p>
    <w:p w:rsidR="000302C3" w:rsidP="0066381B" w:rsidRDefault="000302C3" w14:paraId="0A03F429" w14:textId="77777777">
      <w:pPr>
        <w:pStyle w:val="Standard"/>
        <w:numPr>
          <w:ilvl w:val="0"/>
          <w:numId w:val="68"/>
        </w:numPr>
        <w:spacing w:after="120" w:line="240" w:lineRule="auto"/>
        <w:ind w:left="1080" w:right="1440"/>
      </w:pPr>
      <w:r>
        <w:t>Description of how</w:t>
      </w:r>
      <w:r w:rsidRPr="00A30663">
        <w:t xml:space="preserve"> scenario outputs would be reported in G</w:t>
      </w:r>
      <w:r>
        <w:t xml:space="preserve">rid </w:t>
      </w:r>
      <w:r w:rsidRPr="00A30663">
        <w:t>N</w:t>
      </w:r>
      <w:r>
        <w:t xml:space="preserve">eeds </w:t>
      </w:r>
      <w:r w:rsidRPr="00A30663">
        <w:t>A</w:t>
      </w:r>
      <w:r>
        <w:t>ssessment</w:t>
      </w:r>
      <w:r w:rsidRPr="00A30663">
        <w:t>/D</w:t>
      </w:r>
      <w:r>
        <w:t xml:space="preserve">istribution </w:t>
      </w:r>
      <w:r w:rsidRPr="00A30663">
        <w:t>U</w:t>
      </w:r>
      <w:r>
        <w:t xml:space="preserve">pgrade </w:t>
      </w:r>
      <w:r w:rsidRPr="00A30663">
        <w:t>P</w:t>
      </w:r>
      <w:r>
        <w:t xml:space="preserve">roject </w:t>
      </w:r>
      <w:r w:rsidRPr="00A30663">
        <w:t>R</w:t>
      </w:r>
      <w:r>
        <w:t>eport</w:t>
      </w:r>
      <w:r w:rsidRPr="00A30663">
        <w:t xml:space="preserve"> filings.</w:t>
      </w:r>
    </w:p>
    <w:p w:rsidR="00EE109D" w:rsidP="0066381B" w:rsidRDefault="00EE109D" w14:paraId="4EA70F9C" w14:textId="128B123D">
      <w:pPr>
        <w:pStyle w:val="Standard"/>
        <w:numPr>
          <w:ilvl w:val="0"/>
          <w:numId w:val="68"/>
        </w:numPr>
        <w:spacing w:after="120" w:line="240" w:lineRule="auto"/>
        <w:ind w:left="1080" w:right="1440"/>
      </w:pPr>
      <w:r>
        <w:t xml:space="preserve">How the Load Flexibility Scenario will be incorporated </w:t>
      </w:r>
      <w:r w:rsidR="00C4556E">
        <w:t xml:space="preserve">into the existing </w:t>
      </w:r>
      <w:r w:rsidR="003E4963">
        <w:t>DPEP Scenario Planning Framework</w:t>
      </w:r>
      <w:r w:rsidR="003A2C2C">
        <w:t xml:space="preserve"> starting </w:t>
      </w:r>
      <w:r w:rsidR="000B4335">
        <w:t>in the 2027-2028 DPEP cycle.</w:t>
      </w:r>
    </w:p>
    <w:p w:rsidR="000302C3" w:rsidP="000302C3" w:rsidRDefault="5EC191BB" w14:paraId="12CD0D3F" w14:textId="7DC7A2F1">
      <w:pPr>
        <w:pStyle w:val="OP"/>
      </w:pPr>
      <w:r>
        <w:t>Pacific Gas and Electric Company, Southern California Edison Company, and San Diego Gas &amp; Electric Company</w:t>
      </w:r>
      <w:r w:rsidR="146ED453">
        <w:t xml:space="preserve"> are ordered to use </w:t>
      </w:r>
      <w:r w:rsidRPr="1EA89D75" w:rsidR="146ED453">
        <w:rPr>
          <w:rFonts w:eastAsia="Aptos" w:cs="Aptos"/>
        </w:rPr>
        <w:t xml:space="preserve">the methodological lessons and directional findings from </w:t>
      </w:r>
      <w:r w:rsidRPr="1EA89D75" w:rsidR="5342393F">
        <w:rPr>
          <w:rFonts w:eastAsia="Aptos" w:cs="Aptos"/>
        </w:rPr>
        <w:t>Electrification</w:t>
      </w:r>
      <w:r w:rsidRPr="1EA89D75">
        <w:rPr>
          <w:rFonts w:eastAsia="Aptos" w:cs="Aptos"/>
        </w:rPr>
        <w:t xml:space="preserve"> </w:t>
      </w:r>
      <w:r w:rsidRPr="1EA89D75" w:rsidR="146ED453">
        <w:rPr>
          <w:rFonts w:eastAsia="Aptos" w:cs="Aptos"/>
        </w:rPr>
        <w:t>I</w:t>
      </w:r>
      <w:r w:rsidRPr="1EA89D75">
        <w:rPr>
          <w:rFonts w:eastAsia="Aptos" w:cs="Aptos"/>
        </w:rPr>
        <w:t xml:space="preserve">mpact </w:t>
      </w:r>
      <w:r w:rsidRPr="1EA89D75" w:rsidR="146ED453">
        <w:rPr>
          <w:rFonts w:eastAsia="Aptos" w:cs="Aptos"/>
        </w:rPr>
        <w:t>S</w:t>
      </w:r>
      <w:r w:rsidRPr="1EA89D75">
        <w:rPr>
          <w:rFonts w:eastAsia="Aptos" w:cs="Aptos"/>
        </w:rPr>
        <w:t xml:space="preserve">tudy </w:t>
      </w:r>
      <w:r w:rsidRPr="1EA89D75" w:rsidR="5C16BAF5">
        <w:rPr>
          <w:rFonts w:eastAsia="Aptos" w:cs="Aptos"/>
        </w:rPr>
        <w:t>Part</w:t>
      </w:r>
      <w:r w:rsidRPr="1EA89D75">
        <w:rPr>
          <w:rFonts w:eastAsia="Aptos" w:cs="Aptos"/>
        </w:rPr>
        <w:t xml:space="preserve"> </w:t>
      </w:r>
      <w:r w:rsidRPr="1EA89D75" w:rsidR="146ED453">
        <w:rPr>
          <w:rFonts w:eastAsia="Aptos" w:cs="Aptos"/>
        </w:rPr>
        <w:t>2 as the analytical foundation for a Load Flexibility Scenario</w:t>
      </w:r>
      <w:r w:rsidR="146ED453">
        <w:t>.</w:t>
      </w:r>
    </w:p>
    <w:p w:rsidR="000302C3" w:rsidP="000302C3" w:rsidRDefault="000302C3" w14:paraId="618AA688" w14:textId="54A442C3">
      <w:pPr>
        <w:pStyle w:val="OP"/>
      </w:pPr>
      <w:r>
        <w:t xml:space="preserve">All rulings made by the assigned Administrative Law Judge or the assigned Commissioner related to </w:t>
      </w:r>
      <w:r w:rsidR="00E87708">
        <w:t xml:space="preserve">Track 1 and Track 2 of this proceeding </w:t>
      </w:r>
      <w:r>
        <w:t>are affirmed.</w:t>
      </w:r>
    </w:p>
    <w:p w:rsidRPr="00274495" w:rsidR="00274495" w:rsidP="00274495" w:rsidRDefault="00274495" w14:paraId="64CC578F" w14:textId="0235FFC3">
      <w:pPr>
        <w:pStyle w:val="OP"/>
        <w:rPr>
          <w:lang w:eastAsia="zh-CN"/>
        </w:rPr>
      </w:pPr>
      <w:r w:rsidRPr="00274495">
        <w:rPr>
          <w:lang w:eastAsia="zh-CN"/>
        </w:rPr>
        <w:t>All motions related to Track 1 and Track 2 of this proceeding that were not ruled on are denied. Conflict of interest concerns raised by the Motion to Address Unaddressed Issues filed by</w:t>
      </w:r>
      <w:r>
        <w:rPr>
          <w:lang w:eastAsia="zh-CN"/>
        </w:rPr>
        <w:t xml:space="preserve"> the</w:t>
      </w:r>
      <w:r w:rsidRPr="00274495">
        <w:rPr>
          <w:lang w:eastAsia="zh-CN"/>
        </w:rPr>
        <w:t xml:space="preserve"> C</w:t>
      </w:r>
      <w:r>
        <w:rPr>
          <w:lang w:eastAsia="zh-CN"/>
        </w:rPr>
        <w:t xml:space="preserve">enter for </w:t>
      </w:r>
      <w:r w:rsidRPr="00274495">
        <w:rPr>
          <w:lang w:eastAsia="zh-CN"/>
        </w:rPr>
        <w:t>B</w:t>
      </w:r>
      <w:r>
        <w:rPr>
          <w:lang w:eastAsia="zh-CN"/>
        </w:rPr>
        <w:t xml:space="preserve">iological </w:t>
      </w:r>
      <w:r w:rsidRPr="00274495">
        <w:rPr>
          <w:lang w:eastAsia="zh-CN"/>
        </w:rPr>
        <w:t>D</w:t>
      </w:r>
      <w:r>
        <w:rPr>
          <w:lang w:eastAsia="zh-CN"/>
        </w:rPr>
        <w:t>iversity</w:t>
      </w:r>
      <w:r w:rsidRPr="00274495">
        <w:rPr>
          <w:lang w:eastAsia="zh-CN"/>
        </w:rPr>
        <w:t xml:space="preserve"> and </w:t>
      </w:r>
      <w:r>
        <w:rPr>
          <w:lang w:eastAsia="zh-CN"/>
        </w:rPr>
        <w:t xml:space="preserve">the </w:t>
      </w:r>
      <w:r w:rsidRPr="00274495">
        <w:rPr>
          <w:lang w:eastAsia="zh-CN"/>
        </w:rPr>
        <w:lastRenderedPageBreak/>
        <w:t>U</w:t>
      </w:r>
      <w:r>
        <w:rPr>
          <w:lang w:eastAsia="zh-CN"/>
        </w:rPr>
        <w:t xml:space="preserve">tility </w:t>
      </w:r>
      <w:r w:rsidRPr="00274495">
        <w:rPr>
          <w:lang w:eastAsia="zh-CN"/>
        </w:rPr>
        <w:t>C</w:t>
      </w:r>
      <w:r>
        <w:rPr>
          <w:lang w:eastAsia="zh-CN"/>
        </w:rPr>
        <w:t xml:space="preserve">onsumers </w:t>
      </w:r>
      <w:r w:rsidRPr="00274495">
        <w:rPr>
          <w:lang w:eastAsia="zh-CN"/>
        </w:rPr>
        <w:t>A</w:t>
      </w:r>
      <w:r>
        <w:rPr>
          <w:lang w:eastAsia="zh-CN"/>
        </w:rPr>
        <w:t xml:space="preserve">ction </w:t>
      </w:r>
      <w:r w:rsidRPr="00274495">
        <w:rPr>
          <w:lang w:eastAsia="zh-CN"/>
        </w:rPr>
        <w:t>N</w:t>
      </w:r>
      <w:r>
        <w:rPr>
          <w:lang w:eastAsia="zh-CN"/>
        </w:rPr>
        <w:t xml:space="preserve">etwork </w:t>
      </w:r>
      <w:r w:rsidRPr="00274495">
        <w:rPr>
          <w:lang w:eastAsia="zh-CN"/>
        </w:rPr>
        <w:t xml:space="preserve">on September 10, 2026 shall be considered during the working group meetings and may be addressed subsequently through the Joint Investor-Owned Utility Application proceeding. </w:t>
      </w:r>
    </w:p>
    <w:p w:rsidR="000302C3" w:rsidP="006C4559" w:rsidRDefault="000302C3" w14:paraId="569A7CAF" w14:textId="1889A2E1">
      <w:pPr>
        <w:pStyle w:val="OP"/>
      </w:pPr>
      <w:r>
        <w:t>R</w:t>
      </w:r>
      <w:r w:rsidRPr="001E2A62">
        <w:t>ulemaking</w:t>
      </w:r>
      <w:r>
        <w:t xml:space="preserve"> 21-06-017</w:t>
      </w:r>
      <w:r w:rsidRPr="001E2A62">
        <w:t xml:space="preserve"> </w:t>
      </w:r>
      <w:r>
        <w:t>remains open.</w:t>
      </w:r>
    </w:p>
    <w:p w:rsidR="008F0116" w:rsidP="008F0116" w:rsidRDefault="008F0116" w14:paraId="7E26575E" w14:textId="77777777">
      <w:r>
        <w:t>This order is effective today.</w:t>
      </w:r>
    </w:p>
    <w:p w:rsidR="00714CF2" w:rsidP="00816E05" w:rsidRDefault="008F0116" w14:paraId="1FF2A298" w14:textId="24A67166">
      <w:r>
        <w:t xml:space="preserve">Dated </w:t>
      </w:r>
      <w:r w:rsidR="00A322BA">
        <w:t>October 29, 2026</w:t>
      </w:r>
      <w:r>
        <w:t>, at San Francisco, Californ</w:t>
      </w:r>
      <w:r w:rsidRPr="009230D7">
        <w:t>ia</w:t>
      </w:r>
      <w:r w:rsidRPr="009230D7" w:rsidR="00A322BA">
        <w:t>.</w:t>
      </w:r>
    </w:p>
    <w:p w:rsidR="00D332E0" w:rsidP="00816E05" w:rsidRDefault="00D332E0" w14:paraId="59AC3861" w14:textId="120B6290"/>
    <w:p w:rsidRPr="00A322BA" w:rsidR="00A322BA" w:rsidP="00A322BA" w:rsidRDefault="00A322BA" w14:paraId="204E6A6E" w14:textId="77777777">
      <w:pPr>
        <w:autoSpaceDE w:val="0"/>
        <w:autoSpaceDN w:val="0"/>
        <w:adjustRightInd w:val="0"/>
        <w:spacing w:line="240" w:lineRule="auto"/>
        <w:ind w:left="3600"/>
        <w:jc w:val="both"/>
        <w:rPr>
          <w:rFonts w:eastAsia="Calibri" w:cs="Times New Roman"/>
          <w:szCs w:val="20"/>
        </w:rPr>
      </w:pPr>
      <w:r w:rsidRPr="00A322BA">
        <w:rPr>
          <w:rFonts w:eastAsia="Calibri" w:cs="Times New Roman"/>
          <w:szCs w:val="20"/>
        </w:rPr>
        <w:t>JOHN REYNOLDS</w:t>
      </w:r>
    </w:p>
    <w:p w:rsidRPr="00A322BA" w:rsidR="00A322BA" w:rsidP="00A322BA" w:rsidRDefault="00A322BA" w14:paraId="7B55C703" w14:textId="77777777">
      <w:pPr>
        <w:autoSpaceDE w:val="0"/>
        <w:autoSpaceDN w:val="0"/>
        <w:adjustRightInd w:val="0"/>
        <w:spacing w:line="240" w:lineRule="auto"/>
        <w:jc w:val="both"/>
        <w:rPr>
          <w:rFonts w:eastAsia="Calibri" w:cs="Times New Roman"/>
          <w:szCs w:val="20"/>
        </w:rPr>
      </w:pPr>
      <w:r w:rsidRPr="00A322BA">
        <w:rPr>
          <w:rFonts w:eastAsia="Calibri" w:cs="Times New Roman"/>
          <w:szCs w:val="20"/>
        </w:rPr>
        <w:tab/>
      </w:r>
      <w:r w:rsidRPr="00A322BA">
        <w:rPr>
          <w:rFonts w:eastAsia="Calibri" w:cs="Times New Roman"/>
          <w:szCs w:val="20"/>
        </w:rPr>
        <w:tab/>
      </w:r>
      <w:r w:rsidRPr="00A322BA">
        <w:rPr>
          <w:rFonts w:eastAsia="Calibri" w:cs="Times New Roman"/>
          <w:szCs w:val="20"/>
        </w:rPr>
        <w:tab/>
      </w:r>
      <w:r w:rsidRPr="00A322BA">
        <w:rPr>
          <w:rFonts w:eastAsia="Calibri" w:cs="Times New Roman"/>
          <w:szCs w:val="20"/>
        </w:rPr>
        <w:tab/>
      </w:r>
      <w:r w:rsidRPr="00A322BA">
        <w:rPr>
          <w:rFonts w:eastAsia="Calibri" w:cs="Times New Roman"/>
          <w:szCs w:val="20"/>
        </w:rPr>
        <w:tab/>
        <w:t xml:space="preserve">                       President</w:t>
      </w:r>
    </w:p>
    <w:p w:rsidRPr="00A322BA" w:rsidR="00A322BA" w:rsidP="00A322BA" w:rsidRDefault="00A322BA" w14:paraId="24C0C21E" w14:textId="77777777">
      <w:pPr>
        <w:autoSpaceDE w:val="0"/>
        <w:autoSpaceDN w:val="0"/>
        <w:adjustRightInd w:val="0"/>
        <w:spacing w:line="240" w:lineRule="auto"/>
        <w:ind w:left="3600"/>
        <w:jc w:val="both"/>
        <w:rPr>
          <w:rFonts w:eastAsia="Calibri" w:cs="Times New Roman"/>
          <w:szCs w:val="20"/>
        </w:rPr>
      </w:pPr>
      <w:r w:rsidRPr="00A322BA">
        <w:rPr>
          <w:rFonts w:eastAsia="Calibri" w:cs="Times New Roman"/>
          <w:szCs w:val="20"/>
        </w:rPr>
        <w:t>DARCIE L. HOUCK</w:t>
      </w:r>
    </w:p>
    <w:p w:rsidRPr="00A322BA" w:rsidR="00A322BA" w:rsidP="00A322BA" w:rsidRDefault="00A322BA" w14:paraId="11E3AE7A" w14:textId="77777777">
      <w:pPr>
        <w:autoSpaceDE w:val="0"/>
        <w:autoSpaceDN w:val="0"/>
        <w:adjustRightInd w:val="0"/>
        <w:spacing w:line="240" w:lineRule="auto"/>
        <w:ind w:left="3600"/>
        <w:jc w:val="both"/>
        <w:rPr>
          <w:rFonts w:eastAsia="Times New Roman" w:cs="Calibri"/>
          <w:color w:val="000000"/>
          <w:szCs w:val="26"/>
        </w:rPr>
      </w:pPr>
      <w:r w:rsidRPr="00A322BA">
        <w:rPr>
          <w:rFonts w:eastAsia="Times New Roman" w:cs="Calibri"/>
          <w:color w:val="000000"/>
          <w:szCs w:val="26"/>
        </w:rPr>
        <w:t>KAREN DOUGLAS</w:t>
      </w:r>
    </w:p>
    <w:p w:rsidRPr="00A322BA" w:rsidR="00A322BA" w:rsidP="00A322BA" w:rsidRDefault="00A322BA" w14:paraId="66A92CEC" w14:textId="77777777">
      <w:pPr>
        <w:autoSpaceDE w:val="0"/>
        <w:autoSpaceDN w:val="0"/>
        <w:adjustRightInd w:val="0"/>
        <w:spacing w:line="240" w:lineRule="auto"/>
        <w:ind w:left="3600"/>
        <w:jc w:val="both"/>
        <w:rPr>
          <w:rFonts w:eastAsia="Calibri" w:cs="Times New Roman"/>
          <w:szCs w:val="20"/>
        </w:rPr>
      </w:pPr>
      <w:r w:rsidRPr="00A322BA">
        <w:rPr>
          <w:rFonts w:eastAsia="Calibri" w:cs="Times New Roman"/>
          <w:szCs w:val="20"/>
        </w:rPr>
        <w:t>CHRISTINE HARADA</w:t>
      </w:r>
    </w:p>
    <w:p w:rsidRPr="00A322BA" w:rsidR="00A322BA" w:rsidP="00A322BA" w:rsidRDefault="00A322BA" w14:paraId="032D5931" w14:textId="77777777">
      <w:pPr>
        <w:autoSpaceDE w:val="0"/>
        <w:autoSpaceDN w:val="0"/>
        <w:adjustRightInd w:val="0"/>
        <w:spacing w:line="240" w:lineRule="auto"/>
        <w:ind w:left="4320"/>
        <w:jc w:val="both"/>
        <w:rPr>
          <w:rFonts w:eastAsia="Calibri" w:cs="Times New Roman"/>
          <w:szCs w:val="20"/>
        </w:rPr>
      </w:pPr>
      <w:r w:rsidRPr="00A322BA">
        <w:rPr>
          <w:rFonts w:eastAsia="Calibri" w:cs="Times New Roman"/>
          <w:szCs w:val="20"/>
        </w:rPr>
        <w:t xml:space="preserve">            Commissioners</w:t>
      </w:r>
    </w:p>
    <w:p w:rsidRPr="00A322BA" w:rsidR="00A322BA" w:rsidP="00A322BA" w:rsidRDefault="00A322BA" w14:paraId="7DC35F26" w14:textId="77777777">
      <w:pPr>
        <w:keepNext/>
        <w:keepLines/>
        <w:rPr>
          <w:rFonts w:cs="Arial"/>
        </w:rPr>
      </w:pPr>
    </w:p>
    <w:p w:rsidRPr="00A322BA" w:rsidR="00A322BA" w:rsidP="00A322BA" w:rsidRDefault="00A322BA" w14:paraId="4B263768" w14:textId="77777777">
      <w:pPr>
        <w:keepNext/>
        <w:keepLines/>
        <w:autoSpaceDE w:val="0"/>
        <w:autoSpaceDN w:val="0"/>
        <w:adjustRightInd w:val="0"/>
        <w:spacing w:line="240" w:lineRule="auto"/>
        <w:ind w:left="4380" w:firstLine="0"/>
        <w:rPr>
          <w:rFonts w:eastAsia="Calibri" w:cs="Times New Roman"/>
          <w:szCs w:val="20"/>
        </w:rPr>
      </w:pPr>
      <w:r w:rsidRPr="00A322BA">
        <w:rPr>
          <w:rFonts w:eastAsia="Calibri" w:cs="Times New Roman"/>
          <w:szCs w:val="20"/>
        </w:rPr>
        <w:t xml:space="preserve">Commissioner Matthew Baker recused himself and did not participate in the vote </w:t>
      </w:r>
      <w:proofErr w:type="gramStart"/>
      <w:r w:rsidRPr="00A322BA">
        <w:rPr>
          <w:rFonts w:eastAsia="Calibri" w:cs="Times New Roman"/>
          <w:szCs w:val="20"/>
        </w:rPr>
        <w:t>of</w:t>
      </w:r>
      <w:proofErr w:type="gramEnd"/>
      <w:r w:rsidRPr="00A322BA">
        <w:rPr>
          <w:rFonts w:eastAsia="Calibri" w:cs="Times New Roman"/>
          <w:szCs w:val="20"/>
        </w:rPr>
        <w:t xml:space="preserve"> this item.</w:t>
      </w:r>
    </w:p>
    <w:p w:rsidRPr="00714CF2" w:rsidR="00A322BA" w:rsidP="00816E05" w:rsidRDefault="00A322BA" w14:paraId="173EE4FF" w14:textId="77777777"/>
    <w:sectPr w:rsidRPr="00714CF2" w:rsidR="00A322BA" w:rsidSect="00841BEE">
      <w:headerReference w:type="default" r:id="rId19"/>
      <w:footerReference w:type="default" r:id="rId20"/>
      <w:pgSz w:w="12240" w:h="15840"/>
      <w:pgMar w:top="1728" w:right="1440" w:bottom="1440" w:left="1440" w:header="720" w:footer="720" w:gutter="0"/>
      <w:pgNumType w:start="2"/>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C194D3" w14:textId="77777777" w:rsidR="00764402" w:rsidRDefault="00764402" w:rsidP="0098138E">
      <w:pPr>
        <w:spacing w:line="240" w:lineRule="auto"/>
      </w:pPr>
      <w:r>
        <w:separator/>
      </w:r>
    </w:p>
  </w:endnote>
  <w:endnote w:type="continuationSeparator" w:id="0">
    <w:p w14:paraId="61218B08" w14:textId="77777777" w:rsidR="00764402" w:rsidRDefault="00764402" w:rsidP="0098138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Aptos Narrow">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FBE1F5" w14:textId="77777777" w:rsidR="00504735" w:rsidRDefault="0050473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994225" w14:textId="77777777" w:rsidR="00504735" w:rsidRDefault="0050473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48A8A7" w14:textId="3E6EBDD7" w:rsidR="00841BEE" w:rsidRDefault="00764402" w:rsidP="007E0FEE">
    <w:pPr>
      <w:tabs>
        <w:tab w:val="center" w:pos="4680"/>
      </w:tabs>
      <w:ind w:firstLine="0"/>
      <w:rPr>
        <w:noProof/>
      </w:rPr>
    </w:pPr>
    <w:sdt>
      <w:sdtPr>
        <w:id w:val="170612098"/>
        <w:docPartObj>
          <w:docPartGallery w:val="Page Numbers (Bottom of Page)"/>
          <w:docPartUnique/>
        </w:docPartObj>
      </w:sdtPr>
      <w:sdtEndPr>
        <w:rPr>
          <w:noProof/>
        </w:rPr>
      </w:sdtEndPr>
      <w:sdtContent>
        <w:r w:rsidR="00720D9B" w:rsidRPr="00720D9B">
          <w:rPr>
            <w:sz w:val="16"/>
            <w:szCs w:val="16"/>
          </w:rPr>
          <w:t>627147339</w:t>
        </w:r>
        <w:r w:rsidR="00841BEE">
          <w:rPr>
            <w:rFonts w:ascii="Arial" w:hAnsi="Arial" w:cs="Arial"/>
            <w:sz w:val="16"/>
            <w:szCs w:val="16"/>
          </w:rPr>
          <w:tab/>
        </w:r>
        <w:r w:rsidR="00841BEE">
          <w:t xml:space="preserve">- </w:t>
        </w:r>
        <w:r w:rsidR="00841BEE">
          <w:fldChar w:fldCharType="begin"/>
        </w:r>
        <w:r w:rsidR="00841BEE">
          <w:instrText xml:space="preserve"> PAGE   \* MERGEFORMAT </w:instrText>
        </w:r>
        <w:r w:rsidR="00841BEE">
          <w:fldChar w:fldCharType="separate"/>
        </w:r>
        <w:r w:rsidR="00841BEE">
          <w:rPr>
            <w:noProof/>
          </w:rPr>
          <w:t>2</w:t>
        </w:r>
        <w:r w:rsidR="00841BEE">
          <w:rPr>
            <w:noProof/>
          </w:rPr>
          <w:fldChar w:fldCharType="end"/>
        </w:r>
      </w:sdtContent>
    </w:sdt>
    <w:r w:rsidR="00841BEE">
      <w:rPr>
        <w:noProof/>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20A502" w14:textId="77777777" w:rsidR="00E23CBB" w:rsidRDefault="00E23CBB" w:rsidP="007E0FEE">
    <w:pPr>
      <w:ind w:firstLine="0"/>
      <w:jc w:val="center"/>
    </w:pPr>
    <w:r>
      <w:t>-</w:t>
    </w:r>
    <w:r w:rsidR="00EE4315">
      <w:t xml:space="preserve"> </w:t>
    </w:r>
    <w:sdt>
      <w:sdtPr>
        <w:id w:val="1793169647"/>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r w:rsidR="00EE4315">
          <w:rPr>
            <w:noProof/>
          </w:rPr>
          <w:t xml:space="preserve"> </w:t>
        </w:r>
        <w:r>
          <w:rPr>
            <w:noProof/>
          </w:rPr>
          <w:t>-</w:t>
        </w:r>
      </w:sdtContent>
    </w:sdt>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51C228" w14:textId="77777777" w:rsidR="00E23CBB" w:rsidRDefault="00E23CBB" w:rsidP="007E0FEE">
    <w:pPr>
      <w:ind w:firstLine="0"/>
      <w:jc w:val="center"/>
    </w:pPr>
    <w:r>
      <w:t>-</w:t>
    </w:r>
    <w:sdt>
      <w:sdtPr>
        <w:id w:val="-1034043401"/>
        <w:docPartObj>
          <w:docPartGallery w:val="Page Numbers (Bottom of Page)"/>
          <w:docPartUnique/>
        </w:docPartObj>
      </w:sdtPr>
      <w:sdtEndPr>
        <w:rPr>
          <w:noProof/>
        </w:rPr>
      </w:sdtEndPr>
      <w:sdtContent>
        <w:r w:rsidR="00EE4315">
          <w:t xml:space="preserve"> </w:t>
        </w:r>
        <w:r>
          <w:fldChar w:fldCharType="begin"/>
        </w:r>
        <w:r>
          <w:instrText xml:space="preserve"> PAGE   \* MERGEFORMAT </w:instrText>
        </w:r>
        <w:r>
          <w:fldChar w:fldCharType="separate"/>
        </w:r>
        <w:r>
          <w:rPr>
            <w:noProof/>
          </w:rPr>
          <w:t>2</w:t>
        </w:r>
        <w:r>
          <w:rPr>
            <w:noProof/>
          </w:rPr>
          <w:fldChar w:fldCharType="end"/>
        </w:r>
        <w:r w:rsidR="00EE4315">
          <w:rPr>
            <w:noProof/>
          </w:rPr>
          <w:t xml:space="preserve"> </w:t>
        </w:r>
        <w:r>
          <w:rPr>
            <w:noProof/>
          </w:rPr>
          <w:t>-</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3F9EAA" w14:textId="77777777" w:rsidR="00764402" w:rsidRDefault="00764402" w:rsidP="00DF58E7">
      <w:pPr>
        <w:spacing w:line="240" w:lineRule="auto"/>
        <w:ind w:firstLine="0"/>
      </w:pPr>
      <w:r>
        <w:separator/>
      </w:r>
    </w:p>
  </w:footnote>
  <w:footnote w:type="continuationSeparator" w:id="0">
    <w:p w14:paraId="2C28C6AD" w14:textId="77777777" w:rsidR="00764402" w:rsidRDefault="00764402" w:rsidP="00DF58E7">
      <w:pPr>
        <w:spacing w:line="240" w:lineRule="auto"/>
        <w:ind w:firstLine="0"/>
      </w:pPr>
      <w:r>
        <w:continuationSeparator/>
      </w:r>
    </w:p>
  </w:footnote>
  <w:footnote w:type="continuationNotice" w:id="1">
    <w:p w14:paraId="382648E1" w14:textId="77777777" w:rsidR="00764402" w:rsidRPr="00DF58E7" w:rsidRDefault="00764402" w:rsidP="00DF58E7">
      <w:pPr>
        <w:spacing w:line="240" w:lineRule="auto"/>
        <w:ind w:firstLine="0"/>
        <w:jc w:val="right"/>
        <w:rPr>
          <w:i/>
          <w:sz w:val="22"/>
        </w:rPr>
      </w:pPr>
      <w:r w:rsidRPr="00DF58E7">
        <w:rPr>
          <w:i/>
          <w:sz w:val="22"/>
        </w:rPr>
        <w:t xml:space="preserve">Footnote </w:t>
      </w:r>
      <w:proofErr w:type="gramStart"/>
      <w:r w:rsidRPr="00DF58E7">
        <w:rPr>
          <w:i/>
          <w:sz w:val="22"/>
        </w:rPr>
        <w:t>continued on</w:t>
      </w:r>
      <w:proofErr w:type="gramEnd"/>
      <w:r w:rsidRPr="00DF58E7">
        <w:rPr>
          <w:i/>
          <w:sz w:val="22"/>
        </w:rPr>
        <w:t xml:space="preserve"> next page.</w:t>
      </w:r>
    </w:p>
  </w:footnote>
  <w:footnote w:id="2">
    <w:p w14:paraId="391F7CCE" w14:textId="25F6272F" w:rsidR="00F86D3B" w:rsidRDefault="00F86D3B">
      <w:pPr>
        <w:pStyle w:val="FootnoteText"/>
      </w:pPr>
      <w:r>
        <w:rPr>
          <w:rStyle w:val="FootnoteReference"/>
        </w:rPr>
        <w:footnoteRef/>
      </w:r>
      <w:r>
        <w:t xml:space="preserve"> </w:t>
      </w:r>
      <w:r w:rsidRPr="51573FB4">
        <w:t xml:space="preserve">“Distributed </w:t>
      </w:r>
      <w:r w:rsidR="00007ACD">
        <w:t xml:space="preserve">energy </w:t>
      </w:r>
      <w:r w:rsidRPr="51573FB4">
        <w:t>resources</w:t>
      </w:r>
      <w:r w:rsidR="002A1788">
        <w:t>”</w:t>
      </w:r>
      <w:r w:rsidRPr="51573FB4">
        <w:t xml:space="preserve"> means distributed renewable generation resources, energy efficiency, energy storage, electric vehicles, and demand response technologies” (</w:t>
      </w:r>
      <w:r w:rsidR="00DF1C13" w:rsidRPr="00DF1C13">
        <w:t xml:space="preserve">Assembly Bill </w:t>
      </w:r>
      <w:r w:rsidR="00DF1C13">
        <w:t>(</w:t>
      </w:r>
      <w:r w:rsidRPr="51573FB4">
        <w:t>AB</w:t>
      </w:r>
      <w:r w:rsidR="00DF1C13">
        <w:t>)</w:t>
      </w:r>
      <w:r w:rsidRPr="51573FB4">
        <w:t xml:space="preserve"> 327</w:t>
      </w:r>
      <w:r w:rsidR="000001BD">
        <w:t xml:space="preserve"> (Perea, </w:t>
      </w:r>
      <w:r w:rsidR="00851500">
        <w:t>Chapter 611, Statutes of 2012)</w:t>
      </w:r>
      <w:r w:rsidRPr="51573FB4">
        <w:t xml:space="preserve"> and </w:t>
      </w:r>
      <w:r w:rsidR="007F1C91">
        <w:t>Public Utilities Code</w:t>
      </w:r>
      <w:r w:rsidR="00D55B4C">
        <w:t xml:space="preserve"> </w:t>
      </w:r>
      <w:r w:rsidR="00572851">
        <w:t>Section</w:t>
      </w:r>
      <w:r w:rsidR="007F1C91">
        <w:t xml:space="preserve"> </w:t>
      </w:r>
      <w:r w:rsidRPr="51573FB4">
        <w:t>769(a)). The Federal Energy Regulatory Commission (FERC) defines distributed energy resources “as any resource located on the distribution system, any subsystem thereof or behind a customer meter</w:t>
      </w:r>
      <w:r w:rsidR="004C0337">
        <w:t xml:space="preserve">. … </w:t>
      </w:r>
      <w:r w:rsidRPr="51573FB4">
        <w:t xml:space="preserve">These resources may include, but are not limited to, resources that are in front of and behind the customer meter, electric storage resources, intermittent generation, distributed generation, demand response, energy efficiency, thermal storage, and electric vehicles and their supply equipment” (FERC Order No. 2222, 86 </w:t>
      </w:r>
      <w:r w:rsidR="006D3B3B">
        <w:t>Federal Register</w:t>
      </w:r>
      <w:r w:rsidR="006D3B3B" w:rsidRPr="51573FB4">
        <w:t xml:space="preserve"> </w:t>
      </w:r>
      <w:r w:rsidRPr="51573FB4">
        <w:t>16511, June 1, 2021 at 11).</w:t>
      </w:r>
    </w:p>
  </w:footnote>
  <w:footnote w:id="3">
    <w:p w14:paraId="0EC23110" w14:textId="44D99A1C" w:rsidR="003514D6" w:rsidRDefault="003514D6">
      <w:pPr>
        <w:pStyle w:val="FootnoteText"/>
      </w:pPr>
      <w:r>
        <w:rPr>
          <w:rStyle w:val="FootnoteReference"/>
        </w:rPr>
        <w:footnoteRef/>
      </w:r>
      <w:r>
        <w:t xml:space="preserve"> </w:t>
      </w:r>
      <w:r w:rsidR="008D6655" w:rsidRPr="008D6655">
        <w:t>See Executive Order B-48-18, Executive Order N-79-20, and the California Energy Commission (CEC) 2018 E</w:t>
      </w:r>
      <w:r w:rsidR="00E906EE">
        <w:t xml:space="preserve">lectric </w:t>
      </w:r>
      <w:r w:rsidR="008D6655" w:rsidRPr="008D6655">
        <w:t>V</w:t>
      </w:r>
      <w:r w:rsidR="00E906EE">
        <w:t>ehicle</w:t>
      </w:r>
      <w:r w:rsidR="008D6655" w:rsidRPr="008D6655">
        <w:t xml:space="preserve"> projections in the Staff Report, California </w:t>
      </w:r>
      <w:r w:rsidR="00163832">
        <w:t>Plug-In Electric Vehicle</w:t>
      </w:r>
      <w:r w:rsidR="00163832" w:rsidRPr="008D6655">
        <w:t xml:space="preserve"> </w:t>
      </w:r>
      <w:r w:rsidR="008D6655" w:rsidRPr="008D6655">
        <w:t>Infrastructure Projections</w:t>
      </w:r>
      <w:r w:rsidR="00163832">
        <w:t>:</w:t>
      </w:r>
      <w:r w:rsidR="008D6655" w:rsidRPr="008D6655">
        <w:t xml:space="preserve"> 2017-2025 (Docket 17-ALT-01, 2018-2019 Investment Plan Update for the Alternative and Renewable Fuel and Vehicle Technology Program).</w:t>
      </w:r>
    </w:p>
  </w:footnote>
  <w:footnote w:id="4">
    <w:p w14:paraId="249C0968" w14:textId="774F6D51" w:rsidR="00E57A66" w:rsidRDefault="00E57A66" w:rsidP="00E57A66">
      <w:pPr>
        <w:pStyle w:val="FootnoteText"/>
      </w:pPr>
      <w:r>
        <w:rPr>
          <w:rStyle w:val="FootnoteReference"/>
        </w:rPr>
        <w:footnoteRef/>
      </w:r>
      <w:r>
        <w:t xml:space="preserve"> </w:t>
      </w:r>
      <w:r w:rsidR="00AD741C" w:rsidRPr="00B329B2">
        <w:t>AB 3232</w:t>
      </w:r>
      <w:r w:rsidR="00AD741C">
        <w:t xml:space="preserve"> (Friedman, Chapter 373, Statutes of 2018)</w:t>
      </w:r>
      <w:r w:rsidR="001C621E">
        <w:t>,</w:t>
      </w:r>
      <w:r w:rsidR="00AD741C">
        <w:t xml:space="preserve"> </w:t>
      </w:r>
      <w:r w:rsidRPr="00B329B2">
        <w:t>Senate Bill 1477</w:t>
      </w:r>
      <w:r w:rsidR="00D87DF7">
        <w:t xml:space="preserve"> (Stern, Chapter 378, Statutes of 2018)</w:t>
      </w:r>
      <w:r w:rsidR="005C1E3C">
        <w:t>,</w:t>
      </w:r>
      <w:r w:rsidRPr="00B329B2">
        <w:t xml:space="preserve"> Building Decarbonization </w:t>
      </w:r>
      <w:r w:rsidR="00977707">
        <w:t xml:space="preserve">proceeding </w:t>
      </w:r>
      <w:r w:rsidRPr="00B329B2">
        <w:t>(R.19-01-011)</w:t>
      </w:r>
      <w:r w:rsidR="005C1E3C">
        <w:t>,</w:t>
      </w:r>
      <w:r w:rsidRPr="00B329B2">
        <w:t xml:space="preserve"> and Long-Term Gas System Planning </w:t>
      </w:r>
      <w:r w:rsidR="00977707">
        <w:t xml:space="preserve">proceeding </w:t>
      </w:r>
      <w:r w:rsidRPr="00B329B2">
        <w:t>(R.20-01-007).</w:t>
      </w:r>
    </w:p>
  </w:footnote>
  <w:footnote w:id="5">
    <w:p w14:paraId="63DBE144" w14:textId="7FAD5373" w:rsidR="001534B1" w:rsidRDefault="001534B1" w:rsidP="001534B1">
      <w:pPr>
        <w:pStyle w:val="FootnoteText"/>
      </w:pPr>
      <w:r>
        <w:rPr>
          <w:rStyle w:val="FootnoteReference"/>
        </w:rPr>
        <w:footnoteRef/>
      </w:r>
      <w:r>
        <w:t xml:space="preserve"> </w:t>
      </w:r>
      <w:r w:rsidRPr="00DE7C5B">
        <w:t xml:space="preserve">Reach codes are local building codes that seek higher energy savings and emission reductions than those required by the State’s building </w:t>
      </w:r>
      <w:r w:rsidR="00106A69">
        <w:t xml:space="preserve">energy efficiency </w:t>
      </w:r>
      <w:r w:rsidRPr="00DE7C5B">
        <w:t>standards</w:t>
      </w:r>
      <w:r w:rsidR="00EB0530">
        <w:t xml:space="preserve"> (</w:t>
      </w:r>
      <w:r w:rsidR="00EB0530" w:rsidRPr="00EB0530">
        <w:t>California Code of Regulations, Title 24</w:t>
      </w:r>
      <w:r w:rsidR="00636392">
        <w:t>, Part 6</w:t>
      </w:r>
      <w:r w:rsidR="00EB0530">
        <w:t>)</w:t>
      </w:r>
      <w:r w:rsidRPr="00DE7C5B">
        <w:t>.</w:t>
      </w:r>
    </w:p>
  </w:footnote>
  <w:footnote w:id="6">
    <w:p w14:paraId="36536F2E" w14:textId="37675D23" w:rsidR="0010679F" w:rsidRPr="006B3EF9" w:rsidRDefault="0010679F" w:rsidP="006B3EF9">
      <w:pPr>
        <w:pStyle w:val="Standard"/>
        <w:spacing w:line="240" w:lineRule="auto"/>
        <w:ind w:firstLine="0"/>
        <w:rPr>
          <w:sz w:val="22"/>
        </w:rPr>
      </w:pPr>
      <w:r>
        <w:rPr>
          <w:rStyle w:val="FootnoteReference"/>
        </w:rPr>
        <w:footnoteRef/>
      </w:r>
      <w:r>
        <w:t xml:space="preserve"> </w:t>
      </w:r>
      <w:r w:rsidRPr="005C4BAF">
        <w:rPr>
          <w:sz w:val="22"/>
        </w:rPr>
        <w:t xml:space="preserve">In California, DSO functions, including distribution system planning and operations, are provided by the electric </w:t>
      </w:r>
      <w:r w:rsidR="00BF392C" w:rsidRPr="00BF392C">
        <w:rPr>
          <w:sz w:val="22"/>
        </w:rPr>
        <w:t>Investor-Owned Utilities (IOUs)</w:t>
      </w:r>
      <w:r w:rsidRPr="005C4BAF">
        <w:rPr>
          <w:sz w:val="22"/>
        </w:rPr>
        <w:t xml:space="preserve">. As the market evolves into a high-penetration DER scenario, IOU roles </w:t>
      </w:r>
      <w:r w:rsidR="004C0337">
        <w:rPr>
          <w:sz w:val="22"/>
        </w:rPr>
        <w:t>may</w:t>
      </w:r>
      <w:r w:rsidRPr="005C4BAF">
        <w:rPr>
          <w:sz w:val="22"/>
        </w:rPr>
        <w:t xml:space="preserve"> also evolve </w:t>
      </w:r>
      <w:r w:rsidR="004C0337">
        <w:rPr>
          <w:sz w:val="22"/>
        </w:rPr>
        <w:t>with</w:t>
      </w:r>
      <w:r w:rsidRPr="005C4BAF">
        <w:rPr>
          <w:sz w:val="22"/>
        </w:rPr>
        <w:t xml:space="preserve"> a</w:t>
      </w:r>
      <w:r w:rsidR="004C0337">
        <w:rPr>
          <w:sz w:val="22"/>
        </w:rPr>
        <w:t xml:space="preserve"> potentially growing</w:t>
      </w:r>
      <w:r w:rsidRPr="005C4BAF">
        <w:rPr>
          <w:sz w:val="22"/>
        </w:rPr>
        <w:t xml:space="preserve"> need to consider different DSO roles. The term, “DSO</w:t>
      </w:r>
      <w:r w:rsidR="004C0337">
        <w:rPr>
          <w:sz w:val="22"/>
        </w:rPr>
        <w:t>” often refers</w:t>
      </w:r>
      <w:r w:rsidRPr="005C4BAF">
        <w:rPr>
          <w:sz w:val="22"/>
        </w:rPr>
        <w:t xml:space="preserve"> to conceptual models designed to efficiently operate distribution systems with high numbers of DERs. The various DSO models present alternative approaches to distribution system planning and operations that may help integrate DERs at least cost by increasing DER market opportunities and value capture while maintaining system safety and reliability.</w:t>
      </w:r>
    </w:p>
  </w:footnote>
  <w:footnote w:id="7">
    <w:p w14:paraId="5C39A3D2" w14:textId="788891EF" w:rsidR="00757C0E" w:rsidRDefault="00757C0E">
      <w:pPr>
        <w:pStyle w:val="FootnoteText"/>
      </w:pPr>
      <w:r>
        <w:rPr>
          <w:rStyle w:val="FootnoteReference"/>
        </w:rPr>
        <w:footnoteRef/>
      </w:r>
      <w:r>
        <w:t xml:space="preserve"> All </w:t>
      </w:r>
      <w:r w:rsidR="00655C24">
        <w:t xml:space="preserve">subsequent </w:t>
      </w:r>
      <w:r>
        <w:t xml:space="preserve">statutory references are to the Public Utilities Code unless otherwise </w:t>
      </w:r>
      <w:r w:rsidR="00655C24">
        <w:t>specified</w:t>
      </w:r>
      <w:r>
        <w:t>.</w:t>
      </w:r>
    </w:p>
  </w:footnote>
  <w:footnote w:id="8">
    <w:p w14:paraId="14130FE4" w14:textId="780FD639" w:rsidR="00503A55" w:rsidRDefault="00503A55">
      <w:pPr>
        <w:pStyle w:val="FootnoteText"/>
      </w:pPr>
      <w:r w:rsidRPr="00776E2C">
        <w:rPr>
          <w:rStyle w:val="FootnoteReference"/>
        </w:rPr>
        <w:footnoteRef/>
      </w:r>
      <w:r w:rsidRPr="00776E2C">
        <w:t xml:space="preserve"> </w:t>
      </w:r>
      <w:r w:rsidR="00572851">
        <w:t xml:space="preserve">Section </w:t>
      </w:r>
      <w:r w:rsidR="003E45AC" w:rsidRPr="00776E2C">
        <w:t>769(b)</w:t>
      </w:r>
      <w:r w:rsidR="00776E2C" w:rsidRPr="00776E2C">
        <w:t>.</w:t>
      </w:r>
    </w:p>
  </w:footnote>
  <w:footnote w:id="9">
    <w:p w14:paraId="04278473" w14:textId="4D9F26CA" w:rsidR="003C19F8" w:rsidRDefault="003C19F8">
      <w:pPr>
        <w:pStyle w:val="FootnoteText"/>
      </w:pPr>
      <w:r>
        <w:rPr>
          <w:rStyle w:val="FootnoteReference"/>
        </w:rPr>
        <w:footnoteRef/>
      </w:r>
      <w:r>
        <w:t xml:space="preserve"> </w:t>
      </w:r>
      <w:r w:rsidRPr="003C19F8">
        <w:rPr>
          <w:i/>
          <w:iCs/>
        </w:rPr>
        <w:t>O</w:t>
      </w:r>
      <w:r w:rsidR="007C7BCF">
        <w:rPr>
          <w:i/>
          <w:iCs/>
        </w:rPr>
        <w:t xml:space="preserve">rder </w:t>
      </w:r>
      <w:r w:rsidRPr="003C19F8">
        <w:rPr>
          <w:i/>
          <w:iCs/>
        </w:rPr>
        <w:t>I</w:t>
      </w:r>
      <w:r w:rsidR="007C7BCF">
        <w:rPr>
          <w:i/>
          <w:iCs/>
        </w:rPr>
        <w:t xml:space="preserve">nstituting </w:t>
      </w:r>
      <w:r w:rsidRPr="003C19F8">
        <w:rPr>
          <w:i/>
          <w:iCs/>
        </w:rPr>
        <w:t>R</w:t>
      </w:r>
      <w:r w:rsidR="007C7BCF">
        <w:rPr>
          <w:i/>
          <w:iCs/>
        </w:rPr>
        <w:t>ulemaking</w:t>
      </w:r>
      <w:r w:rsidRPr="003C19F8">
        <w:rPr>
          <w:i/>
          <w:iCs/>
        </w:rPr>
        <w:t xml:space="preserve"> Regarding Policies, Procedures and Rules for Development of Distribution Resources Plans Pursuant to Public Utilities Code Section 769</w:t>
      </w:r>
      <w:r w:rsidRPr="003C19F8">
        <w:t>, August 20, 2014</w:t>
      </w:r>
      <w:r w:rsidR="006D5C03">
        <w:t>.</w:t>
      </w:r>
    </w:p>
  </w:footnote>
  <w:footnote w:id="10">
    <w:p w14:paraId="7AFCACDB" w14:textId="2B855A16" w:rsidR="00387DB6" w:rsidRDefault="00387DB6">
      <w:pPr>
        <w:pStyle w:val="FootnoteText"/>
      </w:pPr>
      <w:r>
        <w:rPr>
          <w:rStyle w:val="FootnoteReference"/>
        </w:rPr>
        <w:footnoteRef/>
      </w:r>
      <w:r>
        <w:t xml:space="preserve"> </w:t>
      </w:r>
      <w:r w:rsidRPr="00387DB6">
        <w:rPr>
          <w:i/>
          <w:iCs/>
        </w:rPr>
        <w:t>O</w:t>
      </w:r>
      <w:r w:rsidR="00C42F4E">
        <w:rPr>
          <w:i/>
          <w:iCs/>
        </w:rPr>
        <w:t xml:space="preserve">rder </w:t>
      </w:r>
      <w:r w:rsidRPr="00387DB6">
        <w:rPr>
          <w:i/>
          <w:iCs/>
        </w:rPr>
        <w:t>I</w:t>
      </w:r>
      <w:r w:rsidR="00C42F4E">
        <w:rPr>
          <w:i/>
          <w:iCs/>
        </w:rPr>
        <w:t xml:space="preserve">nstituting </w:t>
      </w:r>
      <w:r w:rsidRPr="00387DB6">
        <w:rPr>
          <w:i/>
          <w:iCs/>
        </w:rPr>
        <w:t>R</w:t>
      </w:r>
      <w:r w:rsidR="00C42F4E">
        <w:rPr>
          <w:i/>
          <w:iCs/>
        </w:rPr>
        <w:t>ulemaking</w:t>
      </w:r>
      <w:r w:rsidRPr="00387DB6">
        <w:rPr>
          <w:i/>
          <w:iCs/>
        </w:rPr>
        <w:t xml:space="preserve"> to Create a Consistent Regulatory Framework for the Guidance, Planning, and Evaluation of Integrated Demand-Side Resource Programs</w:t>
      </w:r>
      <w:r w:rsidRPr="00387DB6">
        <w:t>, October 8, 2014.</w:t>
      </w:r>
    </w:p>
  </w:footnote>
  <w:footnote w:id="11">
    <w:p w14:paraId="59B43DC9" w14:textId="3C67DDF5" w:rsidR="00094280" w:rsidRDefault="00094280" w:rsidP="00094280">
      <w:pPr>
        <w:pStyle w:val="FootnoteText"/>
      </w:pPr>
      <w:r>
        <w:rPr>
          <w:rStyle w:val="FootnoteReference"/>
        </w:rPr>
        <w:footnoteRef/>
      </w:r>
      <w:r>
        <w:t xml:space="preserve"> </w:t>
      </w:r>
      <w:r w:rsidR="006D5C03" w:rsidRPr="006D5C03">
        <w:t>D</w:t>
      </w:r>
      <w:r w:rsidR="006D5C03">
        <w:t>ecision (D</w:t>
      </w:r>
      <w:r w:rsidR="006D5C03" w:rsidRPr="006D5C03">
        <w:t>.</w:t>
      </w:r>
      <w:r w:rsidR="006D5C03">
        <w:t xml:space="preserve">) </w:t>
      </w:r>
      <w:r w:rsidR="006D5C03" w:rsidRPr="006D5C03">
        <w:t>21-09-005 and D.22-05-002.</w:t>
      </w:r>
    </w:p>
  </w:footnote>
  <w:footnote w:id="12">
    <w:p w14:paraId="19D87747" w14:textId="5921B193" w:rsidR="00AB1F15" w:rsidRDefault="00AB1F15" w:rsidP="00AB1F15">
      <w:pPr>
        <w:pStyle w:val="FootnoteText"/>
      </w:pPr>
      <w:r>
        <w:rPr>
          <w:rStyle w:val="FootnoteReference"/>
        </w:rPr>
        <w:footnoteRef/>
      </w:r>
      <w:r>
        <w:t xml:space="preserve"> </w:t>
      </w:r>
      <w:r w:rsidRPr="00282890">
        <w:rPr>
          <w:szCs w:val="26"/>
        </w:rPr>
        <w:t xml:space="preserve">DER sourcing mechanisms refers to </w:t>
      </w:r>
      <w:r w:rsidR="000A0DA0">
        <w:rPr>
          <w:szCs w:val="26"/>
        </w:rPr>
        <w:t xml:space="preserve">Section </w:t>
      </w:r>
      <w:r w:rsidRPr="00282890">
        <w:rPr>
          <w:szCs w:val="26"/>
        </w:rPr>
        <w:t>769(b)(2), which requires utilities to “propose or identify standard tariffs, contracts, or other mechanisms for the deployment of cost-effective distributed resources that satisfy distribution planning objectives.”</w:t>
      </w:r>
    </w:p>
  </w:footnote>
  <w:footnote w:id="13">
    <w:p w14:paraId="20F5CFEB" w14:textId="0B800886" w:rsidR="00AB2128" w:rsidRDefault="00AB2128">
      <w:pPr>
        <w:pStyle w:val="FootnoteText"/>
      </w:pPr>
      <w:r>
        <w:rPr>
          <w:rStyle w:val="FootnoteReference"/>
        </w:rPr>
        <w:footnoteRef/>
      </w:r>
      <w:r>
        <w:t xml:space="preserve"> </w:t>
      </w:r>
      <w:r w:rsidR="00110C48" w:rsidRPr="00110C48">
        <w:t>D.16-12-036</w:t>
      </w:r>
      <w:r w:rsidR="006D5C03">
        <w:t xml:space="preserve"> </w:t>
      </w:r>
      <w:r w:rsidR="00110C48" w:rsidRPr="00110C48">
        <w:t xml:space="preserve">adopted the Competitive Solicitation Framework for R.14-10-003 that was applied to the </w:t>
      </w:r>
      <w:r w:rsidR="00771DAC">
        <w:t>Distribution Investment Deferral Framework (</w:t>
      </w:r>
      <w:r w:rsidR="00110C48" w:rsidRPr="00110C48">
        <w:t>DIDF</w:t>
      </w:r>
      <w:r w:rsidR="00771DAC">
        <w:t>)</w:t>
      </w:r>
      <w:r w:rsidR="00110C48" w:rsidRPr="00110C48">
        <w:t xml:space="preserve"> pursuant to D.18-02-004 for R.14-08-013.</w:t>
      </w:r>
    </w:p>
  </w:footnote>
  <w:footnote w:id="14">
    <w:p w14:paraId="0701B92D" w14:textId="25957642" w:rsidR="0066146F" w:rsidRDefault="0066146F">
      <w:pPr>
        <w:pStyle w:val="FootnoteText"/>
      </w:pPr>
      <w:r>
        <w:rPr>
          <w:rStyle w:val="FootnoteReference"/>
        </w:rPr>
        <w:footnoteRef/>
      </w:r>
      <w:r>
        <w:t xml:space="preserve"> </w:t>
      </w:r>
      <w:r w:rsidRPr="0066146F">
        <w:t>D.21-02-006 adopted the Partnership Pilot to test a new DER Deferral Tariff in the DIDF. It also adopted significant reforms to streamline DIDF Request for Offer solicitation processes, including the pilot of a new Standard Offer Contract mechanism.</w:t>
      </w:r>
    </w:p>
  </w:footnote>
  <w:footnote w:id="15">
    <w:p w14:paraId="561C7F56" w14:textId="6D857FD9" w:rsidR="00C8274D" w:rsidRDefault="00C8274D">
      <w:pPr>
        <w:pStyle w:val="FootnoteText"/>
      </w:pPr>
      <w:r>
        <w:rPr>
          <w:rStyle w:val="FootnoteReference"/>
        </w:rPr>
        <w:footnoteRef/>
      </w:r>
      <w:r>
        <w:t xml:space="preserve"> </w:t>
      </w:r>
      <w:r w:rsidRPr="00C8274D">
        <w:t xml:space="preserve">The DRP Data Portals hosted by the three utilities provide ICA, LNBA, </w:t>
      </w:r>
      <w:r w:rsidR="00771DAC">
        <w:t>and</w:t>
      </w:r>
      <w:r w:rsidRPr="00C8274D">
        <w:t xml:space="preserve"> other data to the public</w:t>
      </w:r>
      <w:r w:rsidR="00771DAC">
        <w:t>.</w:t>
      </w:r>
    </w:p>
  </w:footnote>
  <w:footnote w:id="16">
    <w:p w14:paraId="77B70C8A" w14:textId="0D8548B0" w:rsidR="00BA3094" w:rsidRDefault="00BA3094">
      <w:pPr>
        <w:pStyle w:val="FootnoteText"/>
      </w:pPr>
      <w:r>
        <w:rPr>
          <w:rStyle w:val="FootnoteReference"/>
        </w:rPr>
        <w:footnoteRef/>
      </w:r>
      <w:r>
        <w:t xml:space="preserve"> </w:t>
      </w:r>
      <w:r w:rsidRPr="00BA3094">
        <w:t>D.17-09-026</w:t>
      </w:r>
      <w:r w:rsidR="00771DAC">
        <w:t xml:space="preserve"> </w:t>
      </w:r>
      <w:r w:rsidRPr="00BA3094">
        <w:t>adopted the ICA and LNBA tools for R.14-08-013.</w:t>
      </w:r>
    </w:p>
  </w:footnote>
  <w:footnote w:id="17">
    <w:p w14:paraId="62D547BE" w14:textId="2AF4FE8E" w:rsidR="00190BDE" w:rsidRDefault="00190BDE">
      <w:pPr>
        <w:pStyle w:val="FootnoteText"/>
      </w:pPr>
      <w:r>
        <w:rPr>
          <w:rStyle w:val="FootnoteReference"/>
        </w:rPr>
        <w:footnoteRef/>
      </w:r>
      <w:r>
        <w:t xml:space="preserve"> </w:t>
      </w:r>
      <w:r w:rsidRPr="00190BDE">
        <w:t>D.18-03-023 adopted requirements for IOU Grid Modernization Plans to be included in their GRC filings.</w:t>
      </w:r>
    </w:p>
  </w:footnote>
  <w:footnote w:id="18">
    <w:p w14:paraId="0DBB7C0D" w14:textId="78F7A8FA" w:rsidR="002B7ED2" w:rsidRDefault="002B7ED2">
      <w:pPr>
        <w:pStyle w:val="FootnoteText"/>
      </w:pPr>
      <w:r>
        <w:rPr>
          <w:rStyle w:val="FootnoteReference"/>
        </w:rPr>
        <w:footnoteRef/>
      </w:r>
      <w:r>
        <w:t xml:space="preserve"> </w:t>
      </w:r>
      <w:r w:rsidR="00F429A1" w:rsidRPr="00F429A1">
        <w:rPr>
          <w:i/>
          <w:iCs/>
        </w:rPr>
        <w:t xml:space="preserve">Order Instituting Rulemaking </w:t>
      </w:r>
      <w:r w:rsidR="00F429A1" w:rsidRPr="00F429A1">
        <w:rPr>
          <w:rFonts w:cs="Arial"/>
          <w:i/>
          <w:iCs/>
          <w:szCs w:val="26"/>
        </w:rPr>
        <w:t>to Modernize the Electric Grid for a High Distributed Energy Resources Future</w:t>
      </w:r>
      <w:r w:rsidR="00F429A1">
        <w:rPr>
          <w:rFonts w:cs="Arial"/>
          <w:szCs w:val="26"/>
        </w:rPr>
        <w:t>,</w:t>
      </w:r>
      <w:r w:rsidR="00043A29">
        <w:t xml:space="preserve"> Appendix C</w:t>
      </w:r>
      <w:r w:rsidR="00F429A1">
        <w:t>, June 24, 2021</w:t>
      </w:r>
      <w:r w:rsidR="00043A29">
        <w:t xml:space="preserve"> for a full list of unresolved issues.</w:t>
      </w:r>
    </w:p>
  </w:footnote>
  <w:footnote w:id="19">
    <w:p w14:paraId="44DE5504" w14:textId="0C4AA6A4" w:rsidR="00DE158E" w:rsidRDefault="00DE158E">
      <w:pPr>
        <w:pStyle w:val="FootnoteText"/>
      </w:pPr>
      <w:r>
        <w:rPr>
          <w:rStyle w:val="FootnoteReference"/>
        </w:rPr>
        <w:footnoteRef/>
      </w:r>
      <w:r>
        <w:t xml:space="preserve"> Future Grid Study Report</w:t>
      </w:r>
      <w:r w:rsidR="003F052B">
        <w:t xml:space="preserve"> issued September 30, 2024</w:t>
      </w:r>
      <w:r>
        <w:t xml:space="preserve">: </w:t>
      </w:r>
      <w:hyperlink r:id="rId1" w:history="1">
        <w:r w:rsidR="003F052B" w:rsidRPr="001D3B3E">
          <w:rPr>
            <w:rStyle w:val="Hyperlink"/>
          </w:rPr>
          <w:t>https://docs.cpuc.ca.gov/PublishedDocs/Efile/G000/M543/K418/543418944.PDF</w:t>
        </w:r>
      </w:hyperlink>
      <w:r w:rsidR="003F052B">
        <w:t xml:space="preserve"> </w:t>
      </w:r>
    </w:p>
  </w:footnote>
  <w:footnote w:id="20">
    <w:p w14:paraId="3326F100" w14:textId="1D2BF544" w:rsidR="00FB10AE" w:rsidRDefault="00FB10AE" w:rsidP="00FB10AE">
      <w:pPr>
        <w:pStyle w:val="FootnoteText"/>
      </w:pPr>
      <w:r w:rsidRPr="5254A401">
        <w:rPr>
          <w:rStyle w:val="FootnoteReference"/>
        </w:rPr>
        <w:footnoteRef/>
      </w:r>
      <w:r>
        <w:t xml:space="preserve"> PG&amp;E Opening Comments on March 23 Ruling at 1, SCE Opening Comments on March 23 Ruling at 2, Cal Advocates Opening Comments on March 23 Ruling at 6, 350 Bay Area Opening Comments on March 23 Ruling at 2, CALSSA Opening Comments on March 23 Ruling at 2, UCAN Opening Comments on March 23 Ruling at 2, EDF Opening Comments on March 23 Ruling at 3, A</w:t>
      </w:r>
      <w:r w:rsidR="008A7AC3">
        <w:t>EU</w:t>
      </w:r>
      <w:r>
        <w:t xml:space="preserve"> Opening Comments on March 23 Ruling at 12, Weave Grid Reply Comments on March 23 Ruling at 2.</w:t>
      </w:r>
    </w:p>
  </w:footnote>
  <w:footnote w:id="21">
    <w:p w14:paraId="77F8633D" w14:textId="77777777" w:rsidR="00FB10AE" w:rsidRDefault="00FB10AE" w:rsidP="00FB10AE">
      <w:pPr>
        <w:pStyle w:val="FootnoteText"/>
      </w:pPr>
      <w:r>
        <w:rPr>
          <w:rStyle w:val="FootnoteReference"/>
        </w:rPr>
        <w:footnoteRef/>
      </w:r>
      <w:r>
        <w:t xml:space="preserve"> PG&amp;E Opening Comments on March 23 Ruling at 1, EDF Opening Comments on March 23 Ruling at 3.</w:t>
      </w:r>
    </w:p>
  </w:footnote>
  <w:footnote w:id="22">
    <w:p w14:paraId="5BDF0C3B" w14:textId="236A2E40" w:rsidR="009B69ED" w:rsidRDefault="009B69ED">
      <w:pPr>
        <w:pStyle w:val="FootnoteText"/>
      </w:pPr>
      <w:r>
        <w:rPr>
          <w:rStyle w:val="FootnoteReference"/>
        </w:rPr>
        <w:footnoteRef/>
      </w:r>
      <w:r>
        <w:t xml:space="preserve"> CalCCA Opening Comments </w:t>
      </w:r>
      <w:r w:rsidR="00E835FF">
        <w:t>on</w:t>
      </w:r>
      <w:r w:rsidR="00FC36F8">
        <w:t xml:space="preserve"> March</w:t>
      </w:r>
      <w:r>
        <w:t xml:space="preserve"> 23 Ruling at 13.</w:t>
      </w:r>
    </w:p>
  </w:footnote>
  <w:footnote w:id="23">
    <w:p w14:paraId="5EEE1E41" w14:textId="7C3DE247" w:rsidR="00793682" w:rsidRDefault="00793682">
      <w:pPr>
        <w:pStyle w:val="FootnoteText"/>
      </w:pPr>
      <w:r>
        <w:rPr>
          <w:rStyle w:val="FootnoteReference"/>
        </w:rPr>
        <w:footnoteRef/>
      </w:r>
      <w:r>
        <w:t xml:space="preserve"> Cal Advocates</w:t>
      </w:r>
      <w:r w:rsidR="00D5104E">
        <w:t xml:space="preserve"> Opening Comments </w:t>
      </w:r>
      <w:r w:rsidR="00E835FF">
        <w:t>on</w:t>
      </w:r>
      <w:r w:rsidR="00D5104E">
        <w:t xml:space="preserve"> March 23 Ruling at </w:t>
      </w:r>
      <w:r w:rsidR="00A67171">
        <w:t>6</w:t>
      </w:r>
      <w:r w:rsidR="00707C17">
        <w:t>,</w:t>
      </w:r>
      <w:r w:rsidR="00550C23">
        <w:t xml:space="preserve"> </w:t>
      </w:r>
      <w:r>
        <w:t>A</w:t>
      </w:r>
      <w:r w:rsidR="008A7AC3">
        <w:t>EU</w:t>
      </w:r>
      <w:r w:rsidR="00D5104E">
        <w:t xml:space="preserve"> Opening Comments </w:t>
      </w:r>
      <w:r w:rsidR="00E835FF">
        <w:t>on</w:t>
      </w:r>
      <w:r w:rsidR="00D5104E">
        <w:t xml:space="preserve"> March 23 Ruling at </w:t>
      </w:r>
      <w:r w:rsidR="008C1D99">
        <w:t>12</w:t>
      </w:r>
      <w:r w:rsidR="00707C17">
        <w:t>,</w:t>
      </w:r>
      <w:r>
        <w:t xml:space="preserve"> PG&amp;E</w:t>
      </w:r>
      <w:r w:rsidR="00D5104E">
        <w:t xml:space="preserve"> Opening Comments </w:t>
      </w:r>
      <w:r w:rsidR="00E835FF">
        <w:t>on</w:t>
      </w:r>
      <w:r w:rsidR="00D5104E">
        <w:t xml:space="preserve"> March 23 Ruling at </w:t>
      </w:r>
      <w:r w:rsidR="00C575CD">
        <w:t>1</w:t>
      </w:r>
      <w:r w:rsidR="00707C17">
        <w:t>,</w:t>
      </w:r>
      <w:r>
        <w:t xml:space="preserve"> CAISO</w:t>
      </w:r>
      <w:r w:rsidR="00D5104E">
        <w:t xml:space="preserve"> Opening Comments </w:t>
      </w:r>
      <w:r w:rsidR="00E835FF">
        <w:t>on</w:t>
      </w:r>
      <w:r w:rsidR="00D5104E">
        <w:t xml:space="preserve"> March 23 Ruling at </w:t>
      </w:r>
      <w:r w:rsidR="00D92A9D">
        <w:t>11</w:t>
      </w:r>
      <w:r w:rsidR="00707C17">
        <w:t>,</w:t>
      </w:r>
      <w:r w:rsidR="003F2970">
        <w:t xml:space="preserve"> </w:t>
      </w:r>
      <w:r>
        <w:t>Universal Devices</w:t>
      </w:r>
      <w:r w:rsidR="00D5104E">
        <w:t xml:space="preserve"> Opening Comments </w:t>
      </w:r>
      <w:r w:rsidR="00E835FF">
        <w:t>on</w:t>
      </w:r>
      <w:r w:rsidR="00D5104E">
        <w:t xml:space="preserve"> March 23 Ruling at </w:t>
      </w:r>
      <w:r w:rsidR="000A6DCC">
        <w:t>2.</w:t>
      </w:r>
    </w:p>
  </w:footnote>
  <w:footnote w:id="24">
    <w:p w14:paraId="61102D57" w14:textId="208D1C49" w:rsidR="00700FAE" w:rsidRDefault="00700FAE">
      <w:pPr>
        <w:pStyle w:val="FootnoteText"/>
      </w:pPr>
      <w:r>
        <w:rPr>
          <w:rStyle w:val="FootnoteReference"/>
        </w:rPr>
        <w:footnoteRef/>
      </w:r>
      <w:r>
        <w:t xml:space="preserve"> Cal Advocates Opening Comments </w:t>
      </w:r>
      <w:r w:rsidR="00E835FF">
        <w:t>on</w:t>
      </w:r>
      <w:r w:rsidR="00FC36F8">
        <w:t xml:space="preserve"> March</w:t>
      </w:r>
      <w:r>
        <w:t xml:space="preserve"> 23 Ruling at 7.</w:t>
      </w:r>
    </w:p>
  </w:footnote>
  <w:footnote w:id="25">
    <w:p w14:paraId="58ED412A" w14:textId="4DD8195B" w:rsidR="00734A31" w:rsidRDefault="00734A31">
      <w:pPr>
        <w:pStyle w:val="FootnoteText"/>
      </w:pPr>
      <w:r>
        <w:rPr>
          <w:rStyle w:val="FootnoteReference"/>
        </w:rPr>
        <w:footnoteRef/>
      </w:r>
      <w:r>
        <w:t xml:space="preserve"> </w:t>
      </w:r>
      <w:r w:rsidR="009D1759">
        <w:t xml:space="preserve">PG&amp;E Opening Comments </w:t>
      </w:r>
      <w:r w:rsidR="00E835FF">
        <w:t>on</w:t>
      </w:r>
      <w:r w:rsidR="009D1759">
        <w:t xml:space="preserve"> March 23 Ruling at 1</w:t>
      </w:r>
      <w:r w:rsidR="00707C17">
        <w:t>,</w:t>
      </w:r>
      <w:r w:rsidR="0014356E">
        <w:t xml:space="preserve"> </w:t>
      </w:r>
      <w:r w:rsidR="00EE54E4">
        <w:t xml:space="preserve">SCE Opening Comments </w:t>
      </w:r>
      <w:r w:rsidR="00E835FF">
        <w:t>on</w:t>
      </w:r>
      <w:r w:rsidR="00EE54E4">
        <w:t xml:space="preserve"> March 23 Ruling at 2</w:t>
      </w:r>
      <w:r w:rsidR="00707C17">
        <w:t>,</w:t>
      </w:r>
      <w:r w:rsidR="00EE54E4">
        <w:t xml:space="preserve"> </w:t>
      </w:r>
      <w:r w:rsidR="001C1C32">
        <w:t xml:space="preserve">SDG&amp;E Opening Comments </w:t>
      </w:r>
      <w:r w:rsidR="00E835FF">
        <w:t>on</w:t>
      </w:r>
      <w:r w:rsidR="001C1C32">
        <w:t xml:space="preserve"> March 23 Ruling at 4</w:t>
      </w:r>
      <w:r w:rsidR="00707C17">
        <w:t>,</w:t>
      </w:r>
      <w:r w:rsidR="001C1C32">
        <w:t xml:space="preserve"> </w:t>
      </w:r>
      <w:r w:rsidR="002E6535">
        <w:t xml:space="preserve">CAISO Opening Comments </w:t>
      </w:r>
      <w:r w:rsidR="00E835FF">
        <w:t>on</w:t>
      </w:r>
      <w:r w:rsidR="002E6535">
        <w:t xml:space="preserve"> March 23 Ruling at 11</w:t>
      </w:r>
      <w:r w:rsidR="00707C17">
        <w:t>,</w:t>
      </w:r>
      <w:r w:rsidR="002E6535">
        <w:t xml:space="preserve"> </w:t>
      </w:r>
      <w:r w:rsidR="00FA104F">
        <w:t>Weave Grid</w:t>
      </w:r>
      <w:r w:rsidR="0014356E">
        <w:t xml:space="preserve"> Reply Comments </w:t>
      </w:r>
      <w:r w:rsidR="00E835FF">
        <w:t>on</w:t>
      </w:r>
      <w:r w:rsidR="0014356E">
        <w:t xml:space="preserve"> March 23 Ruling at 2</w:t>
      </w:r>
      <w:r w:rsidR="00707C17">
        <w:t>,</w:t>
      </w:r>
      <w:r w:rsidR="00383AAB">
        <w:t xml:space="preserve"> </w:t>
      </w:r>
      <w:r w:rsidR="00F01A71">
        <w:t>EDF Opening Comments o</w:t>
      </w:r>
      <w:r w:rsidR="00E835FF">
        <w:t>n</w:t>
      </w:r>
      <w:r w:rsidR="00F01A71">
        <w:t xml:space="preserve"> March 23 Ruling at 3</w:t>
      </w:r>
      <w:r w:rsidR="00A35129">
        <w:t>.</w:t>
      </w:r>
    </w:p>
  </w:footnote>
  <w:footnote w:id="26">
    <w:p w14:paraId="155B0234" w14:textId="7BDBA50D" w:rsidR="004C00B6" w:rsidRDefault="004C00B6">
      <w:pPr>
        <w:pStyle w:val="FootnoteText"/>
      </w:pPr>
      <w:r>
        <w:rPr>
          <w:rStyle w:val="FootnoteReference"/>
        </w:rPr>
        <w:footnoteRef/>
      </w:r>
      <w:r>
        <w:t xml:space="preserve"> </w:t>
      </w:r>
      <w:r w:rsidR="00EE6174">
        <w:t>SCE Opening Comments o</w:t>
      </w:r>
      <w:r w:rsidR="00E835FF">
        <w:t>n</w:t>
      </w:r>
      <w:r w:rsidR="00EE6174">
        <w:t xml:space="preserve"> March 23 Ruling at 2.</w:t>
      </w:r>
    </w:p>
  </w:footnote>
  <w:footnote w:id="27">
    <w:p w14:paraId="68F98A98" w14:textId="0316BC83" w:rsidR="00FD1181" w:rsidRDefault="00FD1181">
      <w:pPr>
        <w:pStyle w:val="FootnoteText"/>
      </w:pPr>
      <w:r>
        <w:rPr>
          <w:rStyle w:val="FootnoteReference"/>
        </w:rPr>
        <w:footnoteRef/>
      </w:r>
      <w:r>
        <w:t xml:space="preserve"> </w:t>
      </w:r>
      <w:r w:rsidR="002C1B2A">
        <w:t xml:space="preserve">PG&amp;E Opening Comments </w:t>
      </w:r>
      <w:r w:rsidR="00E835FF">
        <w:t>on</w:t>
      </w:r>
      <w:r w:rsidR="002C1B2A">
        <w:t xml:space="preserve"> March 23 Ruling at 1</w:t>
      </w:r>
      <w:r w:rsidR="00707C17">
        <w:t>,</w:t>
      </w:r>
      <w:r w:rsidR="002C1B2A">
        <w:t xml:space="preserve"> SCE Opening Comments </w:t>
      </w:r>
      <w:r w:rsidR="00E835FF">
        <w:t xml:space="preserve">on </w:t>
      </w:r>
      <w:r w:rsidR="002C1B2A">
        <w:t>March 23 Ruling at 2</w:t>
      </w:r>
      <w:r w:rsidR="00707C17">
        <w:t>,</w:t>
      </w:r>
      <w:r w:rsidR="002C1B2A">
        <w:t xml:space="preserve"> </w:t>
      </w:r>
      <w:r w:rsidR="00E437EB">
        <w:t xml:space="preserve">CalCCA Opening Comments </w:t>
      </w:r>
      <w:r w:rsidR="00E835FF">
        <w:t>on</w:t>
      </w:r>
      <w:r w:rsidR="00E437EB">
        <w:t xml:space="preserve"> March 23 Ruling at 13</w:t>
      </w:r>
      <w:r w:rsidR="00707C17">
        <w:t>,</w:t>
      </w:r>
      <w:r w:rsidR="00E437EB">
        <w:t xml:space="preserve"> </w:t>
      </w:r>
      <w:r w:rsidR="009F75E8">
        <w:t>Nexamp</w:t>
      </w:r>
      <w:r w:rsidR="00E437EB">
        <w:t xml:space="preserve"> Opening Comments </w:t>
      </w:r>
      <w:r w:rsidR="00E835FF">
        <w:t>on</w:t>
      </w:r>
      <w:r w:rsidR="00E437EB">
        <w:t xml:space="preserve"> March 23 Ruling at </w:t>
      </w:r>
      <w:r w:rsidR="00D55964">
        <w:t>3.</w:t>
      </w:r>
      <w:r w:rsidR="00E437EB">
        <w:t xml:space="preserve"> </w:t>
      </w:r>
    </w:p>
  </w:footnote>
  <w:footnote w:id="28">
    <w:p w14:paraId="4BA7FCF8" w14:textId="7651A4ED" w:rsidR="00D034DC" w:rsidRDefault="00D034DC">
      <w:pPr>
        <w:pStyle w:val="FootnoteText"/>
      </w:pPr>
      <w:r>
        <w:rPr>
          <w:rStyle w:val="FootnoteReference"/>
        </w:rPr>
        <w:footnoteRef/>
      </w:r>
      <w:r>
        <w:t xml:space="preserve"> </w:t>
      </w:r>
      <w:r w:rsidR="009458A9">
        <w:t xml:space="preserve">SDG&amp;E Opening Comments </w:t>
      </w:r>
      <w:r w:rsidR="00E835FF">
        <w:t>on</w:t>
      </w:r>
      <w:r w:rsidR="009458A9">
        <w:t xml:space="preserve"> March 23 Ruling at 4</w:t>
      </w:r>
      <w:r w:rsidR="00D60E93">
        <w:t>,</w:t>
      </w:r>
      <w:r w:rsidR="00B35384">
        <w:t xml:space="preserve"> CalCCA Opening Comments </w:t>
      </w:r>
      <w:r w:rsidR="00E835FF">
        <w:t>on</w:t>
      </w:r>
      <w:r w:rsidR="00B35384">
        <w:t xml:space="preserve"> March 23 Ruling at 13</w:t>
      </w:r>
      <w:r w:rsidR="00D94B76">
        <w:t xml:space="preserve">, 350 Bay Area Opening Comments </w:t>
      </w:r>
      <w:r w:rsidR="00E835FF">
        <w:t>on</w:t>
      </w:r>
      <w:r w:rsidR="00D94B76">
        <w:t xml:space="preserve"> March 23 Ruling at 2.</w:t>
      </w:r>
    </w:p>
  </w:footnote>
  <w:footnote w:id="29">
    <w:p w14:paraId="08FB92DC" w14:textId="35311561" w:rsidR="00B81DB2" w:rsidRDefault="00B81DB2">
      <w:pPr>
        <w:pStyle w:val="FootnoteText"/>
      </w:pPr>
      <w:r>
        <w:rPr>
          <w:rStyle w:val="FootnoteReference"/>
        </w:rPr>
        <w:footnoteRef/>
      </w:r>
      <w:r>
        <w:t xml:space="preserve"> </w:t>
      </w:r>
      <w:r w:rsidR="002B75B5">
        <w:t xml:space="preserve">350 Bay Area Opening Comments </w:t>
      </w:r>
      <w:r w:rsidR="00E835FF">
        <w:t>on</w:t>
      </w:r>
      <w:r w:rsidR="002B75B5">
        <w:t xml:space="preserve"> March 23 Ruling at 2</w:t>
      </w:r>
      <w:r w:rsidR="00D60E93">
        <w:t>,</w:t>
      </w:r>
      <w:r w:rsidR="00B43443">
        <w:t xml:space="preserve"> Nexamp Opening Comments </w:t>
      </w:r>
      <w:r w:rsidR="00E835FF">
        <w:t>on</w:t>
      </w:r>
      <w:r w:rsidR="00B43443">
        <w:t xml:space="preserve"> March 23 Ruling at 3. </w:t>
      </w:r>
    </w:p>
  </w:footnote>
  <w:footnote w:id="30">
    <w:p w14:paraId="2692CF30" w14:textId="4147F392" w:rsidR="00CE6473" w:rsidRDefault="00CE6473">
      <w:pPr>
        <w:pStyle w:val="FootnoteText"/>
      </w:pPr>
      <w:r>
        <w:rPr>
          <w:rStyle w:val="FootnoteReference"/>
        </w:rPr>
        <w:footnoteRef/>
      </w:r>
      <w:r>
        <w:t xml:space="preserve"> A</w:t>
      </w:r>
      <w:r w:rsidR="008A7AC3">
        <w:t>EU</w:t>
      </w:r>
      <w:r>
        <w:t xml:space="preserve"> Opening Comments </w:t>
      </w:r>
      <w:r w:rsidR="00E835FF">
        <w:t>on</w:t>
      </w:r>
      <w:r>
        <w:t xml:space="preserve"> March 23 Ruling at 12.</w:t>
      </w:r>
    </w:p>
  </w:footnote>
  <w:footnote w:id="31">
    <w:p w14:paraId="4E65F962" w14:textId="2E0A5899" w:rsidR="00301023" w:rsidRDefault="00301023">
      <w:pPr>
        <w:pStyle w:val="FootnoteText"/>
      </w:pPr>
      <w:r>
        <w:rPr>
          <w:rStyle w:val="FootnoteReference"/>
        </w:rPr>
        <w:footnoteRef/>
      </w:r>
      <w:r>
        <w:t xml:space="preserve"> </w:t>
      </w:r>
      <w:r w:rsidR="00352C25">
        <w:t xml:space="preserve">SDG&amp;E Opening Comments </w:t>
      </w:r>
      <w:r w:rsidR="00E835FF">
        <w:t>on</w:t>
      </w:r>
      <w:r w:rsidR="00352C25">
        <w:t xml:space="preserve"> March 23 Ruling at 4</w:t>
      </w:r>
      <w:r w:rsidR="00D60E93">
        <w:t>,</w:t>
      </w:r>
      <w:r w:rsidR="00352C25">
        <w:t xml:space="preserve"> </w:t>
      </w:r>
      <w:r w:rsidR="007810C9">
        <w:t xml:space="preserve">Universal Devices Opening Comments </w:t>
      </w:r>
      <w:r w:rsidR="00E835FF">
        <w:t>on</w:t>
      </w:r>
      <w:r w:rsidR="007810C9">
        <w:t xml:space="preserve"> March 23 Ruling at 2</w:t>
      </w:r>
      <w:r w:rsidR="00D60E93">
        <w:t>,</w:t>
      </w:r>
      <w:r w:rsidR="007810C9">
        <w:t xml:space="preserve"> </w:t>
      </w:r>
      <w:r w:rsidR="009B6FE3">
        <w:t xml:space="preserve">Nexamp Opening Comments </w:t>
      </w:r>
      <w:r w:rsidR="00E835FF">
        <w:t>on</w:t>
      </w:r>
      <w:r w:rsidR="009B6FE3">
        <w:t xml:space="preserve"> March 23 Ruling at 3. </w:t>
      </w:r>
    </w:p>
  </w:footnote>
  <w:footnote w:id="32">
    <w:p w14:paraId="14170920" w14:textId="59552E6E" w:rsidR="00E15500" w:rsidRDefault="00E15500">
      <w:pPr>
        <w:pStyle w:val="FootnoteText"/>
      </w:pPr>
      <w:r>
        <w:rPr>
          <w:rStyle w:val="FootnoteReference"/>
        </w:rPr>
        <w:footnoteRef/>
      </w:r>
      <w:r>
        <w:t xml:space="preserve"> EDF </w:t>
      </w:r>
      <w:r w:rsidR="0076396A">
        <w:t xml:space="preserve">Opening Comments </w:t>
      </w:r>
      <w:r w:rsidR="00E835FF">
        <w:t>on</w:t>
      </w:r>
      <w:r w:rsidR="0076396A">
        <w:t xml:space="preserve"> March 23 Ruling at 3</w:t>
      </w:r>
      <w:r w:rsidR="00AC039E">
        <w:t xml:space="preserve">, </w:t>
      </w:r>
      <w:r>
        <w:t>350</w:t>
      </w:r>
      <w:r w:rsidR="0076396A">
        <w:t xml:space="preserve"> Bay Area </w:t>
      </w:r>
      <w:r w:rsidR="007936DE">
        <w:t xml:space="preserve">Opening Comments </w:t>
      </w:r>
      <w:r w:rsidR="00E835FF">
        <w:t>on</w:t>
      </w:r>
      <w:r w:rsidR="007936DE">
        <w:t xml:space="preserve"> March 23 Ruling at </w:t>
      </w:r>
      <w:r w:rsidR="00B42F57">
        <w:t>2.</w:t>
      </w:r>
    </w:p>
  </w:footnote>
  <w:footnote w:id="33">
    <w:p w14:paraId="7677AE76" w14:textId="0D7E473E" w:rsidR="00537967" w:rsidRDefault="00537967">
      <w:pPr>
        <w:pStyle w:val="FootnoteText"/>
      </w:pPr>
      <w:r>
        <w:rPr>
          <w:rStyle w:val="FootnoteReference"/>
        </w:rPr>
        <w:footnoteRef/>
      </w:r>
      <w:r>
        <w:t xml:space="preserve"> </w:t>
      </w:r>
      <w:r w:rsidR="00455917">
        <w:t xml:space="preserve">California Efficiency + Demand Management Council Opening Comments </w:t>
      </w:r>
      <w:r w:rsidR="00E835FF">
        <w:t>on</w:t>
      </w:r>
      <w:r w:rsidR="00455917">
        <w:t xml:space="preserve"> March 23 Ruling at 4.</w:t>
      </w:r>
    </w:p>
  </w:footnote>
  <w:footnote w:id="34">
    <w:p w14:paraId="7AE6C30B" w14:textId="52102F5E" w:rsidR="00E835FF" w:rsidRDefault="00E835FF">
      <w:pPr>
        <w:pStyle w:val="FootnoteText"/>
      </w:pPr>
      <w:r>
        <w:rPr>
          <w:rStyle w:val="FootnoteReference"/>
        </w:rPr>
        <w:footnoteRef/>
      </w:r>
      <w:r w:rsidR="00F23F86">
        <w:t xml:space="preserve"> </w:t>
      </w:r>
      <w:r w:rsidR="00F23F86" w:rsidRPr="00F429A1">
        <w:rPr>
          <w:i/>
          <w:iCs/>
        </w:rPr>
        <w:t xml:space="preserve">Order Instituting Rulemaking </w:t>
      </w:r>
      <w:r w:rsidR="00F23F86" w:rsidRPr="00F429A1">
        <w:rPr>
          <w:rFonts w:cs="Arial"/>
          <w:i/>
          <w:iCs/>
          <w:szCs w:val="26"/>
        </w:rPr>
        <w:t>to Modernize the Electric Grid for a High Distributed Energy Resources Future</w:t>
      </w:r>
      <w:r w:rsidR="00F23F86">
        <w:t xml:space="preserve">, June 24, 2021 </w:t>
      </w:r>
      <w:r>
        <w:t>at 13.</w:t>
      </w:r>
    </w:p>
  </w:footnote>
  <w:footnote w:id="35">
    <w:p w14:paraId="7CDEBEC2" w14:textId="2642CFB8" w:rsidR="00E835FF" w:rsidRDefault="00E835FF">
      <w:pPr>
        <w:pStyle w:val="FootnoteText"/>
      </w:pPr>
      <w:r>
        <w:rPr>
          <w:rStyle w:val="FootnoteReference"/>
        </w:rPr>
        <w:footnoteRef/>
      </w:r>
      <w:r>
        <w:t xml:space="preserve"> Cal Advocates Opening Comments on March 23 Ruling at 4.</w:t>
      </w:r>
    </w:p>
  </w:footnote>
  <w:footnote w:id="36">
    <w:p w14:paraId="61EB4555" w14:textId="6440E203" w:rsidR="008C6F19" w:rsidRDefault="008C6F19">
      <w:pPr>
        <w:pStyle w:val="FootnoteText"/>
      </w:pPr>
      <w:r>
        <w:rPr>
          <w:rStyle w:val="FootnoteReference"/>
        </w:rPr>
        <w:footnoteRef/>
      </w:r>
      <w:r>
        <w:t xml:space="preserve"> </w:t>
      </w:r>
      <w:r w:rsidR="00D43C9B">
        <w:t xml:space="preserve">PG&amp;E Opening Comments </w:t>
      </w:r>
      <w:r w:rsidR="00E835FF">
        <w:t>on</w:t>
      </w:r>
      <w:r w:rsidR="00D43C9B">
        <w:t xml:space="preserve"> March 23 Ruling at 2</w:t>
      </w:r>
      <w:r w:rsidR="009F34EF">
        <w:t>,</w:t>
      </w:r>
      <w:r>
        <w:t xml:space="preserve"> SCE</w:t>
      </w:r>
      <w:r w:rsidR="00A058FD">
        <w:t xml:space="preserve"> Opening Comments </w:t>
      </w:r>
      <w:r w:rsidR="00E835FF">
        <w:t>on</w:t>
      </w:r>
      <w:r w:rsidR="00A058FD">
        <w:t xml:space="preserve"> March 23 Ruling at 3</w:t>
      </w:r>
      <w:r w:rsidR="009F34EF">
        <w:t>,</w:t>
      </w:r>
      <w:r>
        <w:t xml:space="preserve"> SDG&amp;E</w:t>
      </w:r>
      <w:r w:rsidR="00A058FD">
        <w:t xml:space="preserve"> Opening Comments </w:t>
      </w:r>
      <w:r w:rsidR="00E835FF">
        <w:t>on</w:t>
      </w:r>
      <w:r w:rsidR="00A058FD">
        <w:t xml:space="preserve"> March 23 Ruling at </w:t>
      </w:r>
      <w:r w:rsidR="0081082D">
        <w:t>5</w:t>
      </w:r>
      <w:r w:rsidR="009F34EF">
        <w:t>,</w:t>
      </w:r>
      <w:r>
        <w:t xml:space="preserve"> </w:t>
      </w:r>
      <w:r w:rsidR="009D752F">
        <w:t>CALSSA</w:t>
      </w:r>
      <w:r w:rsidR="00E6069E">
        <w:t xml:space="preserve"> Opening Comments </w:t>
      </w:r>
      <w:r w:rsidR="00E835FF">
        <w:t>on</w:t>
      </w:r>
      <w:r w:rsidR="00E6069E">
        <w:t xml:space="preserve"> March 23 Ruling at 3</w:t>
      </w:r>
      <w:r w:rsidR="00CD1C46">
        <w:t>, UCAN Opening Comments on March 23 Ruling at 2</w:t>
      </w:r>
      <w:r w:rsidR="00E6069E">
        <w:t>.</w:t>
      </w:r>
    </w:p>
  </w:footnote>
  <w:footnote w:id="37">
    <w:p w14:paraId="2469DD57" w14:textId="783EFCBB" w:rsidR="00750052" w:rsidRDefault="00750052">
      <w:pPr>
        <w:pStyle w:val="FootnoteText"/>
      </w:pPr>
      <w:r>
        <w:rPr>
          <w:rStyle w:val="FootnoteReference"/>
        </w:rPr>
        <w:footnoteRef/>
      </w:r>
      <w:r>
        <w:t xml:space="preserve"> </w:t>
      </w:r>
      <w:r w:rsidR="00E6069E">
        <w:t xml:space="preserve">PG&amp;E Opening Comments </w:t>
      </w:r>
      <w:r w:rsidR="00E835FF">
        <w:t>on</w:t>
      </w:r>
      <w:r w:rsidR="00E6069E">
        <w:t xml:space="preserve"> March 23 Ruling at 2</w:t>
      </w:r>
      <w:r w:rsidR="009F34EF">
        <w:t>,</w:t>
      </w:r>
      <w:r w:rsidR="00E6069E">
        <w:t xml:space="preserve"> SCE Opening Comments </w:t>
      </w:r>
      <w:r w:rsidR="00E835FF">
        <w:t>on</w:t>
      </w:r>
      <w:r w:rsidR="00E6069E">
        <w:t xml:space="preserve"> March 23 Ruling at 3</w:t>
      </w:r>
      <w:r w:rsidR="009F34EF">
        <w:t>,</w:t>
      </w:r>
      <w:r w:rsidR="00E6069E">
        <w:t xml:space="preserve"> SDG&amp;E Opening Comments </w:t>
      </w:r>
      <w:r w:rsidR="00E835FF">
        <w:t>on</w:t>
      </w:r>
      <w:r w:rsidR="00E6069E">
        <w:t xml:space="preserve"> March 23 Ruling at 5</w:t>
      </w:r>
      <w:r w:rsidR="005C4526">
        <w:t>-7.</w:t>
      </w:r>
    </w:p>
  </w:footnote>
  <w:footnote w:id="38">
    <w:p w14:paraId="50F7AFFF" w14:textId="4A8226F7" w:rsidR="006F0BA1" w:rsidRDefault="006F0BA1">
      <w:pPr>
        <w:pStyle w:val="FootnoteText"/>
      </w:pPr>
      <w:r>
        <w:rPr>
          <w:rStyle w:val="FootnoteReference"/>
        </w:rPr>
        <w:footnoteRef/>
      </w:r>
      <w:r>
        <w:t xml:space="preserve"> </w:t>
      </w:r>
      <w:r w:rsidR="0064056E">
        <w:t xml:space="preserve">SCE </w:t>
      </w:r>
      <w:r w:rsidR="00653BFD">
        <w:t xml:space="preserve">Opening Comments </w:t>
      </w:r>
      <w:r w:rsidR="00E835FF">
        <w:t>on</w:t>
      </w:r>
      <w:r w:rsidR="00FC36F8">
        <w:t xml:space="preserve"> March</w:t>
      </w:r>
      <w:r w:rsidR="00653BFD">
        <w:t xml:space="preserve"> 23 Ruling at 3</w:t>
      </w:r>
      <w:r w:rsidR="006C1532">
        <w:t>, SDG&amp;E Opening Comments on March 23 Ruling at 5</w:t>
      </w:r>
      <w:r w:rsidR="00CE11A8">
        <w:t>-6</w:t>
      </w:r>
      <w:r w:rsidR="00653BFD">
        <w:t>.</w:t>
      </w:r>
    </w:p>
  </w:footnote>
  <w:footnote w:id="39">
    <w:p w14:paraId="06977FF6" w14:textId="4ECBA047" w:rsidR="00140C79" w:rsidRDefault="00140C79">
      <w:pPr>
        <w:pStyle w:val="FootnoteText"/>
      </w:pPr>
      <w:r>
        <w:rPr>
          <w:rStyle w:val="FootnoteReference"/>
        </w:rPr>
        <w:footnoteRef/>
      </w:r>
      <w:r>
        <w:t xml:space="preserve"> </w:t>
      </w:r>
      <w:r w:rsidR="00962A8C">
        <w:t xml:space="preserve">Cal Advocates Opening Comments </w:t>
      </w:r>
      <w:r w:rsidR="00E835FF">
        <w:t>on</w:t>
      </w:r>
      <w:r w:rsidR="00FC36F8">
        <w:t xml:space="preserve"> March</w:t>
      </w:r>
      <w:r w:rsidR="00962A8C">
        <w:t xml:space="preserve"> 23 Ruling at 7-8</w:t>
      </w:r>
      <w:r w:rsidR="007847DA">
        <w:t>.</w:t>
      </w:r>
    </w:p>
  </w:footnote>
  <w:footnote w:id="40">
    <w:p w14:paraId="6B9795F1" w14:textId="3786D0B0" w:rsidR="00FE06C2" w:rsidRDefault="00FE06C2">
      <w:pPr>
        <w:pStyle w:val="FootnoteText"/>
      </w:pPr>
      <w:r>
        <w:rPr>
          <w:rStyle w:val="FootnoteReference"/>
        </w:rPr>
        <w:footnoteRef/>
      </w:r>
      <w:r>
        <w:t xml:space="preserve"> CAISO Opening Comments </w:t>
      </w:r>
      <w:r w:rsidR="00E835FF">
        <w:t>on</w:t>
      </w:r>
      <w:r w:rsidR="00FC36F8">
        <w:t xml:space="preserve"> March</w:t>
      </w:r>
      <w:r>
        <w:t xml:space="preserve"> 23 Ruling at 12.</w:t>
      </w:r>
    </w:p>
  </w:footnote>
  <w:footnote w:id="41">
    <w:p w14:paraId="5AADC3A5" w14:textId="26137712" w:rsidR="00CA440C" w:rsidRDefault="00CA440C">
      <w:pPr>
        <w:pStyle w:val="FootnoteText"/>
      </w:pPr>
      <w:r>
        <w:rPr>
          <w:rStyle w:val="FootnoteReference"/>
        </w:rPr>
        <w:footnoteRef/>
      </w:r>
      <w:r>
        <w:t xml:space="preserve"> </w:t>
      </w:r>
      <w:r w:rsidR="00EB22B0">
        <w:t xml:space="preserve">Universal Devices Opening Comments </w:t>
      </w:r>
      <w:r w:rsidR="00E835FF">
        <w:t>on</w:t>
      </w:r>
      <w:r w:rsidR="00FC36F8">
        <w:t xml:space="preserve"> March</w:t>
      </w:r>
      <w:r w:rsidR="00EB22B0">
        <w:t xml:space="preserve"> 23 Ruling at 2-3.</w:t>
      </w:r>
    </w:p>
  </w:footnote>
  <w:footnote w:id="42">
    <w:p w14:paraId="656C348D" w14:textId="3F0DD4F5" w:rsidR="003B131D" w:rsidRDefault="003B131D">
      <w:pPr>
        <w:pStyle w:val="FootnoteText"/>
      </w:pPr>
      <w:r>
        <w:rPr>
          <w:rStyle w:val="FootnoteReference"/>
        </w:rPr>
        <w:footnoteRef/>
      </w:r>
      <w:r>
        <w:t xml:space="preserve"> </w:t>
      </w:r>
      <w:r w:rsidR="009D752F">
        <w:t>CALSSA</w:t>
      </w:r>
      <w:r w:rsidR="00B43214">
        <w:t xml:space="preserve"> Opening Comments </w:t>
      </w:r>
      <w:r w:rsidR="00E835FF">
        <w:t>on</w:t>
      </w:r>
      <w:r w:rsidR="00FC36F8">
        <w:t xml:space="preserve"> March</w:t>
      </w:r>
      <w:r w:rsidR="00B43214">
        <w:t xml:space="preserve"> 23 Ruling at </w:t>
      </w:r>
      <w:r w:rsidR="00D64B9F">
        <w:t>3.</w:t>
      </w:r>
    </w:p>
  </w:footnote>
  <w:footnote w:id="43">
    <w:p w14:paraId="6DCDEFC2" w14:textId="5A9A201D" w:rsidR="0097475D" w:rsidRDefault="0097475D">
      <w:pPr>
        <w:pStyle w:val="FootnoteText"/>
      </w:pPr>
      <w:r>
        <w:rPr>
          <w:rStyle w:val="FootnoteReference"/>
        </w:rPr>
        <w:footnoteRef/>
      </w:r>
      <w:r>
        <w:t xml:space="preserve"> </w:t>
      </w:r>
      <w:r w:rsidR="00220CD4">
        <w:t>A</w:t>
      </w:r>
      <w:r w:rsidR="00335D87">
        <w:t>EU</w:t>
      </w:r>
      <w:r w:rsidR="00220CD4">
        <w:t xml:space="preserve"> </w:t>
      </w:r>
      <w:r w:rsidR="00C931DE">
        <w:t xml:space="preserve">Opening Comments </w:t>
      </w:r>
      <w:r w:rsidR="00E835FF">
        <w:t>on</w:t>
      </w:r>
      <w:r w:rsidR="00FC36F8">
        <w:t xml:space="preserve"> March</w:t>
      </w:r>
      <w:r w:rsidR="00C931DE">
        <w:t xml:space="preserve"> 23 Ruling at 13.</w:t>
      </w:r>
    </w:p>
  </w:footnote>
  <w:footnote w:id="44">
    <w:p w14:paraId="4B4A1929" w14:textId="508A53D9" w:rsidR="00472AA1" w:rsidRDefault="00472AA1">
      <w:pPr>
        <w:pStyle w:val="FootnoteText"/>
      </w:pPr>
      <w:r>
        <w:rPr>
          <w:rStyle w:val="FootnoteReference"/>
        </w:rPr>
        <w:footnoteRef/>
      </w:r>
      <w:r>
        <w:t xml:space="preserve"> </w:t>
      </w:r>
      <w:r w:rsidR="003F596E">
        <w:t xml:space="preserve">SDG&amp;E Opening Comments </w:t>
      </w:r>
      <w:r w:rsidR="00411DCC">
        <w:t>on</w:t>
      </w:r>
      <w:r w:rsidR="003F596E">
        <w:t xml:space="preserve"> March 23 Ruling at </w:t>
      </w:r>
      <w:r w:rsidR="003256B0">
        <w:t>8</w:t>
      </w:r>
      <w:r w:rsidR="009F34EF">
        <w:t>,</w:t>
      </w:r>
      <w:r w:rsidR="003F596E">
        <w:t xml:space="preserve"> </w:t>
      </w:r>
      <w:r w:rsidR="006C0E54">
        <w:t xml:space="preserve">CalCCA Opening Comments </w:t>
      </w:r>
      <w:r w:rsidR="00411DCC">
        <w:t>on</w:t>
      </w:r>
      <w:r w:rsidR="00FC36F8">
        <w:t xml:space="preserve"> March</w:t>
      </w:r>
      <w:r w:rsidR="006C0E54">
        <w:t xml:space="preserve"> 23 Ruling at </w:t>
      </w:r>
      <w:r w:rsidR="008218D9">
        <w:t>12</w:t>
      </w:r>
      <w:r w:rsidR="009F34EF">
        <w:t>,</w:t>
      </w:r>
      <w:r w:rsidR="006C0E54">
        <w:t xml:space="preserve"> CAISO Opening Comments </w:t>
      </w:r>
      <w:r w:rsidR="00411DCC">
        <w:t>on</w:t>
      </w:r>
      <w:r w:rsidR="00FC36F8">
        <w:t xml:space="preserve"> March</w:t>
      </w:r>
      <w:r w:rsidR="006C0E54">
        <w:t xml:space="preserve"> 23 Ruling at </w:t>
      </w:r>
      <w:r w:rsidR="00FD2DD5">
        <w:t>13</w:t>
      </w:r>
      <w:r w:rsidR="009F34EF">
        <w:t>,</w:t>
      </w:r>
      <w:r w:rsidR="00BB5647">
        <w:t xml:space="preserve"> Nexamp Opening Comments </w:t>
      </w:r>
      <w:r w:rsidR="00411DCC">
        <w:t>on</w:t>
      </w:r>
      <w:r w:rsidR="00FC36F8">
        <w:t xml:space="preserve"> March</w:t>
      </w:r>
      <w:r w:rsidR="00BB5647">
        <w:t xml:space="preserve"> 23 Ruling at </w:t>
      </w:r>
      <w:r w:rsidR="009C1203">
        <w:t>4</w:t>
      </w:r>
      <w:r w:rsidR="009F34EF">
        <w:t>,</w:t>
      </w:r>
      <w:r w:rsidR="002A3F97">
        <w:t xml:space="preserve"> EnergyHub Opening Comments </w:t>
      </w:r>
      <w:r w:rsidR="00411DCC">
        <w:t>on</w:t>
      </w:r>
      <w:r w:rsidR="00FC36F8">
        <w:t xml:space="preserve"> March</w:t>
      </w:r>
      <w:r w:rsidR="002A3F97">
        <w:t xml:space="preserve"> 23 Ruling at </w:t>
      </w:r>
      <w:r w:rsidR="00D63F83">
        <w:t>3</w:t>
      </w:r>
      <w:r w:rsidR="009F34EF">
        <w:t>,</w:t>
      </w:r>
      <w:r w:rsidR="002A3F97">
        <w:t xml:space="preserve"> </w:t>
      </w:r>
      <w:r w:rsidR="003F596E">
        <w:t xml:space="preserve">CALSSA Opening Comments </w:t>
      </w:r>
      <w:r w:rsidR="00411DCC">
        <w:t>on</w:t>
      </w:r>
      <w:r w:rsidR="00FC36F8">
        <w:t xml:space="preserve"> March</w:t>
      </w:r>
      <w:r w:rsidR="003F596E">
        <w:t xml:space="preserve"> 23 Ruling at </w:t>
      </w:r>
      <w:r w:rsidR="00CA555B">
        <w:t>4</w:t>
      </w:r>
      <w:r w:rsidR="009F34EF">
        <w:t>,</w:t>
      </w:r>
      <w:r w:rsidR="003F596E">
        <w:t xml:space="preserve"> UCAN Opening Comments </w:t>
      </w:r>
      <w:r w:rsidR="00411DCC">
        <w:t>on</w:t>
      </w:r>
      <w:r w:rsidR="00FC36F8">
        <w:t xml:space="preserve"> March</w:t>
      </w:r>
      <w:r w:rsidR="003F596E">
        <w:t xml:space="preserve"> 23 Ruling at 2</w:t>
      </w:r>
      <w:r w:rsidR="009F34EF">
        <w:t>,</w:t>
      </w:r>
      <w:r w:rsidR="003F596E">
        <w:t xml:space="preserve"> </w:t>
      </w:r>
      <w:r w:rsidR="00F34208">
        <w:t xml:space="preserve">Universal Devices Opening Comments </w:t>
      </w:r>
      <w:r w:rsidR="00411DCC">
        <w:t>on</w:t>
      </w:r>
      <w:r w:rsidR="00FC36F8">
        <w:t xml:space="preserve"> March</w:t>
      </w:r>
      <w:r w:rsidR="00F34208">
        <w:t xml:space="preserve"> 23 Ruling at </w:t>
      </w:r>
      <w:r w:rsidR="005E724D">
        <w:t>3</w:t>
      </w:r>
      <w:r w:rsidR="009F34EF">
        <w:t>,</w:t>
      </w:r>
      <w:r w:rsidR="00404D23">
        <w:t xml:space="preserve"> </w:t>
      </w:r>
      <w:r w:rsidR="003F596E">
        <w:t xml:space="preserve">EDF Opening Comments </w:t>
      </w:r>
      <w:r w:rsidR="00411DCC">
        <w:t>on</w:t>
      </w:r>
      <w:r w:rsidR="00FC36F8">
        <w:t xml:space="preserve"> March</w:t>
      </w:r>
      <w:r w:rsidR="003F596E">
        <w:t xml:space="preserve"> 23 Ruling at </w:t>
      </w:r>
      <w:r w:rsidR="00D44999">
        <w:t>7</w:t>
      </w:r>
      <w:r w:rsidR="009F34EF">
        <w:t>,</w:t>
      </w:r>
      <w:r w:rsidR="003F596E">
        <w:t xml:space="preserve"> </w:t>
      </w:r>
      <w:r w:rsidR="00313632">
        <w:t xml:space="preserve">CA Efficiency </w:t>
      </w:r>
      <w:r w:rsidR="007469DB">
        <w:t>+</w:t>
      </w:r>
      <w:r w:rsidR="00313632">
        <w:t xml:space="preserve"> Demand Management Council </w:t>
      </w:r>
      <w:r w:rsidR="006105F5">
        <w:t xml:space="preserve">Opening Comments </w:t>
      </w:r>
      <w:r w:rsidR="00411DCC">
        <w:t>on</w:t>
      </w:r>
      <w:r w:rsidR="00FC36F8">
        <w:t xml:space="preserve"> March</w:t>
      </w:r>
      <w:r w:rsidR="006105F5">
        <w:t xml:space="preserve"> 23 Ruling at </w:t>
      </w:r>
      <w:r w:rsidR="007469DB">
        <w:t>8</w:t>
      </w:r>
      <w:r w:rsidR="006105F5">
        <w:t>.</w:t>
      </w:r>
    </w:p>
  </w:footnote>
  <w:footnote w:id="45">
    <w:p w14:paraId="0BF8B18A" w14:textId="64BBCC82" w:rsidR="006C444D" w:rsidRDefault="006C444D">
      <w:pPr>
        <w:pStyle w:val="FootnoteText"/>
      </w:pPr>
      <w:r>
        <w:rPr>
          <w:rStyle w:val="FootnoteReference"/>
        </w:rPr>
        <w:footnoteRef/>
      </w:r>
      <w:r>
        <w:t xml:space="preserve"> CAISO</w:t>
      </w:r>
      <w:r w:rsidR="00CF59B8">
        <w:t xml:space="preserve"> Opening Comments </w:t>
      </w:r>
      <w:r w:rsidR="00760FC5">
        <w:t xml:space="preserve">on </w:t>
      </w:r>
      <w:r w:rsidR="00CF59B8">
        <w:t>March 23 Ruling at 13</w:t>
      </w:r>
      <w:r w:rsidR="009F34EF">
        <w:t>,</w:t>
      </w:r>
      <w:r>
        <w:t xml:space="preserve"> PG&amp;E</w:t>
      </w:r>
      <w:r w:rsidR="00CF59B8">
        <w:t xml:space="preserve"> Opening Comments </w:t>
      </w:r>
      <w:r w:rsidR="00760FC5">
        <w:t>on</w:t>
      </w:r>
      <w:r w:rsidR="00CF59B8">
        <w:t xml:space="preserve"> March 23 Ruling at </w:t>
      </w:r>
      <w:r w:rsidR="006E097A">
        <w:t>5</w:t>
      </w:r>
      <w:r w:rsidR="009F34EF">
        <w:t>,</w:t>
      </w:r>
      <w:r>
        <w:t xml:space="preserve"> SDG&amp;E</w:t>
      </w:r>
      <w:r w:rsidR="006E097A">
        <w:t xml:space="preserve"> Opening Comments to March 23 Ruling at </w:t>
      </w:r>
      <w:r w:rsidR="001D7B3D">
        <w:t>9.</w:t>
      </w:r>
    </w:p>
  </w:footnote>
  <w:footnote w:id="46">
    <w:p w14:paraId="36255312" w14:textId="6287886A" w:rsidR="00494B63" w:rsidRDefault="00494B63">
      <w:pPr>
        <w:pStyle w:val="FootnoteText"/>
      </w:pPr>
      <w:r>
        <w:rPr>
          <w:rStyle w:val="FootnoteReference"/>
        </w:rPr>
        <w:footnoteRef/>
      </w:r>
      <w:r>
        <w:t xml:space="preserve"> </w:t>
      </w:r>
      <w:r w:rsidR="0099397D">
        <w:t xml:space="preserve">CalCCA Opening Comments </w:t>
      </w:r>
      <w:r w:rsidR="00760FC5">
        <w:t>on</w:t>
      </w:r>
      <w:r w:rsidR="008F2878">
        <w:t xml:space="preserve"> </w:t>
      </w:r>
      <w:r w:rsidR="004E5683">
        <w:t>March 23 Ruling at 12.</w:t>
      </w:r>
    </w:p>
  </w:footnote>
  <w:footnote w:id="47">
    <w:p w14:paraId="7F66E7CA" w14:textId="79937CA7" w:rsidR="00494B63" w:rsidRDefault="00494B63">
      <w:pPr>
        <w:pStyle w:val="FootnoteText"/>
      </w:pPr>
      <w:r>
        <w:rPr>
          <w:rStyle w:val="FootnoteReference"/>
        </w:rPr>
        <w:footnoteRef/>
      </w:r>
      <w:r>
        <w:t xml:space="preserve"> UCAN</w:t>
      </w:r>
      <w:r w:rsidR="00AC7BC4">
        <w:t xml:space="preserve"> Opening Comments </w:t>
      </w:r>
      <w:r w:rsidR="00760FC5">
        <w:t>on</w:t>
      </w:r>
      <w:r w:rsidR="00AC7BC4">
        <w:t xml:space="preserve"> March 23 Ruling at 3.</w:t>
      </w:r>
    </w:p>
  </w:footnote>
  <w:footnote w:id="48">
    <w:p w14:paraId="26160B59" w14:textId="3F824C38" w:rsidR="008471A0" w:rsidRDefault="008471A0">
      <w:pPr>
        <w:pStyle w:val="FootnoteText"/>
      </w:pPr>
      <w:r>
        <w:rPr>
          <w:rStyle w:val="FootnoteReference"/>
        </w:rPr>
        <w:footnoteRef/>
      </w:r>
      <w:r>
        <w:t xml:space="preserve"> Universal Devices</w:t>
      </w:r>
      <w:r w:rsidR="00AC7BC4">
        <w:t xml:space="preserve"> Opening Comments </w:t>
      </w:r>
      <w:r w:rsidR="00760FC5">
        <w:t>on</w:t>
      </w:r>
      <w:r w:rsidR="00AC7BC4">
        <w:t xml:space="preserve"> March 23 Ruling at </w:t>
      </w:r>
      <w:r w:rsidR="00EF6614">
        <w:t>3.</w:t>
      </w:r>
    </w:p>
  </w:footnote>
  <w:footnote w:id="49">
    <w:p w14:paraId="3FE54E66" w14:textId="799753A4" w:rsidR="00CD7660" w:rsidRDefault="00CD7660">
      <w:pPr>
        <w:pStyle w:val="FootnoteText"/>
      </w:pPr>
      <w:r>
        <w:rPr>
          <w:rStyle w:val="FootnoteReference"/>
        </w:rPr>
        <w:footnoteRef/>
      </w:r>
      <w:r>
        <w:t xml:space="preserve"> Nexamp Opening Comments </w:t>
      </w:r>
      <w:r w:rsidR="00760FC5">
        <w:t>on</w:t>
      </w:r>
      <w:r>
        <w:t xml:space="preserve"> March 23 Ruling at </w:t>
      </w:r>
      <w:r w:rsidR="007C7490">
        <w:t>4.</w:t>
      </w:r>
    </w:p>
  </w:footnote>
  <w:footnote w:id="50">
    <w:p w14:paraId="23C280AD" w14:textId="5384F1AF" w:rsidR="008D503E" w:rsidRDefault="008D503E">
      <w:pPr>
        <w:pStyle w:val="FootnoteText"/>
      </w:pPr>
      <w:r>
        <w:rPr>
          <w:rStyle w:val="FootnoteReference"/>
        </w:rPr>
        <w:footnoteRef/>
      </w:r>
      <w:r>
        <w:t xml:space="preserve"> A</w:t>
      </w:r>
      <w:r w:rsidR="0003100C">
        <w:t>EU</w:t>
      </w:r>
      <w:r w:rsidR="00EF6614">
        <w:t xml:space="preserve"> Opening Comments </w:t>
      </w:r>
      <w:r w:rsidR="00760FC5">
        <w:t>on</w:t>
      </w:r>
      <w:r w:rsidR="00EF6614">
        <w:t xml:space="preserve"> March 23 Ruling at</w:t>
      </w:r>
      <w:r>
        <w:t xml:space="preserve"> 14.</w:t>
      </w:r>
    </w:p>
  </w:footnote>
  <w:footnote w:id="51">
    <w:p w14:paraId="221D161D" w14:textId="4ACAE699" w:rsidR="008D503E" w:rsidRDefault="008D503E">
      <w:pPr>
        <w:pStyle w:val="FootnoteText"/>
      </w:pPr>
      <w:r>
        <w:rPr>
          <w:rStyle w:val="FootnoteReference"/>
        </w:rPr>
        <w:footnoteRef/>
      </w:r>
      <w:r>
        <w:t xml:space="preserve"> EnergyHub</w:t>
      </w:r>
      <w:r w:rsidR="001315C3">
        <w:t xml:space="preserve"> Opening Comments </w:t>
      </w:r>
      <w:r w:rsidR="00760FC5">
        <w:t>on</w:t>
      </w:r>
      <w:r w:rsidR="001315C3">
        <w:t xml:space="preserve"> March 23 Ruling at 3.</w:t>
      </w:r>
    </w:p>
  </w:footnote>
  <w:footnote w:id="52">
    <w:p w14:paraId="2610E27D" w14:textId="70E9E160" w:rsidR="008C6629" w:rsidRDefault="008C6629">
      <w:pPr>
        <w:pStyle w:val="FootnoteText"/>
      </w:pPr>
      <w:r>
        <w:rPr>
          <w:rStyle w:val="FootnoteReference"/>
        </w:rPr>
        <w:footnoteRef/>
      </w:r>
      <w:r>
        <w:t xml:space="preserve"> SBUA </w:t>
      </w:r>
      <w:r w:rsidR="00D87C91">
        <w:t xml:space="preserve">Opening Comments </w:t>
      </w:r>
      <w:r w:rsidR="00760FC5">
        <w:t>on</w:t>
      </w:r>
      <w:r w:rsidR="00D87C91">
        <w:t xml:space="preserve"> March 23 Ruling at </w:t>
      </w:r>
      <w:r w:rsidR="00C24916">
        <w:t>2</w:t>
      </w:r>
      <w:r w:rsidR="009F34EF">
        <w:t>,</w:t>
      </w:r>
      <w:r w:rsidR="00D87C91">
        <w:t xml:space="preserve"> </w:t>
      </w:r>
      <w:r>
        <w:t>350</w:t>
      </w:r>
      <w:r w:rsidR="00D87C91">
        <w:t xml:space="preserve"> Bay Area </w:t>
      </w:r>
      <w:r w:rsidR="0060361F">
        <w:t>O</w:t>
      </w:r>
      <w:r w:rsidR="001B0051">
        <w:t xml:space="preserve">pening Comments </w:t>
      </w:r>
      <w:r w:rsidR="00760FC5">
        <w:t>on</w:t>
      </w:r>
      <w:r w:rsidR="001B0051">
        <w:t xml:space="preserve"> March 23 Ruling at </w:t>
      </w:r>
      <w:r w:rsidR="00B53325">
        <w:t>5</w:t>
      </w:r>
      <w:r w:rsidR="001B0051">
        <w:t>.</w:t>
      </w:r>
    </w:p>
  </w:footnote>
  <w:footnote w:id="53">
    <w:p w14:paraId="4ED24DEE" w14:textId="537783C0" w:rsidR="002D27E5" w:rsidRDefault="002D27E5">
      <w:pPr>
        <w:pStyle w:val="FootnoteText"/>
      </w:pPr>
      <w:r>
        <w:rPr>
          <w:rStyle w:val="FootnoteReference"/>
        </w:rPr>
        <w:footnoteRef/>
      </w:r>
      <w:r>
        <w:t xml:space="preserve"> Cal Advocates Opening Comments </w:t>
      </w:r>
      <w:r w:rsidR="00E30092">
        <w:t>on</w:t>
      </w:r>
      <w:r w:rsidR="00FC36F8">
        <w:t xml:space="preserve"> March</w:t>
      </w:r>
      <w:r>
        <w:t xml:space="preserve"> 23 Ruling at 10.</w:t>
      </w:r>
    </w:p>
  </w:footnote>
  <w:footnote w:id="54">
    <w:p w14:paraId="06C26F2D" w14:textId="57780301" w:rsidR="00A776E9" w:rsidRDefault="0003173A">
      <w:pPr>
        <w:pStyle w:val="FootnoteText"/>
      </w:pPr>
      <w:r>
        <w:rPr>
          <w:rStyle w:val="FootnoteReference"/>
        </w:rPr>
        <w:footnoteRef/>
      </w:r>
      <w:r>
        <w:t xml:space="preserve"> CalCCA Opening Comments </w:t>
      </w:r>
      <w:r w:rsidR="00E30092">
        <w:t>on</w:t>
      </w:r>
      <w:r>
        <w:t xml:space="preserve"> March 23 Ruling at 11.</w:t>
      </w:r>
    </w:p>
  </w:footnote>
  <w:footnote w:id="55">
    <w:p w14:paraId="60639672" w14:textId="6F5C2B25" w:rsidR="004A752C" w:rsidRDefault="00415D9D">
      <w:pPr>
        <w:pStyle w:val="FootnoteText"/>
      </w:pPr>
      <w:r w:rsidRPr="00415D9D">
        <w:rPr>
          <w:vertAlign w:val="superscript"/>
        </w:rPr>
        <w:footnoteRef/>
      </w:r>
      <w:r w:rsidRPr="00415D9D">
        <w:t xml:space="preserve"> CBD and 350 Bay Area Joint Reply Comments on March 23 Ruling at 3.</w:t>
      </w:r>
    </w:p>
  </w:footnote>
  <w:footnote w:id="56">
    <w:p w14:paraId="7641D34F" w14:textId="419E4A60" w:rsidR="0003173A" w:rsidRDefault="0003173A">
      <w:pPr>
        <w:pStyle w:val="FootnoteText"/>
      </w:pPr>
      <w:r>
        <w:rPr>
          <w:rStyle w:val="FootnoteReference"/>
        </w:rPr>
        <w:footnoteRef/>
      </w:r>
      <w:r>
        <w:t xml:space="preserve"> </w:t>
      </w:r>
      <w:r w:rsidR="009D752F">
        <w:t>CALSSA</w:t>
      </w:r>
      <w:r w:rsidR="00EA39D8">
        <w:t xml:space="preserve"> Opening Comments </w:t>
      </w:r>
      <w:r w:rsidR="00E30092">
        <w:t>on</w:t>
      </w:r>
      <w:r w:rsidR="00EA39D8">
        <w:t xml:space="preserve"> March 23 Ruling at </w:t>
      </w:r>
      <w:r w:rsidR="00EA7972">
        <w:t>4.</w:t>
      </w:r>
    </w:p>
  </w:footnote>
  <w:footnote w:id="57">
    <w:p w14:paraId="18C5424A" w14:textId="227CA35D" w:rsidR="008C6629" w:rsidRDefault="008C6629">
      <w:pPr>
        <w:pStyle w:val="FootnoteText"/>
      </w:pPr>
      <w:r>
        <w:rPr>
          <w:rStyle w:val="FootnoteReference"/>
        </w:rPr>
        <w:footnoteRef/>
      </w:r>
      <w:r>
        <w:t xml:space="preserve"> SDG&amp;E</w:t>
      </w:r>
      <w:r w:rsidR="00686CD3">
        <w:t xml:space="preserve"> Opening Comments </w:t>
      </w:r>
      <w:r w:rsidR="00411DCC">
        <w:t>on</w:t>
      </w:r>
      <w:r w:rsidR="00686CD3">
        <w:t xml:space="preserve"> March 23 Ruling at 9</w:t>
      </w:r>
      <w:r w:rsidR="009F34EF">
        <w:t>,</w:t>
      </w:r>
      <w:r>
        <w:t xml:space="preserve"> EDF</w:t>
      </w:r>
      <w:r w:rsidR="00686CD3">
        <w:t xml:space="preserve"> Opening Comments </w:t>
      </w:r>
      <w:r w:rsidR="00411DCC">
        <w:t>on</w:t>
      </w:r>
      <w:r w:rsidR="00686CD3">
        <w:t xml:space="preserve"> March 23 Ruling at </w:t>
      </w:r>
      <w:r w:rsidR="00CF1187">
        <w:t>8</w:t>
      </w:r>
      <w:r w:rsidR="009F34EF">
        <w:t>,</w:t>
      </w:r>
      <w:r>
        <w:t xml:space="preserve"> CA Efficiency </w:t>
      </w:r>
      <w:r w:rsidR="00CF1187">
        <w:t>+</w:t>
      </w:r>
      <w:r>
        <w:t xml:space="preserve"> Demand </w:t>
      </w:r>
      <w:r w:rsidR="00CF1187">
        <w:t>M</w:t>
      </w:r>
      <w:r>
        <w:t xml:space="preserve">anagement </w:t>
      </w:r>
      <w:r w:rsidR="00CF1187">
        <w:t>C</w:t>
      </w:r>
      <w:r>
        <w:t xml:space="preserve">ouncil </w:t>
      </w:r>
      <w:r w:rsidR="00CF1187">
        <w:t xml:space="preserve">Opening Comments </w:t>
      </w:r>
      <w:r w:rsidR="00411DCC">
        <w:t>on</w:t>
      </w:r>
      <w:r w:rsidR="00CF1187">
        <w:t xml:space="preserve"> March 23 Ruling at </w:t>
      </w:r>
      <w:r w:rsidR="006B44BB">
        <w:t>8.</w:t>
      </w:r>
    </w:p>
  </w:footnote>
  <w:footnote w:id="58">
    <w:p w14:paraId="39794F7E" w14:textId="39F7B020" w:rsidR="008C6629" w:rsidRDefault="008C6629">
      <w:pPr>
        <w:pStyle w:val="FootnoteText"/>
      </w:pPr>
      <w:r>
        <w:rPr>
          <w:rStyle w:val="FootnoteReference"/>
        </w:rPr>
        <w:footnoteRef/>
      </w:r>
      <w:r>
        <w:t xml:space="preserve"> Nexamp </w:t>
      </w:r>
      <w:r w:rsidR="006B44BB">
        <w:t xml:space="preserve">Opening Comments </w:t>
      </w:r>
      <w:r w:rsidR="00411DCC">
        <w:t>on</w:t>
      </w:r>
      <w:r w:rsidR="006B44BB">
        <w:t xml:space="preserve"> March 23 Ruling </w:t>
      </w:r>
      <w:r>
        <w:t>at 4.</w:t>
      </w:r>
    </w:p>
  </w:footnote>
  <w:footnote w:id="59">
    <w:p w14:paraId="663BB4E6" w14:textId="62E516C8" w:rsidR="003D143A" w:rsidRDefault="003D143A">
      <w:pPr>
        <w:pStyle w:val="FootnoteText"/>
      </w:pPr>
      <w:r>
        <w:rPr>
          <w:rStyle w:val="FootnoteReference"/>
        </w:rPr>
        <w:footnoteRef/>
      </w:r>
      <w:r>
        <w:t xml:space="preserve"> Gridworks </w:t>
      </w:r>
      <w:r w:rsidR="00122AE3">
        <w:t>facilitated</w:t>
      </w:r>
      <w:r>
        <w:t xml:space="preserve"> the FGS workshop series and prepared the FGS Report.</w:t>
      </w:r>
    </w:p>
  </w:footnote>
  <w:footnote w:id="60">
    <w:p w14:paraId="6A37B1E6" w14:textId="3FF3D948" w:rsidR="62BC6E7C" w:rsidRDefault="62BC6E7C" w:rsidP="000B582B">
      <w:pPr>
        <w:pStyle w:val="FootnoteText"/>
        <w:rPr>
          <w:rFonts w:eastAsia="Calibri" w:cs="Arial"/>
        </w:rPr>
      </w:pPr>
      <w:r w:rsidRPr="62BC6E7C">
        <w:rPr>
          <w:rStyle w:val="FootnoteReference"/>
        </w:rPr>
        <w:footnoteRef/>
      </w:r>
      <w:r w:rsidR="57EAEAB3">
        <w:t xml:space="preserve"> </w:t>
      </w:r>
      <w:r w:rsidR="57EAEAB3" w:rsidRPr="014EC636">
        <w:rPr>
          <w:rFonts w:eastAsia="Calibri" w:cs="Arial"/>
          <w:szCs w:val="22"/>
        </w:rPr>
        <w:t>Cal Advocates Opening Comments on July 9 Ruling at 2-4</w:t>
      </w:r>
    </w:p>
  </w:footnote>
  <w:footnote w:id="61">
    <w:p w14:paraId="09168D8E" w14:textId="1D2FF7A8" w:rsidR="139595E7" w:rsidRDefault="139595E7" w:rsidP="000B582B">
      <w:pPr>
        <w:pStyle w:val="FootnoteText"/>
      </w:pPr>
      <w:r w:rsidRPr="139595E7">
        <w:rPr>
          <w:rStyle w:val="FootnoteReference"/>
        </w:rPr>
        <w:footnoteRef/>
      </w:r>
      <w:r>
        <w:t xml:space="preserve"> </w:t>
      </w:r>
      <w:r w:rsidRPr="139595E7">
        <w:t>PG&amp;E Opening Comments on July 9 Ruling at 7-9</w:t>
      </w:r>
    </w:p>
  </w:footnote>
  <w:footnote w:id="62">
    <w:p w14:paraId="14747B2C" w14:textId="00937543" w:rsidR="139595E7" w:rsidRDefault="139595E7" w:rsidP="000B582B">
      <w:pPr>
        <w:pStyle w:val="FootnoteText"/>
        <w:rPr>
          <w:rFonts w:eastAsia="Calibri" w:cs="Arial"/>
        </w:rPr>
      </w:pPr>
      <w:r w:rsidRPr="139595E7">
        <w:rPr>
          <w:rStyle w:val="FootnoteReference"/>
        </w:rPr>
        <w:footnoteRef/>
      </w:r>
      <w:r w:rsidR="5E674DD7">
        <w:t xml:space="preserve"> </w:t>
      </w:r>
      <w:r w:rsidR="5E674DD7" w:rsidRPr="3F5C52B2">
        <w:rPr>
          <w:rFonts w:eastAsia="Calibri" w:cs="Arial"/>
          <w:szCs w:val="22"/>
        </w:rPr>
        <w:t>CALSSA Reply Comments on July 9 Ruling at 7-8</w:t>
      </w:r>
    </w:p>
  </w:footnote>
  <w:footnote w:id="63">
    <w:p w14:paraId="480899B8" w14:textId="7F654356" w:rsidR="00D67F4C" w:rsidRDefault="00D67F4C">
      <w:pPr>
        <w:pStyle w:val="FootnoteText"/>
      </w:pPr>
      <w:r>
        <w:rPr>
          <w:rStyle w:val="FootnoteReference"/>
        </w:rPr>
        <w:footnoteRef/>
      </w:r>
      <w:r>
        <w:t xml:space="preserve"> UCAN</w:t>
      </w:r>
      <w:r w:rsidR="00B903E8">
        <w:t xml:space="preserve"> Opening Comments </w:t>
      </w:r>
      <w:r w:rsidR="00411DCC">
        <w:t>on</w:t>
      </w:r>
      <w:r w:rsidR="00B903E8">
        <w:t xml:space="preserve"> March 23 Ruling at 3.</w:t>
      </w:r>
    </w:p>
  </w:footnote>
  <w:footnote w:id="64">
    <w:p w14:paraId="68BB3FE8" w14:textId="670A0E0E" w:rsidR="00D67F4C" w:rsidRDefault="00D67F4C">
      <w:pPr>
        <w:pStyle w:val="FootnoteText"/>
      </w:pPr>
      <w:r>
        <w:rPr>
          <w:rStyle w:val="FootnoteReference"/>
        </w:rPr>
        <w:footnoteRef/>
      </w:r>
      <w:r>
        <w:t xml:space="preserve"> Cal</w:t>
      </w:r>
      <w:r w:rsidR="00546131">
        <w:t xml:space="preserve"> </w:t>
      </w:r>
      <w:r>
        <w:t>Advocates</w:t>
      </w:r>
      <w:r w:rsidR="00200EA8">
        <w:t xml:space="preserve"> Opening Comments </w:t>
      </w:r>
      <w:r w:rsidR="00411DCC">
        <w:t>on</w:t>
      </w:r>
      <w:r w:rsidR="00200EA8">
        <w:t xml:space="preserve"> March 23 Ruling at</w:t>
      </w:r>
      <w:r w:rsidR="00546131">
        <w:t xml:space="preserve"> 8.</w:t>
      </w:r>
    </w:p>
  </w:footnote>
  <w:footnote w:id="65">
    <w:p w14:paraId="6A8DBE72" w14:textId="322245D6" w:rsidR="00D67F4C" w:rsidRDefault="00D67F4C">
      <w:pPr>
        <w:pStyle w:val="FootnoteText"/>
      </w:pPr>
      <w:r>
        <w:rPr>
          <w:rStyle w:val="FootnoteReference"/>
        </w:rPr>
        <w:footnoteRef/>
      </w:r>
      <w:r>
        <w:t xml:space="preserve"> SDG&amp;E</w:t>
      </w:r>
      <w:r w:rsidR="00CF5E09">
        <w:t xml:space="preserve"> Opening Comments </w:t>
      </w:r>
      <w:r w:rsidR="00411DCC">
        <w:t>on</w:t>
      </w:r>
      <w:r w:rsidR="00CF5E09">
        <w:t xml:space="preserve"> March 23 Ruling at 7.</w:t>
      </w:r>
    </w:p>
  </w:footnote>
  <w:footnote w:id="66">
    <w:p w14:paraId="0241F6DF" w14:textId="7F441016" w:rsidR="00E3010E" w:rsidRDefault="00E3010E">
      <w:pPr>
        <w:pStyle w:val="FootnoteText"/>
      </w:pPr>
      <w:r>
        <w:rPr>
          <w:rStyle w:val="FootnoteReference"/>
        </w:rPr>
        <w:footnoteRef/>
      </w:r>
      <w:r>
        <w:t xml:space="preserve"> </w:t>
      </w:r>
      <w:r w:rsidR="00C04BA7">
        <w:rPr>
          <w:i/>
          <w:iCs/>
        </w:rPr>
        <w:t>I</w:t>
      </w:r>
      <w:r w:rsidR="00873406">
        <w:rPr>
          <w:i/>
          <w:iCs/>
        </w:rPr>
        <w:t>d.</w:t>
      </w:r>
      <w:r w:rsidR="00C04BA7">
        <w:t xml:space="preserve"> at 8.</w:t>
      </w:r>
    </w:p>
  </w:footnote>
  <w:footnote w:id="67">
    <w:p w14:paraId="6C83A054" w14:textId="308F36EB" w:rsidR="003D622D" w:rsidRDefault="003D622D">
      <w:pPr>
        <w:pStyle w:val="FootnoteText"/>
      </w:pPr>
      <w:r>
        <w:rPr>
          <w:rStyle w:val="FootnoteReference"/>
        </w:rPr>
        <w:footnoteRef/>
      </w:r>
      <w:r>
        <w:t xml:space="preserve"> </w:t>
      </w:r>
      <w:r w:rsidR="008D758B">
        <w:t>UCAN</w:t>
      </w:r>
      <w:r w:rsidR="004246FD">
        <w:t xml:space="preserve"> Opening Comments </w:t>
      </w:r>
      <w:r w:rsidR="00411DCC">
        <w:t>on</w:t>
      </w:r>
      <w:r w:rsidR="004246FD">
        <w:t xml:space="preserve"> March 23 Ruling at 3.</w:t>
      </w:r>
    </w:p>
  </w:footnote>
  <w:footnote w:id="68">
    <w:p w14:paraId="3B2D54C5" w14:textId="32D7C5ED" w:rsidR="00BE3B8C" w:rsidRDefault="00BE3B8C">
      <w:pPr>
        <w:pStyle w:val="FootnoteText"/>
      </w:pPr>
      <w:r>
        <w:rPr>
          <w:rStyle w:val="FootnoteReference"/>
        </w:rPr>
        <w:footnoteRef/>
      </w:r>
      <w:r>
        <w:t xml:space="preserve"> </w:t>
      </w:r>
      <w:r w:rsidR="00B151F3">
        <w:t>A</w:t>
      </w:r>
      <w:r w:rsidR="00ED1C75">
        <w:t>EU</w:t>
      </w:r>
      <w:r w:rsidR="008D18A9">
        <w:t xml:space="preserve"> Opening Comments </w:t>
      </w:r>
      <w:r w:rsidR="00411DCC">
        <w:t>on</w:t>
      </w:r>
      <w:r w:rsidR="008D18A9">
        <w:t xml:space="preserve"> March 23 Ruling at 14.</w:t>
      </w:r>
    </w:p>
  </w:footnote>
  <w:footnote w:id="69">
    <w:p w14:paraId="314ED51B" w14:textId="67EFE059" w:rsidR="0030546E" w:rsidRDefault="0030546E">
      <w:pPr>
        <w:pStyle w:val="FootnoteText"/>
      </w:pPr>
      <w:r>
        <w:rPr>
          <w:rStyle w:val="FootnoteReference"/>
        </w:rPr>
        <w:footnoteRef/>
      </w:r>
      <w:r>
        <w:t xml:space="preserve"> 350</w:t>
      </w:r>
      <w:r w:rsidR="00A92A5F">
        <w:t xml:space="preserve"> </w:t>
      </w:r>
      <w:r>
        <w:t>B</w:t>
      </w:r>
      <w:r w:rsidR="00A92A5F">
        <w:t xml:space="preserve">ay Area Opening Comments </w:t>
      </w:r>
      <w:r w:rsidR="00411DCC">
        <w:t>on</w:t>
      </w:r>
      <w:r w:rsidR="00A92A5F">
        <w:t xml:space="preserve"> March 23 Ruling at </w:t>
      </w:r>
      <w:r w:rsidR="0009103B">
        <w:t>4</w:t>
      </w:r>
      <w:r w:rsidR="009F34EF">
        <w:t>,</w:t>
      </w:r>
      <w:r>
        <w:t xml:space="preserve"> EDF</w:t>
      </w:r>
      <w:r w:rsidR="003D7E64">
        <w:t xml:space="preserve"> Opening Comments </w:t>
      </w:r>
      <w:r w:rsidR="00411DCC">
        <w:t>on</w:t>
      </w:r>
      <w:r w:rsidR="003D7E64">
        <w:t xml:space="preserve"> March 23 Ruling at 5.</w:t>
      </w:r>
    </w:p>
  </w:footnote>
  <w:footnote w:id="70">
    <w:p w14:paraId="7B02BF5C" w14:textId="5AD93940" w:rsidR="0030546E" w:rsidRDefault="0030546E">
      <w:pPr>
        <w:pStyle w:val="FootnoteText"/>
      </w:pPr>
      <w:r>
        <w:rPr>
          <w:rStyle w:val="FootnoteReference"/>
        </w:rPr>
        <w:footnoteRef/>
      </w:r>
      <w:r>
        <w:t xml:space="preserve"> CalCCA</w:t>
      </w:r>
      <w:r w:rsidR="00C50A8B">
        <w:t xml:space="preserve"> Opening Comments </w:t>
      </w:r>
      <w:r w:rsidR="00411DCC">
        <w:t>on</w:t>
      </w:r>
      <w:r w:rsidR="00C50A8B">
        <w:t xml:space="preserve"> March 23 Ruling at 14.</w:t>
      </w:r>
    </w:p>
  </w:footnote>
  <w:footnote w:id="71">
    <w:p w14:paraId="3A23BF81" w14:textId="6F796A03" w:rsidR="0030546E" w:rsidRDefault="0030546E">
      <w:pPr>
        <w:pStyle w:val="FootnoteText"/>
      </w:pPr>
      <w:r>
        <w:rPr>
          <w:rStyle w:val="FootnoteReference"/>
        </w:rPr>
        <w:footnoteRef/>
      </w:r>
      <w:r>
        <w:t xml:space="preserve"> EDF</w:t>
      </w:r>
      <w:r w:rsidR="005F4BC1">
        <w:t xml:space="preserve"> Opening Comments </w:t>
      </w:r>
      <w:r w:rsidR="00411DCC">
        <w:t>on</w:t>
      </w:r>
      <w:r w:rsidR="005F4BC1">
        <w:t xml:space="preserve"> March 23 Ruling at 5.</w:t>
      </w:r>
    </w:p>
  </w:footnote>
  <w:footnote w:id="72">
    <w:p w14:paraId="2BDB3F46" w14:textId="510F3EF6" w:rsidR="05E50C92" w:rsidRDefault="05E50C92" w:rsidP="05E50C92">
      <w:pPr>
        <w:pStyle w:val="FootnoteText"/>
      </w:pPr>
      <w:r w:rsidRPr="05E50C92">
        <w:rPr>
          <w:rStyle w:val="FootnoteReference"/>
        </w:rPr>
        <w:footnoteRef/>
      </w:r>
      <w:r>
        <w:t xml:space="preserve"> PG&amp;E Opening Comments on March 23 Ruling at 3.</w:t>
      </w:r>
    </w:p>
  </w:footnote>
  <w:footnote w:id="73">
    <w:p w14:paraId="72BD83E2" w14:textId="34F40566" w:rsidR="05E50C92" w:rsidRDefault="05E50C92" w:rsidP="05E50C92">
      <w:pPr>
        <w:pStyle w:val="FootnoteText"/>
      </w:pPr>
      <w:r w:rsidRPr="05E50C92">
        <w:rPr>
          <w:rStyle w:val="FootnoteReference"/>
        </w:rPr>
        <w:footnoteRef/>
      </w:r>
      <w:r>
        <w:t xml:space="preserve"> SCE Opening Comments on March 23 Ruling at 4.</w:t>
      </w:r>
    </w:p>
  </w:footnote>
  <w:footnote w:id="74">
    <w:p w14:paraId="00D6E876" w14:textId="3EBB553B" w:rsidR="05E50C92" w:rsidRDefault="05E50C92" w:rsidP="05E50C92">
      <w:pPr>
        <w:pStyle w:val="FootnoteText"/>
      </w:pPr>
      <w:r w:rsidRPr="05E50C92">
        <w:rPr>
          <w:rStyle w:val="FootnoteReference"/>
        </w:rPr>
        <w:footnoteRef/>
      </w:r>
      <w:r>
        <w:t xml:space="preserve"> Nexamp Opening Comments on March 23 Ruling at 4.</w:t>
      </w:r>
    </w:p>
  </w:footnote>
  <w:footnote w:id="75">
    <w:p w14:paraId="5DDB9090" w14:textId="14C5A4C1" w:rsidR="00112DC0" w:rsidRDefault="00112DC0">
      <w:pPr>
        <w:pStyle w:val="FootnoteText"/>
      </w:pPr>
      <w:r>
        <w:rPr>
          <w:rStyle w:val="FootnoteReference"/>
        </w:rPr>
        <w:footnoteRef/>
      </w:r>
      <w:r>
        <w:t xml:space="preserve"> PG&amp;E </w:t>
      </w:r>
      <w:r w:rsidR="001F0827">
        <w:t xml:space="preserve">Opening Comments </w:t>
      </w:r>
      <w:r w:rsidR="00664282">
        <w:t>on</w:t>
      </w:r>
      <w:r w:rsidR="001F0827">
        <w:t xml:space="preserve"> March 23 Ruling at 14</w:t>
      </w:r>
      <w:r w:rsidR="009F34EF">
        <w:t>,</w:t>
      </w:r>
      <w:r w:rsidR="001F0827">
        <w:t xml:space="preserve"> </w:t>
      </w:r>
      <w:r>
        <w:t>SBUA</w:t>
      </w:r>
      <w:r w:rsidR="002E4BA4">
        <w:t xml:space="preserve"> Opening Comments </w:t>
      </w:r>
      <w:r w:rsidR="00664282">
        <w:t>on</w:t>
      </w:r>
      <w:r w:rsidR="002E4BA4">
        <w:t xml:space="preserve"> March 23 Ruling at 4.</w:t>
      </w:r>
    </w:p>
  </w:footnote>
  <w:footnote w:id="76">
    <w:p w14:paraId="7AF9EF90" w14:textId="0F9461D6" w:rsidR="0038134F" w:rsidRDefault="0038134F">
      <w:pPr>
        <w:pStyle w:val="FootnoteText"/>
      </w:pPr>
      <w:r>
        <w:rPr>
          <w:rStyle w:val="FootnoteReference"/>
        </w:rPr>
        <w:footnoteRef/>
      </w:r>
      <w:r>
        <w:t xml:space="preserve"> Cal</w:t>
      </w:r>
      <w:r w:rsidR="00516D25">
        <w:t xml:space="preserve"> </w:t>
      </w:r>
      <w:r>
        <w:t>Advocates</w:t>
      </w:r>
      <w:r w:rsidR="00367CF2">
        <w:t xml:space="preserve"> Opening Comments </w:t>
      </w:r>
      <w:r w:rsidR="00E64B7A">
        <w:t>on</w:t>
      </w:r>
      <w:r w:rsidR="00367CF2">
        <w:t xml:space="preserve"> March 23 Ruling at 19.</w:t>
      </w:r>
    </w:p>
  </w:footnote>
  <w:footnote w:id="77">
    <w:p w14:paraId="08502EE4" w14:textId="64F2BC26" w:rsidR="006B2978" w:rsidRDefault="006B2978">
      <w:pPr>
        <w:pStyle w:val="FootnoteText"/>
      </w:pPr>
      <w:r>
        <w:rPr>
          <w:rStyle w:val="FootnoteReference"/>
        </w:rPr>
        <w:footnoteRef/>
      </w:r>
      <w:r>
        <w:t xml:space="preserve"> PG&amp;E</w:t>
      </w:r>
      <w:r w:rsidR="00255EDC">
        <w:t xml:space="preserve"> </w:t>
      </w:r>
      <w:r w:rsidR="00447B32">
        <w:t xml:space="preserve">Opening Comments </w:t>
      </w:r>
      <w:r w:rsidR="00E64B7A">
        <w:t>on</w:t>
      </w:r>
      <w:r w:rsidR="00447B32">
        <w:t xml:space="preserve"> March 23 Ruling at 14.</w:t>
      </w:r>
    </w:p>
  </w:footnote>
  <w:footnote w:id="78">
    <w:p w14:paraId="3D897944" w14:textId="71728412" w:rsidR="006B2978" w:rsidRDefault="006B2978">
      <w:pPr>
        <w:pStyle w:val="FootnoteText"/>
      </w:pPr>
      <w:r>
        <w:rPr>
          <w:rStyle w:val="FootnoteReference"/>
        </w:rPr>
        <w:footnoteRef/>
      </w:r>
      <w:r>
        <w:t xml:space="preserve"> SCE</w:t>
      </w:r>
      <w:r w:rsidR="00692537">
        <w:t xml:space="preserve"> Opening Comments </w:t>
      </w:r>
      <w:r w:rsidR="00E64B7A">
        <w:t>on</w:t>
      </w:r>
      <w:r w:rsidR="00692537">
        <w:t xml:space="preserve"> March 23 Ruling at 8.</w:t>
      </w:r>
    </w:p>
  </w:footnote>
  <w:footnote w:id="79">
    <w:p w14:paraId="45AD9B45" w14:textId="4991F576" w:rsidR="00BD08B2" w:rsidRDefault="00BD08B2">
      <w:pPr>
        <w:pStyle w:val="FootnoteText"/>
      </w:pPr>
      <w:r>
        <w:rPr>
          <w:rStyle w:val="FootnoteReference"/>
        </w:rPr>
        <w:footnoteRef/>
      </w:r>
      <w:r>
        <w:t xml:space="preserve"> </w:t>
      </w:r>
      <w:r w:rsidR="009D752F">
        <w:t>CALSSA</w:t>
      </w:r>
      <w:r w:rsidR="004D2BF6">
        <w:t xml:space="preserve"> Opening Comments </w:t>
      </w:r>
      <w:r w:rsidR="00E64B7A">
        <w:t>on</w:t>
      </w:r>
      <w:r w:rsidR="004D2BF6">
        <w:t xml:space="preserve"> March 23 Ruling at 10.</w:t>
      </w:r>
    </w:p>
  </w:footnote>
  <w:footnote w:id="80">
    <w:p w14:paraId="141FD8FB" w14:textId="2195979C" w:rsidR="00E14170" w:rsidRDefault="00E14170">
      <w:pPr>
        <w:pStyle w:val="FootnoteText"/>
      </w:pPr>
      <w:r>
        <w:rPr>
          <w:rStyle w:val="FootnoteReference"/>
        </w:rPr>
        <w:footnoteRef/>
      </w:r>
      <w:r>
        <w:t xml:space="preserve"> SBUA</w:t>
      </w:r>
      <w:r w:rsidR="005F3315">
        <w:t xml:space="preserve"> Opening Comments </w:t>
      </w:r>
      <w:r w:rsidR="00E64B7A">
        <w:t>on</w:t>
      </w:r>
      <w:r w:rsidR="005F3315">
        <w:t xml:space="preserve"> March 23 Ruling at 4</w:t>
      </w:r>
      <w:r w:rsidR="009F34EF">
        <w:t>,</w:t>
      </w:r>
      <w:r w:rsidR="004D2BF6">
        <w:t xml:space="preserve"> </w:t>
      </w:r>
      <w:r w:rsidR="009D752F">
        <w:t>CALSSA</w:t>
      </w:r>
      <w:r w:rsidR="00866FBA">
        <w:t xml:space="preserve"> Opening Comments </w:t>
      </w:r>
      <w:r w:rsidR="00E64B7A">
        <w:t>on</w:t>
      </w:r>
      <w:r w:rsidR="00866FBA">
        <w:t xml:space="preserve"> March 23 Ruling at 10.</w:t>
      </w:r>
    </w:p>
  </w:footnote>
  <w:footnote w:id="81">
    <w:p w14:paraId="742A2B66" w14:textId="133B381E" w:rsidR="006F41A8" w:rsidRDefault="006F41A8">
      <w:pPr>
        <w:pStyle w:val="FootnoteText"/>
      </w:pPr>
      <w:r>
        <w:rPr>
          <w:rStyle w:val="FootnoteReference"/>
        </w:rPr>
        <w:footnoteRef/>
      </w:r>
      <w:r>
        <w:t xml:space="preserve"> 350 B</w:t>
      </w:r>
      <w:r w:rsidR="00A469F3">
        <w:t xml:space="preserve">ay Area Opening Comments </w:t>
      </w:r>
      <w:r w:rsidR="00E64B7A">
        <w:t>on</w:t>
      </w:r>
      <w:r w:rsidR="00A469F3">
        <w:t xml:space="preserve"> March 23 Ruling at 11.</w:t>
      </w:r>
    </w:p>
  </w:footnote>
  <w:footnote w:id="82">
    <w:p w14:paraId="747E086B" w14:textId="0E18F1F8" w:rsidR="00E60B11" w:rsidRDefault="00E60B11">
      <w:pPr>
        <w:pStyle w:val="FootnoteText"/>
      </w:pPr>
      <w:r>
        <w:rPr>
          <w:rStyle w:val="FootnoteReference"/>
        </w:rPr>
        <w:footnoteRef/>
      </w:r>
      <w:r>
        <w:t xml:space="preserve"> SBUA</w:t>
      </w:r>
      <w:r w:rsidR="002E2F86">
        <w:t xml:space="preserve"> Opening Comments </w:t>
      </w:r>
      <w:r w:rsidR="00E64B7A">
        <w:t>on</w:t>
      </w:r>
      <w:r w:rsidR="002E2F86">
        <w:t xml:space="preserve"> March 23 Ruling at 4.</w:t>
      </w:r>
    </w:p>
  </w:footnote>
  <w:footnote w:id="83">
    <w:p w14:paraId="6F868D6A" w14:textId="7AA53900" w:rsidR="00A1336A" w:rsidRDefault="00A1336A">
      <w:pPr>
        <w:pStyle w:val="FootnoteText"/>
      </w:pPr>
      <w:r>
        <w:rPr>
          <w:rStyle w:val="FootnoteReference"/>
        </w:rPr>
        <w:footnoteRef/>
      </w:r>
      <w:r>
        <w:t xml:space="preserve"> Universal Devices</w:t>
      </w:r>
      <w:r w:rsidR="00134152">
        <w:t xml:space="preserve"> Opening Comments </w:t>
      </w:r>
      <w:r w:rsidR="00E64B7A">
        <w:t>on</w:t>
      </w:r>
      <w:r w:rsidR="00134152">
        <w:t xml:space="preserve"> March 23 Ruling at 5</w:t>
      </w:r>
      <w:r w:rsidR="00A24F3F">
        <w:t>-6</w:t>
      </w:r>
      <w:r w:rsidR="00134152">
        <w:t>.</w:t>
      </w:r>
    </w:p>
  </w:footnote>
  <w:footnote w:id="84">
    <w:p w14:paraId="7AF6300B" w14:textId="5410F806" w:rsidR="00E939AC" w:rsidRDefault="00E939AC">
      <w:pPr>
        <w:pStyle w:val="FootnoteText"/>
      </w:pPr>
      <w:r>
        <w:rPr>
          <w:rStyle w:val="FootnoteReference"/>
        </w:rPr>
        <w:footnoteRef/>
      </w:r>
      <w:r>
        <w:t xml:space="preserve"> CalCCA</w:t>
      </w:r>
      <w:r w:rsidR="00B56206">
        <w:t xml:space="preserve"> Opening Comments </w:t>
      </w:r>
      <w:r w:rsidR="00E64B7A">
        <w:t>on</w:t>
      </w:r>
      <w:r w:rsidR="00B56206">
        <w:t xml:space="preserve"> March 23 Ruling at 20.</w:t>
      </w:r>
    </w:p>
  </w:footnote>
  <w:footnote w:id="85">
    <w:p w14:paraId="136F7729" w14:textId="033C237B" w:rsidR="00E939AC" w:rsidRDefault="00E939AC">
      <w:pPr>
        <w:pStyle w:val="FootnoteText"/>
      </w:pPr>
      <w:r>
        <w:rPr>
          <w:rStyle w:val="FootnoteReference"/>
        </w:rPr>
        <w:footnoteRef/>
      </w:r>
      <w:r>
        <w:t xml:space="preserve"> 350 </w:t>
      </w:r>
      <w:r w:rsidR="00135B9C">
        <w:t>Bay Area</w:t>
      </w:r>
      <w:r w:rsidR="00303A85">
        <w:t xml:space="preserve"> Opening Comments </w:t>
      </w:r>
      <w:r w:rsidR="00E64B7A">
        <w:t>on</w:t>
      </w:r>
      <w:r w:rsidR="00303A85">
        <w:t xml:space="preserve"> March 23 Ruling at 11.</w:t>
      </w:r>
    </w:p>
  </w:footnote>
  <w:footnote w:id="86">
    <w:p w14:paraId="42AF6883" w14:textId="210A094E" w:rsidR="00E939AC" w:rsidRDefault="00E939AC">
      <w:pPr>
        <w:pStyle w:val="FootnoteText"/>
      </w:pPr>
      <w:r>
        <w:rPr>
          <w:rStyle w:val="FootnoteReference"/>
        </w:rPr>
        <w:footnoteRef/>
      </w:r>
      <w:r>
        <w:t xml:space="preserve"> EDF</w:t>
      </w:r>
      <w:r w:rsidR="00A628F3">
        <w:t xml:space="preserve"> Opening Comments </w:t>
      </w:r>
      <w:r w:rsidR="00480395">
        <w:t>on</w:t>
      </w:r>
      <w:r w:rsidR="00A628F3">
        <w:t xml:space="preserve"> March 23 Ruling at 14.</w:t>
      </w:r>
    </w:p>
  </w:footnote>
  <w:footnote w:id="87">
    <w:p w14:paraId="689A356F" w14:textId="73F40754" w:rsidR="00803055" w:rsidRDefault="00803055">
      <w:pPr>
        <w:pStyle w:val="FootnoteText"/>
      </w:pPr>
      <w:r>
        <w:rPr>
          <w:rStyle w:val="FootnoteReference"/>
        </w:rPr>
        <w:footnoteRef/>
      </w:r>
      <w:r>
        <w:t xml:space="preserve"> EDF</w:t>
      </w:r>
      <w:r w:rsidR="003C414F">
        <w:t xml:space="preserve"> Opening Comments </w:t>
      </w:r>
      <w:r w:rsidR="00480395">
        <w:t>on</w:t>
      </w:r>
      <w:r w:rsidR="003C414F">
        <w:t xml:space="preserve"> March 23 Ruling at </w:t>
      </w:r>
      <w:r w:rsidR="004B2CD3">
        <w:t>14</w:t>
      </w:r>
      <w:r w:rsidR="009F34EF">
        <w:t>,</w:t>
      </w:r>
      <w:r>
        <w:t xml:space="preserve"> </w:t>
      </w:r>
      <w:r w:rsidR="004B2CD3">
        <w:t>350 Bay Area</w:t>
      </w:r>
      <w:r w:rsidR="00B516E9">
        <w:t xml:space="preserve"> Opening Comments </w:t>
      </w:r>
      <w:r w:rsidR="00480395">
        <w:t>on</w:t>
      </w:r>
      <w:r w:rsidR="00B516E9">
        <w:t xml:space="preserve"> March 23 Ruling at 11.</w:t>
      </w:r>
    </w:p>
  </w:footnote>
  <w:footnote w:id="88">
    <w:p w14:paraId="29C9D173" w14:textId="42C452EB" w:rsidR="00892A92" w:rsidRPr="00796BD4" w:rsidRDefault="00892A92">
      <w:pPr>
        <w:pStyle w:val="FootnoteText"/>
      </w:pPr>
      <w:r>
        <w:rPr>
          <w:rStyle w:val="FootnoteReference"/>
        </w:rPr>
        <w:footnoteRef/>
      </w:r>
      <w:r>
        <w:t xml:space="preserve"> </w:t>
      </w:r>
      <w:r w:rsidR="001876AE">
        <w:t xml:space="preserve">PG&amp;E &amp; SCE </w:t>
      </w:r>
      <w:r w:rsidR="00513057" w:rsidRPr="00796BD4">
        <w:t>Opening Comments </w:t>
      </w:r>
      <w:r w:rsidR="0064601E">
        <w:t>on</w:t>
      </w:r>
      <w:r w:rsidR="001876AE" w:rsidRPr="00796BD4">
        <w:t xml:space="preserve"> </w:t>
      </w:r>
      <w:r w:rsidR="00714FFA" w:rsidRPr="00796BD4">
        <w:t>October 17</w:t>
      </w:r>
      <w:r w:rsidR="009E4C73" w:rsidRPr="00796BD4">
        <w:t xml:space="preserve"> Ruling </w:t>
      </w:r>
      <w:r w:rsidR="001876AE" w:rsidRPr="00796BD4">
        <w:t xml:space="preserve">at </w:t>
      </w:r>
      <w:r w:rsidR="00513057" w:rsidRPr="00796BD4">
        <w:t>16-17.</w:t>
      </w:r>
    </w:p>
  </w:footnote>
  <w:footnote w:id="89">
    <w:p w14:paraId="69B4A648" w14:textId="7D34B1BD" w:rsidR="0016177B" w:rsidRDefault="0016177B">
      <w:pPr>
        <w:pStyle w:val="FootnoteText"/>
      </w:pPr>
      <w:r>
        <w:rPr>
          <w:rStyle w:val="FootnoteReference"/>
        </w:rPr>
        <w:footnoteRef/>
      </w:r>
      <w:r>
        <w:t xml:space="preserve"> </w:t>
      </w:r>
      <w:r w:rsidR="0064627F">
        <w:t xml:space="preserve">UCAN </w:t>
      </w:r>
      <w:r w:rsidR="0064627F" w:rsidRPr="00796BD4">
        <w:t>Opening Comments </w:t>
      </w:r>
      <w:r w:rsidR="0064601E">
        <w:t>on</w:t>
      </w:r>
      <w:r w:rsidR="0064627F" w:rsidRPr="00796BD4">
        <w:t xml:space="preserve"> October 17 </w:t>
      </w:r>
      <w:r w:rsidR="0064627F" w:rsidRPr="0064627F">
        <w:t xml:space="preserve">Ruling at </w:t>
      </w:r>
      <w:r w:rsidR="00E4597A">
        <w:t>i</w:t>
      </w:r>
      <w:r w:rsidR="00DF5874">
        <w:t xml:space="preserve"> and CalCCA </w:t>
      </w:r>
      <w:r w:rsidR="00DF5874" w:rsidRPr="00796BD4">
        <w:t>Opening Comments </w:t>
      </w:r>
      <w:r w:rsidR="00DF5874">
        <w:t>on</w:t>
      </w:r>
      <w:r w:rsidR="00DF5874" w:rsidRPr="00796BD4">
        <w:t xml:space="preserve"> October 17 Ruling at </w:t>
      </w:r>
      <w:r w:rsidR="00DF5874">
        <w:t>5.</w:t>
      </w:r>
    </w:p>
  </w:footnote>
  <w:footnote w:id="90">
    <w:p w14:paraId="1FAE8CD7" w14:textId="57BC1AD3" w:rsidR="00424AA6" w:rsidRDefault="00424AA6">
      <w:pPr>
        <w:pStyle w:val="FootnoteText"/>
      </w:pPr>
      <w:r>
        <w:rPr>
          <w:rStyle w:val="FootnoteReference"/>
        </w:rPr>
        <w:footnoteRef/>
      </w:r>
      <w:r>
        <w:t xml:space="preserve"> </w:t>
      </w:r>
      <w:r w:rsidR="00BB504F" w:rsidRPr="00BB504F">
        <w:t>VGIC</w:t>
      </w:r>
      <w:r w:rsidR="004B0D70">
        <w:t xml:space="preserve"> </w:t>
      </w:r>
      <w:r w:rsidR="004B0D70" w:rsidRPr="00796BD4">
        <w:t>Opening Comments </w:t>
      </w:r>
      <w:r w:rsidR="00570775">
        <w:t>on</w:t>
      </w:r>
      <w:r w:rsidR="004B0D70" w:rsidRPr="00796BD4">
        <w:t xml:space="preserve"> October 17 Ruling at </w:t>
      </w:r>
      <w:r w:rsidR="004B0D70">
        <w:t>6.</w:t>
      </w:r>
    </w:p>
  </w:footnote>
  <w:footnote w:id="91">
    <w:p w14:paraId="35659C6F" w14:textId="6F0A7DE0" w:rsidR="003D4EFB" w:rsidRDefault="003D4EFB">
      <w:pPr>
        <w:pStyle w:val="FootnoteText"/>
      </w:pPr>
      <w:r>
        <w:rPr>
          <w:rStyle w:val="FootnoteReference"/>
        </w:rPr>
        <w:footnoteRef/>
      </w:r>
      <w:r>
        <w:t xml:space="preserve"> </w:t>
      </w:r>
      <w:r w:rsidR="00E91C49">
        <w:t xml:space="preserve">PG&amp;E Opening Comments </w:t>
      </w:r>
      <w:r w:rsidR="003A3B4A">
        <w:t>on</w:t>
      </w:r>
      <w:r w:rsidR="00E91C49">
        <w:t xml:space="preserve"> March 23 Ruling at 11</w:t>
      </w:r>
      <w:r w:rsidR="009F34EF">
        <w:t>,</w:t>
      </w:r>
      <w:r w:rsidR="00E91C49">
        <w:t xml:space="preserve"> </w:t>
      </w:r>
      <w:r w:rsidR="001665CA">
        <w:t xml:space="preserve">SCE Opening Comments </w:t>
      </w:r>
      <w:r w:rsidR="003A3B4A">
        <w:t>on</w:t>
      </w:r>
      <w:r w:rsidR="001665CA">
        <w:t xml:space="preserve"> March 23 Ruling at 7</w:t>
      </w:r>
      <w:r w:rsidR="009F34EF">
        <w:t>,</w:t>
      </w:r>
      <w:r w:rsidR="001665CA">
        <w:t xml:space="preserve"> </w:t>
      </w:r>
      <w:r w:rsidR="001266AE">
        <w:t xml:space="preserve">SDG&amp;E Opening Comments </w:t>
      </w:r>
      <w:r w:rsidR="003A3B4A">
        <w:t>on</w:t>
      </w:r>
      <w:r w:rsidR="001266AE">
        <w:t xml:space="preserve"> March 23 Ruling at 16</w:t>
      </w:r>
      <w:r w:rsidR="009F34EF">
        <w:t>,</w:t>
      </w:r>
      <w:r w:rsidR="001266AE">
        <w:t xml:space="preserve"> </w:t>
      </w:r>
      <w:r w:rsidR="005562EC">
        <w:t xml:space="preserve">Universal Devices Opening Comments </w:t>
      </w:r>
      <w:r w:rsidR="003A3B4A">
        <w:t>on</w:t>
      </w:r>
      <w:r w:rsidR="005562EC">
        <w:t xml:space="preserve"> March 23 Ruling at 4</w:t>
      </w:r>
      <w:r w:rsidR="009F34EF">
        <w:t>,</w:t>
      </w:r>
      <w:r w:rsidR="005562EC">
        <w:t xml:space="preserve"> </w:t>
      </w:r>
      <w:r w:rsidR="00A46531">
        <w:t xml:space="preserve">Nexamp Opening Comments </w:t>
      </w:r>
      <w:r w:rsidR="003A3B4A">
        <w:t>on</w:t>
      </w:r>
      <w:r w:rsidR="00A46531">
        <w:t xml:space="preserve"> March 23 Ruling at 7</w:t>
      </w:r>
      <w:r w:rsidR="009F34EF">
        <w:t>,</w:t>
      </w:r>
      <w:r w:rsidR="00A46531">
        <w:t xml:space="preserve"> </w:t>
      </w:r>
      <w:r w:rsidR="00D15543">
        <w:t xml:space="preserve">EDF Opening Comments </w:t>
      </w:r>
      <w:r w:rsidR="003A3B4A">
        <w:t>on</w:t>
      </w:r>
      <w:r w:rsidR="00D15543">
        <w:t xml:space="preserve"> March 23 Ruling at </w:t>
      </w:r>
      <w:r w:rsidR="003A7246">
        <w:t>11</w:t>
      </w:r>
      <w:r w:rsidR="009F34EF">
        <w:t>,</w:t>
      </w:r>
      <w:r w:rsidR="003A7246">
        <w:t xml:space="preserve"> </w:t>
      </w:r>
      <w:r w:rsidR="00F069E5">
        <w:t xml:space="preserve">CA Efficiency + Demand </w:t>
      </w:r>
      <w:r w:rsidR="00A95951">
        <w:t>M</w:t>
      </w:r>
      <w:r w:rsidR="00F069E5">
        <w:t xml:space="preserve">anagement Council Opening Comments </w:t>
      </w:r>
      <w:r w:rsidR="003A3B4A">
        <w:t>on</w:t>
      </w:r>
      <w:r w:rsidR="00F069E5">
        <w:t xml:space="preserve"> March 23 Ruling at </w:t>
      </w:r>
      <w:r w:rsidR="00A95951">
        <w:t>10</w:t>
      </w:r>
      <w:r w:rsidR="009F34EF">
        <w:t>,</w:t>
      </w:r>
      <w:r w:rsidR="00A95951">
        <w:t xml:space="preserve"> 350 Bay Area</w:t>
      </w:r>
      <w:r w:rsidR="00F53B8B">
        <w:t xml:space="preserve"> Opening Comments </w:t>
      </w:r>
      <w:r w:rsidR="003A3B4A">
        <w:t>on</w:t>
      </w:r>
      <w:r w:rsidR="00F53B8B">
        <w:t xml:space="preserve"> March 23 Ruling at 9.</w:t>
      </w:r>
    </w:p>
  </w:footnote>
  <w:footnote w:id="92">
    <w:p w14:paraId="72B31E9C" w14:textId="06101D85" w:rsidR="001344E7" w:rsidRDefault="001344E7">
      <w:pPr>
        <w:pStyle w:val="FootnoteText"/>
      </w:pPr>
      <w:r>
        <w:rPr>
          <w:rStyle w:val="FootnoteReference"/>
        </w:rPr>
        <w:footnoteRef/>
      </w:r>
      <w:r>
        <w:t xml:space="preserve"> PG&amp;E Opening Comments </w:t>
      </w:r>
      <w:r w:rsidR="003A3B4A">
        <w:t>on</w:t>
      </w:r>
      <w:r>
        <w:t xml:space="preserve"> March 23 Ruling at 11.</w:t>
      </w:r>
    </w:p>
  </w:footnote>
  <w:footnote w:id="93">
    <w:p w14:paraId="6028325B" w14:textId="073F8239" w:rsidR="00625F17" w:rsidRDefault="00625F17">
      <w:pPr>
        <w:pStyle w:val="FootnoteText"/>
      </w:pPr>
      <w:r>
        <w:rPr>
          <w:rStyle w:val="FootnoteReference"/>
        </w:rPr>
        <w:footnoteRef/>
      </w:r>
      <w:r>
        <w:t xml:space="preserve"> SCE Opening Comments </w:t>
      </w:r>
      <w:r w:rsidR="003A3B4A">
        <w:t>on</w:t>
      </w:r>
      <w:r>
        <w:t xml:space="preserve"> March 23 Ruling at 7.</w:t>
      </w:r>
    </w:p>
  </w:footnote>
  <w:footnote w:id="94">
    <w:p w14:paraId="7B0D9D00" w14:textId="19CB93D2" w:rsidR="000D5F98" w:rsidRDefault="000D5F98">
      <w:pPr>
        <w:pStyle w:val="FootnoteText"/>
      </w:pPr>
      <w:r>
        <w:rPr>
          <w:rStyle w:val="FootnoteReference"/>
        </w:rPr>
        <w:footnoteRef/>
      </w:r>
      <w:r>
        <w:t xml:space="preserve"> SDG&amp;E Opening Comments </w:t>
      </w:r>
      <w:r w:rsidR="003A3B4A">
        <w:t>on</w:t>
      </w:r>
      <w:r>
        <w:t xml:space="preserve"> March 23 Ruling at </w:t>
      </w:r>
      <w:r w:rsidR="00C14D8A">
        <w:t xml:space="preserve">16. </w:t>
      </w:r>
    </w:p>
  </w:footnote>
  <w:footnote w:id="95">
    <w:p w14:paraId="24E113EA" w14:textId="62A4D7ED" w:rsidR="00892DB1" w:rsidRDefault="00892DB1">
      <w:pPr>
        <w:pStyle w:val="FootnoteText"/>
      </w:pPr>
      <w:r>
        <w:rPr>
          <w:rStyle w:val="FootnoteReference"/>
        </w:rPr>
        <w:footnoteRef/>
      </w:r>
      <w:r>
        <w:t xml:space="preserve"> UCAN Reply Comments </w:t>
      </w:r>
      <w:r w:rsidR="003A3B4A">
        <w:t>on</w:t>
      </w:r>
      <w:r>
        <w:t xml:space="preserve"> March 23 Ruling at 2.</w:t>
      </w:r>
    </w:p>
  </w:footnote>
  <w:footnote w:id="96">
    <w:p w14:paraId="6866FCEB" w14:textId="6C17AB0B" w:rsidR="004C57DE" w:rsidRDefault="004C57DE">
      <w:pPr>
        <w:pStyle w:val="FootnoteText"/>
      </w:pPr>
      <w:r>
        <w:rPr>
          <w:rStyle w:val="FootnoteReference"/>
        </w:rPr>
        <w:footnoteRef/>
      </w:r>
      <w:r>
        <w:t xml:space="preserve"> CalCCA</w:t>
      </w:r>
      <w:r w:rsidR="00E866B1">
        <w:t xml:space="preserve"> Opening Comments </w:t>
      </w:r>
      <w:r w:rsidR="003A3B4A">
        <w:t>on</w:t>
      </w:r>
      <w:r w:rsidR="00E866B1">
        <w:t xml:space="preserve"> March 23 Ruling at 19</w:t>
      </w:r>
      <w:r w:rsidR="009F34EF">
        <w:t>,</w:t>
      </w:r>
      <w:r>
        <w:t xml:space="preserve"> UCAN</w:t>
      </w:r>
      <w:r w:rsidR="00E866B1">
        <w:t xml:space="preserve"> </w:t>
      </w:r>
      <w:r w:rsidR="004C39C5">
        <w:t xml:space="preserve">Opening Comments </w:t>
      </w:r>
      <w:r w:rsidR="003A3B4A">
        <w:t>on</w:t>
      </w:r>
      <w:r w:rsidR="004C39C5">
        <w:t xml:space="preserve"> March 23 Ruling at 4-5</w:t>
      </w:r>
      <w:r w:rsidR="009F34EF">
        <w:t>,</w:t>
      </w:r>
      <w:r>
        <w:t xml:space="preserve"> EDF </w:t>
      </w:r>
      <w:r w:rsidR="00082888">
        <w:t xml:space="preserve">Opening Comments </w:t>
      </w:r>
      <w:r w:rsidR="003A3B4A">
        <w:t>on</w:t>
      </w:r>
      <w:r w:rsidR="00082888">
        <w:t xml:space="preserve"> March 23 Ruling at 11</w:t>
      </w:r>
      <w:r w:rsidR="009F34EF">
        <w:t>,</w:t>
      </w:r>
      <w:r>
        <w:t xml:space="preserve"> 350 Bay Area</w:t>
      </w:r>
      <w:r w:rsidR="002A2330">
        <w:t xml:space="preserve"> Opening Comments </w:t>
      </w:r>
      <w:r w:rsidR="003A3B4A">
        <w:t>on</w:t>
      </w:r>
      <w:r w:rsidR="002A2330">
        <w:t xml:space="preserve"> March 23 Ruling at 9.</w:t>
      </w:r>
    </w:p>
  </w:footnote>
  <w:footnote w:id="97">
    <w:p w14:paraId="21465BB4" w14:textId="6FA94A82" w:rsidR="003D4EFB" w:rsidRDefault="003D4EFB">
      <w:pPr>
        <w:pStyle w:val="FootnoteText"/>
      </w:pPr>
      <w:r>
        <w:rPr>
          <w:rStyle w:val="FootnoteReference"/>
        </w:rPr>
        <w:footnoteRef/>
      </w:r>
      <w:r>
        <w:t xml:space="preserve"> </w:t>
      </w:r>
      <w:r w:rsidR="00B6775A">
        <w:t xml:space="preserve">350 Bay Area Opening Comments </w:t>
      </w:r>
      <w:r w:rsidR="003A3B4A">
        <w:t>on</w:t>
      </w:r>
      <w:r w:rsidR="00B6775A">
        <w:t xml:space="preserve"> March 23 Ruling at 9.</w:t>
      </w:r>
    </w:p>
  </w:footnote>
  <w:footnote w:id="98">
    <w:p w14:paraId="6C916328" w14:textId="44C26FE9" w:rsidR="003D4EFB" w:rsidRDefault="003D4EFB">
      <w:pPr>
        <w:pStyle w:val="FootnoteText"/>
      </w:pPr>
      <w:r>
        <w:rPr>
          <w:rStyle w:val="FootnoteReference"/>
        </w:rPr>
        <w:footnoteRef/>
      </w:r>
      <w:r>
        <w:t xml:space="preserve"> </w:t>
      </w:r>
      <w:r w:rsidR="009D752F">
        <w:t>CALSSA</w:t>
      </w:r>
      <w:r w:rsidR="00022DBD">
        <w:t xml:space="preserve"> Opening Comments </w:t>
      </w:r>
      <w:r w:rsidR="00376B45">
        <w:t>on</w:t>
      </w:r>
      <w:r w:rsidR="00022DBD">
        <w:t xml:space="preserve"> March 23 Ruling at 9</w:t>
      </w:r>
      <w:r w:rsidR="009F34EF">
        <w:t>,</w:t>
      </w:r>
      <w:r w:rsidR="00357C6A">
        <w:t xml:space="preserve"> SCE</w:t>
      </w:r>
      <w:r w:rsidR="006577A5">
        <w:t xml:space="preserve"> Opening Comments </w:t>
      </w:r>
      <w:r w:rsidR="00376B45">
        <w:t>on</w:t>
      </w:r>
      <w:r w:rsidR="006577A5">
        <w:t xml:space="preserve"> March 23 Ruling at 7</w:t>
      </w:r>
      <w:r w:rsidR="009F34EF">
        <w:t>,</w:t>
      </w:r>
      <w:r w:rsidR="00357C6A">
        <w:t xml:space="preserve"> Universal Devices</w:t>
      </w:r>
      <w:r w:rsidR="00C021C6">
        <w:t xml:space="preserve"> Opening Comments </w:t>
      </w:r>
      <w:r w:rsidR="00376B45">
        <w:t>on</w:t>
      </w:r>
      <w:r w:rsidR="00C021C6">
        <w:t xml:space="preserve"> March 23 Ruling at 4</w:t>
      </w:r>
      <w:r w:rsidR="009F34EF">
        <w:t>,</w:t>
      </w:r>
      <w:r w:rsidR="00357C6A">
        <w:t xml:space="preserve"> EDF</w:t>
      </w:r>
      <w:r w:rsidR="00C021C6">
        <w:t xml:space="preserve"> </w:t>
      </w:r>
      <w:r w:rsidR="00D66411">
        <w:t xml:space="preserve">Opening Comments </w:t>
      </w:r>
      <w:r w:rsidR="00376B45">
        <w:t>on</w:t>
      </w:r>
      <w:r w:rsidR="00D66411">
        <w:t xml:space="preserve"> March 23 Ruling at 10</w:t>
      </w:r>
      <w:r w:rsidR="00357C6A">
        <w:t>.</w:t>
      </w:r>
    </w:p>
  </w:footnote>
  <w:footnote w:id="99">
    <w:p w14:paraId="7568DD57" w14:textId="0E6C6767" w:rsidR="004B77B9" w:rsidRDefault="004B77B9">
      <w:pPr>
        <w:pStyle w:val="FootnoteText"/>
      </w:pPr>
      <w:r>
        <w:rPr>
          <w:rStyle w:val="FootnoteReference"/>
        </w:rPr>
        <w:footnoteRef/>
      </w:r>
      <w:r>
        <w:t xml:space="preserve"> </w:t>
      </w:r>
      <w:r w:rsidR="00675C56">
        <w:t xml:space="preserve">Universal Devices Reply Comments </w:t>
      </w:r>
      <w:r w:rsidR="00376B45">
        <w:t>on</w:t>
      </w:r>
      <w:r w:rsidR="00675C56">
        <w:t xml:space="preserve"> March 23 Ruling at 4.</w:t>
      </w:r>
    </w:p>
  </w:footnote>
  <w:footnote w:id="100">
    <w:p w14:paraId="7AA50E66" w14:textId="0FBC1815" w:rsidR="0022734D" w:rsidRDefault="0022734D">
      <w:pPr>
        <w:pStyle w:val="FootnoteText"/>
      </w:pPr>
      <w:r>
        <w:rPr>
          <w:rStyle w:val="FootnoteReference"/>
        </w:rPr>
        <w:footnoteRef/>
      </w:r>
      <w:r>
        <w:t xml:space="preserve"> Universal Devises Opening Comments </w:t>
      </w:r>
      <w:r w:rsidR="00376B45">
        <w:t>on</w:t>
      </w:r>
      <w:r>
        <w:t xml:space="preserve"> July 9 Ruling at 2-3.</w:t>
      </w:r>
    </w:p>
  </w:footnote>
  <w:footnote w:id="101">
    <w:p w14:paraId="51C0B6C7" w14:textId="741B49C7" w:rsidR="003D4EFB" w:rsidRDefault="003D4EFB">
      <w:pPr>
        <w:pStyle w:val="FootnoteText"/>
      </w:pPr>
      <w:r>
        <w:rPr>
          <w:rStyle w:val="FootnoteReference"/>
        </w:rPr>
        <w:footnoteRef/>
      </w:r>
      <w:r>
        <w:t xml:space="preserve"> </w:t>
      </w:r>
      <w:r w:rsidR="00B0524A">
        <w:t>AEU</w:t>
      </w:r>
      <w:r w:rsidR="00983C93">
        <w:t xml:space="preserve"> Opening Comments </w:t>
      </w:r>
      <w:r w:rsidR="00376B45">
        <w:t>on</w:t>
      </w:r>
      <w:r w:rsidR="00983C93">
        <w:t xml:space="preserve"> March 23 Ruling at 17.</w:t>
      </w:r>
    </w:p>
  </w:footnote>
  <w:footnote w:id="102">
    <w:p w14:paraId="5FAE82A4" w14:textId="01E422FC" w:rsidR="005D6F2D" w:rsidRDefault="005D6F2D">
      <w:pPr>
        <w:pStyle w:val="FootnoteText"/>
      </w:pPr>
      <w:r>
        <w:rPr>
          <w:rStyle w:val="FootnoteReference"/>
        </w:rPr>
        <w:footnoteRef/>
      </w:r>
      <w:r>
        <w:t xml:space="preserve"> Universal Devices Reply Comments </w:t>
      </w:r>
      <w:r w:rsidR="00376B45">
        <w:t>on</w:t>
      </w:r>
      <w:r>
        <w:t xml:space="preserve"> March 23 Ruling at 5.</w:t>
      </w:r>
    </w:p>
  </w:footnote>
  <w:footnote w:id="103">
    <w:p w14:paraId="50BC2819" w14:textId="4257617A" w:rsidR="003D4EFB" w:rsidRDefault="003D4EFB">
      <w:pPr>
        <w:pStyle w:val="FootnoteText"/>
      </w:pPr>
      <w:r>
        <w:rPr>
          <w:rStyle w:val="FootnoteReference"/>
        </w:rPr>
        <w:footnoteRef/>
      </w:r>
      <w:r>
        <w:t xml:space="preserve"> </w:t>
      </w:r>
      <w:r w:rsidR="001E6697">
        <w:t>SDG&amp;E</w:t>
      </w:r>
      <w:r w:rsidR="00064902">
        <w:t xml:space="preserve"> Opening Comments </w:t>
      </w:r>
      <w:r w:rsidR="00376B45">
        <w:t>on</w:t>
      </w:r>
      <w:r w:rsidR="00064902">
        <w:t xml:space="preserve"> March 23 Ruling at 16.</w:t>
      </w:r>
    </w:p>
  </w:footnote>
  <w:footnote w:id="104">
    <w:p w14:paraId="02FE518F" w14:textId="33BE94AB" w:rsidR="006A498A" w:rsidRDefault="006A498A">
      <w:pPr>
        <w:pStyle w:val="FootnoteText"/>
      </w:pPr>
      <w:r>
        <w:rPr>
          <w:rStyle w:val="FootnoteReference"/>
        </w:rPr>
        <w:footnoteRef/>
      </w:r>
      <w:r>
        <w:t xml:space="preserve"> CalCCA Reply Comments to March 23 Ruling at 7.</w:t>
      </w:r>
    </w:p>
  </w:footnote>
  <w:footnote w:id="105">
    <w:p w14:paraId="1D098F50" w14:textId="5EC6CD42" w:rsidR="00520E1F" w:rsidRDefault="00520E1F">
      <w:pPr>
        <w:pStyle w:val="FootnoteText"/>
      </w:pPr>
      <w:r>
        <w:rPr>
          <w:rStyle w:val="FootnoteReference"/>
        </w:rPr>
        <w:footnoteRef/>
      </w:r>
      <w:r>
        <w:t xml:space="preserve"> SCE Opening Comments </w:t>
      </w:r>
      <w:r w:rsidR="00CD5BFD">
        <w:t>on</w:t>
      </w:r>
      <w:r>
        <w:t xml:space="preserve"> March 23 Ruling at 10.</w:t>
      </w:r>
    </w:p>
  </w:footnote>
  <w:footnote w:id="106">
    <w:p w14:paraId="37C9E2EB" w14:textId="01D2EFC7" w:rsidR="004906EF" w:rsidRDefault="004906EF">
      <w:pPr>
        <w:pStyle w:val="FootnoteText"/>
      </w:pPr>
      <w:r>
        <w:rPr>
          <w:rStyle w:val="FootnoteReference"/>
        </w:rPr>
        <w:footnoteRef/>
      </w:r>
      <w:r>
        <w:t xml:space="preserve"> Nexamp</w:t>
      </w:r>
      <w:r w:rsidR="00BB4150">
        <w:t xml:space="preserve"> Opening Comments </w:t>
      </w:r>
      <w:r w:rsidR="008A033F">
        <w:t>on</w:t>
      </w:r>
      <w:r w:rsidR="00BB4150">
        <w:t xml:space="preserve"> March 23 Ruling at 9</w:t>
      </w:r>
      <w:r w:rsidR="009F34EF">
        <w:t>,</w:t>
      </w:r>
      <w:r>
        <w:t xml:space="preserve"> UCAN</w:t>
      </w:r>
      <w:r w:rsidR="007A1BA4">
        <w:t xml:space="preserve"> </w:t>
      </w:r>
      <w:r w:rsidR="005B7BA5">
        <w:t xml:space="preserve">Opening Comments </w:t>
      </w:r>
      <w:r w:rsidR="008A033F">
        <w:t>on</w:t>
      </w:r>
      <w:r w:rsidR="005B7BA5">
        <w:t xml:space="preserve"> March 23 Ruling at 5</w:t>
      </w:r>
      <w:r>
        <w:t>.</w:t>
      </w:r>
    </w:p>
  </w:footnote>
  <w:footnote w:id="107">
    <w:p w14:paraId="5E883723" w14:textId="3785658D" w:rsidR="004906EF" w:rsidRDefault="004906EF">
      <w:pPr>
        <w:pStyle w:val="FootnoteText"/>
      </w:pPr>
      <w:r>
        <w:rPr>
          <w:rStyle w:val="FootnoteReference"/>
        </w:rPr>
        <w:footnoteRef/>
      </w:r>
      <w:r>
        <w:t xml:space="preserve"> EDF</w:t>
      </w:r>
      <w:r w:rsidR="001065FC">
        <w:t xml:space="preserve"> Opening Comments </w:t>
      </w:r>
      <w:r w:rsidR="008A033F">
        <w:t>on</w:t>
      </w:r>
      <w:r w:rsidR="001065FC">
        <w:t xml:space="preserve"> March 23 Ruling at </w:t>
      </w:r>
      <w:r w:rsidR="00746FC6">
        <w:t>15</w:t>
      </w:r>
      <w:r w:rsidR="001065FC">
        <w:t>.</w:t>
      </w:r>
    </w:p>
  </w:footnote>
  <w:footnote w:id="108">
    <w:p w14:paraId="46AC492A" w14:textId="4627C89D" w:rsidR="004906EF" w:rsidRDefault="004906EF">
      <w:pPr>
        <w:pStyle w:val="FootnoteText"/>
      </w:pPr>
      <w:r>
        <w:rPr>
          <w:rStyle w:val="FootnoteReference"/>
        </w:rPr>
        <w:footnoteRef/>
      </w:r>
      <w:r>
        <w:t xml:space="preserve"> </w:t>
      </w:r>
      <w:r w:rsidR="009D752F">
        <w:t>CALSSA</w:t>
      </w:r>
      <w:r w:rsidR="006B6D4C">
        <w:t xml:space="preserve"> Opening Comments </w:t>
      </w:r>
      <w:r w:rsidR="008A033F">
        <w:t>on</w:t>
      </w:r>
      <w:r w:rsidR="006B6D4C">
        <w:t xml:space="preserve"> March 23 Ruling at </w:t>
      </w:r>
      <w:r w:rsidR="006F5E43">
        <w:t>11.</w:t>
      </w:r>
    </w:p>
  </w:footnote>
  <w:footnote w:id="109">
    <w:p w14:paraId="4FE6C09C" w14:textId="4EF955A7" w:rsidR="004906EF" w:rsidRDefault="004906EF">
      <w:pPr>
        <w:pStyle w:val="FootnoteText"/>
      </w:pPr>
      <w:r>
        <w:rPr>
          <w:rStyle w:val="FootnoteReference"/>
        </w:rPr>
        <w:footnoteRef/>
      </w:r>
      <w:r>
        <w:t xml:space="preserve"> Universal Devices</w:t>
      </w:r>
      <w:r w:rsidR="00CA0636">
        <w:t xml:space="preserve"> Opening Comments </w:t>
      </w:r>
      <w:r w:rsidR="008A033F">
        <w:t>on</w:t>
      </w:r>
      <w:r w:rsidR="00CA0636">
        <w:t xml:space="preserve"> March 23 Ruling at 6.</w:t>
      </w:r>
    </w:p>
  </w:footnote>
  <w:footnote w:id="110">
    <w:p w14:paraId="5F5B2299" w14:textId="37FC9662" w:rsidR="004906EF" w:rsidRDefault="004906EF">
      <w:pPr>
        <w:pStyle w:val="FootnoteText"/>
      </w:pPr>
      <w:r>
        <w:rPr>
          <w:rStyle w:val="FootnoteReference"/>
        </w:rPr>
        <w:footnoteRef/>
      </w:r>
      <w:r>
        <w:t xml:space="preserve"> PG&amp;E</w:t>
      </w:r>
      <w:r w:rsidR="00760B0C">
        <w:t xml:space="preserve"> Opening Comments </w:t>
      </w:r>
      <w:r w:rsidR="008A033F">
        <w:t>on</w:t>
      </w:r>
      <w:r w:rsidR="00760B0C">
        <w:t xml:space="preserve"> March 23 Ruling at 15.</w:t>
      </w:r>
    </w:p>
  </w:footnote>
  <w:footnote w:id="111">
    <w:p w14:paraId="7BBAF480" w14:textId="1CC03677" w:rsidR="002D0AE1" w:rsidRDefault="002D0AE1">
      <w:pPr>
        <w:pStyle w:val="FootnoteText"/>
      </w:pPr>
      <w:r>
        <w:rPr>
          <w:rStyle w:val="FootnoteReference"/>
        </w:rPr>
        <w:footnoteRef/>
      </w:r>
      <w:r>
        <w:t xml:space="preserve"> </w:t>
      </w:r>
      <w:r w:rsidRPr="002D0AE1">
        <w:rPr>
          <w:i/>
          <w:iCs/>
        </w:rPr>
        <w:t>Ibid.</w:t>
      </w:r>
    </w:p>
  </w:footnote>
  <w:footnote w:id="112">
    <w:p w14:paraId="411CFF3A" w14:textId="1FDAB995" w:rsidR="00233CE7" w:rsidRDefault="00233CE7">
      <w:pPr>
        <w:pStyle w:val="FootnoteText"/>
      </w:pPr>
      <w:r>
        <w:rPr>
          <w:rStyle w:val="FootnoteReference"/>
        </w:rPr>
        <w:footnoteRef/>
      </w:r>
      <w:r>
        <w:t xml:space="preserve"> EnergyHub</w:t>
      </w:r>
      <w:r w:rsidR="00272CC4">
        <w:t xml:space="preserve"> Opening Comments </w:t>
      </w:r>
      <w:r w:rsidR="008A033F">
        <w:t>on</w:t>
      </w:r>
      <w:r w:rsidR="00272CC4">
        <w:t xml:space="preserve"> March 23 Ruling at 4.</w:t>
      </w:r>
    </w:p>
  </w:footnote>
  <w:footnote w:id="113">
    <w:p w14:paraId="7D8C51B0" w14:textId="23434861" w:rsidR="00233CE7" w:rsidRDefault="00233CE7">
      <w:pPr>
        <w:pStyle w:val="FootnoteText"/>
      </w:pPr>
      <w:r>
        <w:rPr>
          <w:rStyle w:val="FootnoteReference"/>
        </w:rPr>
        <w:footnoteRef/>
      </w:r>
      <w:r>
        <w:t xml:space="preserve"> SCE</w:t>
      </w:r>
      <w:r w:rsidR="003600C6">
        <w:t xml:space="preserve"> Opening Comments </w:t>
      </w:r>
      <w:r w:rsidR="00D56FF8">
        <w:t>on</w:t>
      </w:r>
      <w:r w:rsidR="003600C6">
        <w:t xml:space="preserve"> March 23 Ruling at 10.</w:t>
      </w:r>
    </w:p>
  </w:footnote>
  <w:footnote w:id="114">
    <w:p w14:paraId="2A685BB9" w14:textId="3835CC69" w:rsidR="00087ED3" w:rsidRDefault="00087ED3">
      <w:pPr>
        <w:pStyle w:val="FootnoteText"/>
      </w:pPr>
      <w:r>
        <w:rPr>
          <w:rStyle w:val="FootnoteReference"/>
        </w:rPr>
        <w:footnoteRef/>
      </w:r>
      <w:r>
        <w:t xml:space="preserve"> CalCCA Reply Comments </w:t>
      </w:r>
      <w:r w:rsidR="00D56FF8">
        <w:t>on</w:t>
      </w:r>
      <w:r>
        <w:t xml:space="preserve"> March 23 Ruling at 8.</w:t>
      </w:r>
    </w:p>
  </w:footnote>
  <w:footnote w:id="115">
    <w:p w14:paraId="2B08C3F2" w14:textId="089FFCFA" w:rsidR="004D59E5" w:rsidRDefault="004D59E5">
      <w:pPr>
        <w:pStyle w:val="FootnoteText"/>
      </w:pPr>
      <w:r>
        <w:rPr>
          <w:rStyle w:val="FootnoteReference"/>
        </w:rPr>
        <w:footnoteRef/>
      </w:r>
      <w:r>
        <w:t xml:space="preserve"> UCAN</w:t>
      </w:r>
      <w:r w:rsidR="0071393F">
        <w:t xml:space="preserve"> Opening Comments </w:t>
      </w:r>
      <w:r w:rsidR="00D56FF8">
        <w:t xml:space="preserve">on </w:t>
      </w:r>
      <w:r w:rsidR="0071393F">
        <w:t>March 23 Ruling at 4</w:t>
      </w:r>
      <w:r w:rsidR="009F34EF">
        <w:t>,</w:t>
      </w:r>
      <w:r>
        <w:t xml:space="preserve"> A</w:t>
      </w:r>
      <w:r w:rsidR="008A7AC3">
        <w:t>EU</w:t>
      </w:r>
      <w:r w:rsidR="00A77ECF">
        <w:t xml:space="preserve"> Opening Comments </w:t>
      </w:r>
      <w:r w:rsidR="00D56FF8">
        <w:t>on</w:t>
      </w:r>
      <w:r w:rsidR="00A77ECF">
        <w:t xml:space="preserve"> March 23 Ruling at 19</w:t>
      </w:r>
      <w:r w:rsidR="009F34EF">
        <w:t>,</w:t>
      </w:r>
      <w:r>
        <w:t xml:space="preserve"> CA Efficiency + Demand Man</w:t>
      </w:r>
      <w:r w:rsidR="00DB7A56">
        <w:t>a</w:t>
      </w:r>
      <w:r>
        <w:t>gement Council</w:t>
      </w:r>
      <w:r w:rsidR="000C2BC4">
        <w:t xml:space="preserve"> Opening Comments </w:t>
      </w:r>
      <w:r w:rsidR="00D56FF8">
        <w:t>on</w:t>
      </w:r>
      <w:r w:rsidR="000C2BC4">
        <w:t xml:space="preserve"> March 23 Ruling at 12.</w:t>
      </w:r>
    </w:p>
  </w:footnote>
  <w:footnote w:id="116">
    <w:p w14:paraId="4048F156" w14:textId="323569AC" w:rsidR="00EF359F" w:rsidRDefault="00EF359F">
      <w:pPr>
        <w:pStyle w:val="FootnoteText"/>
      </w:pPr>
      <w:r>
        <w:rPr>
          <w:rStyle w:val="FootnoteReference"/>
        </w:rPr>
        <w:footnoteRef/>
      </w:r>
      <w:r>
        <w:t xml:space="preserve"> </w:t>
      </w:r>
      <w:r w:rsidR="00F120E9">
        <w:t>PG&amp;E</w:t>
      </w:r>
      <w:r w:rsidR="000D4A3E">
        <w:t xml:space="preserve"> Opening Comments </w:t>
      </w:r>
      <w:r w:rsidR="00D56FF8">
        <w:t>on</w:t>
      </w:r>
      <w:r w:rsidR="000D4A3E">
        <w:t xml:space="preserve"> March 23 Ruling at 15</w:t>
      </w:r>
      <w:r w:rsidR="009F34EF">
        <w:t>,</w:t>
      </w:r>
      <w:r w:rsidR="00F120E9">
        <w:t xml:space="preserve"> UCAN</w:t>
      </w:r>
      <w:r w:rsidR="00846299">
        <w:t xml:space="preserve"> Opening Comments </w:t>
      </w:r>
      <w:r w:rsidR="00D56FF8">
        <w:t>on</w:t>
      </w:r>
      <w:r w:rsidR="00846299">
        <w:t xml:space="preserve"> March 23 Ruling at 5</w:t>
      </w:r>
      <w:r w:rsidR="009F34EF">
        <w:t>,</w:t>
      </w:r>
      <w:r w:rsidR="00F120E9">
        <w:t xml:space="preserve"> CalCCA</w:t>
      </w:r>
      <w:r w:rsidR="007F7693">
        <w:t xml:space="preserve"> Opening Comments </w:t>
      </w:r>
      <w:r w:rsidR="00D56FF8">
        <w:t>on</w:t>
      </w:r>
      <w:r w:rsidR="007F7693">
        <w:t xml:space="preserve"> March 23 Ruling at 22.</w:t>
      </w:r>
    </w:p>
  </w:footnote>
  <w:footnote w:id="117">
    <w:p w14:paraId="5E4A0656" w14:textId="53B009AF" w:rsidR="00AD296F" w:rsidRDefault="00AD296F">
      <w:pPr>
        <w:pStyle w:val="FootnoteText"/>
      </w:pPr>
      <w:r>
        <w:rPr>
          <w:rStyle w:val="FootnoteReference"/>
        </w:rPr>
        <w:footnoteRef/>
      </w:r>
      <w:r>
        <w:t xml:space="preserve"> </w:t>
      </w:r>
      <w:r w:rsidR="00EF359F">
        <w:t>C</w:t>
      </w:r>
      <w:r w:rsidR="00C00DF7">
        <w:t xml:space="preserve">A </w:t>
      </w:r>
      <w:r w:rsidR="002B38C8">
        <w:t xml:space="preserve">Efficiency + Demand Management Council Opening Comments </w:t>
      </w:r>
      <w:r w:rsidR="00D56FF8">
        <w:t>on</w:t>
      </w:r>
      <w:r w:rsidR="002B38C8">
        <w:t xml:space="preserve"> March 23 Ruling at 12.</w:t>
      </w:r>
    </w:p>
  </w:footnote>
  <w:footnote w:id="118">
    <w:p w14:paraId="2B720771" w14:textId="7E91AA34" w:rsidR="00C75629" w:rsidRDefault="00C75629">
      <w:pPr>
        <w:pStyle w:val="FootnoteText"/>
      </w:pPr>
      <w:r>
        <w:rPr>
          <w:rStyle w:val="FootnoteReference"/>
        </w:rPr>
        <w:footnoteRef/>
      </w:r>
      <w:r>
        <w:t xml:space="preserve"> PG&amp;E Reply Comments </w:t>
      </w:r>
      <w:r w:rsidR="00D56FF8">
        <w:t>on</w:t>
      </w:r>
      <w:r>
        <w:t xml:space="preserve"> March 23 Ruling at 4.</w:t>
      </w:r>
    </w:p>
  </w:footnote>
  <w:footnote w:id="119">
    <w:p w14:paraId="1D8A34BE" w14:textId="2568DE01" w:rsidR="001E010F" w:rsidRDefault="001E010F">
      <w:pPr>
        <w:pStyle w:val="FootnoteText"/>
      </w:pPr>
      <w:r>
        <w:rPr>
          <w:rStyle w:val="FootnoteReference"/>
        </w:rPr>
        <w:footnoteRef/>
      </w:r>
      <w:r>
        <w:t xml:space="preserve"> Universal Devices Opening Comments </w:t>
      </w:r>
      <w:r w:rsidR="00D56FF8">
        <w:t>on</w:t>
      </w:r>
      <w:r>
        <w:t xml:space="preserve"> March 23 Ruling at 7.</w:t>
      </w:r>
    </w:p>
  </w:footnote>
  <w:footnote w:id="120">
    <w:p w14:paraId="15C4F6EE" w14:textId="68AE0081" w:rsidR="00E270C6" w:rsidRDefault="00E270C6">
      <w:pPr>
        <w:pStyle w:val="FootnoteText"/>
      </w:pPr>
      <w:r>
        <w:rPr>
          <w:rStyle w:val="FootnoteReference"/>
        </w:rPr>
        <w:footnoteRef/>
      </w:r>
      <w:r>
        <w:t xml:space="preserve"> </w:t>
      </w:r>
      <w:r w:rsidR="00457C5E">
        <w:t xml:space="preserve">DSO Orchestration Workshop Report </w:t>
      </w:r>
      <w:r w:rsidR="00563B22">
        <w:t xml:space="preserve">on </w:t>
      </w:r>
      <w:r w:rsidR="00457C5E">
        <w:t xml:space="preserve">May 21, 2026 at </w:t>
      </w:r>
      <w:r w:rsidR="006C4A03">
        <w:t>128.</w:t>
      </w:r>
    </w:p>
  </w:footnote>
  <w:footnote w:id="121">
    <w:p w14:paraId="14EB8D40" w14:textId="083A94F2" w:rsidR="005D65AE" w:rsidRDefault="005D65AE">
      <w:pPr>
        <w:pStyle w:val="FootnoteText"/>
      </w:pPr>
      <w:r>
        <w:rPr>
          <w:rStyle w:val="FootnoteReference"/>
        </w:rPr>
        <w:footnoteRef/>
      </w:r>
      <w:r>
        <w:t xml:space="preserve"> Clean Coalition Opening Comments</w:t>
      </w:r>
      <w:r w:rsidR="002161EE">
        <w:t xml:space="preserve"> on</w:t>
      </w:r>
      <w:r>
        <w:t xml:space="preserve"> July 9 Ruling at </w:t>
      </w:r>
      <w:r w:rsidR="00674AD5">
        <w:t>4.</w:t>
      </w:r>
    </w:p>
  </w:footnote>
  <w:footnote w:id="122">
    <w:p w14:paraId="3560B45C" w14:textId="2A11B3D5" w:rsidR="00DE378B" w:rsidRDefault="00DE378B">
      <w:pPr>
        <w:pStyle w:val="FootnoteText"/>
      </w:pPr>
      <w:r>
        <w:rPr>
          <w:rStyle w:val="FootnoteReference"/>
        </w:rPr>
        <w:footnoteRef/>
      </w:r>
      <w:r>
        <w:t xml:space="preserve"> CalCCA Opening Comments </w:t>
      </w:r>
      <w:r w:rsidR="00B5131D">
        <w:t>on</w:t>
      </w:r>
      <w:r>
        <w:t xml:space="preserve"> July </w:t>
      </w:r>
      <w:r w:rsidR="00EA6B85">
        <w:t xml:space="preserve">9 Ruling at </w:t>
      </w:r>
      <w:r w:rsidR="003B7AFE">
        <w:t>13.</w:t>
      </w:r>
    </w:p>
  </w:footnote>
  <w:footnote w:id="123">
    <w:p w14:paraId="7660987C" w14:textId="3B50D76C" w:rsidR="00262A71" w:rsidRDefault="00262A71">
      <w:pPr>
        <w:pStyle w:val="FootnoteText"/>
      </w:pPr>
      <w:r>
        <w:rPr>
          <w:rStyle w:val="FootnoteReference"/>
        </w:rPr>
        <w:footnoteRef/>
      </w:r>
      <w:r>
        <w:t xml:space="preserve"> </w:t>
      </w:r>
      <w:r w:rsidR="00BE60B1">
        <w:t xml:space="preserve">CESA Opening Comments </w:t>
      </w:r>
      <w:r w:rsidR="00B5131D">
        <w:t>on</w:t>
      </w:r>
      <w:r w:rsidR="00BE60B1">
        <w:t xml:space="preserve"> July 9 Ruling at 4</w:t>
      </w:r>
      <w:r w:rsidR="00364076">
        <w:t xml:space="preserve">, </w:t>
      </w:r>
      <w:r w:rsidR="005875F1">
        <w:t>see Workshop Report CalCCA Presentation at 12-14.</w:t>
      </w:r>
    </w:p>
  </w:footnote>
  <w:footnote w:id="124">
    <w:p w14:paraId="1B545AD2" w14:textId="4789DB1C" w:rsidR="00BD5203" w:rsidRDefault="00BD5203" w:rsidP="00BD5203">
      <w:pPr>
        <w:pStyle w:val="FootnoteText"/>
      </w:pPr>
      <w:r>
        <w:rPr>
          <w:rStyle w:val="FootnoteReference"/>
        </w:rPr>
        <w:footnoteRef/>
      </w:r>
      <w:r>
        <w:t xml:space="preserve"> </w:t>
      </w:r>
      <w:r w:rsidR="008A7AC3">
        <w:t>AEU</w:t>
      </w:r>
      <w:r>
        <w:t xml:space="preserve"> Opening Comments </w:t>
      </w:r>
      <w:r w:rsidR="00B5131D">
        <w:t>on</w:t>
      </w:r>
      <w:r>
        <w:t xml:space="preserve"> July 9 Ruling at 2.</w:t>
      </w:r>
    </w:p>
  </w:footnote>
  <w:footnote w:id="125">
    <w:p w14:paraId="655A9E7A" w14:textId="22D56F1D" w:rsidR="004941DA" w:rsidRDefault="004941DA">
      <w:pPr>
        <w:pStyle w:val="FootnoteText"/>
      </w:pPr>
      <w:r>
        <w:rPr>
          <w:rStyle w:val="FootnoteReference"/>
        </w:rPr>
        <w:footnoteRef/>
      </w:r>
      <w:r>
        <w:t xml:space="preserve"> EDF Opening Comments </w:t>
      </w:r>
      <w:r w:rsidR="00AF6066">
        <w:t>on</w:t>
      </w:r>
      <w:r>
        <w:t xml:space="preserve"> March 23 Ruling at 10.</w:t>
      </w:r>
    </w:p>
  </w:footnote>
  <w:footnote w:id="126">
    <w:p w14:paraId="347B2AC3" w14:textId="6AA993AD" w:rsidR="002059B6" w:rsidRPr="00C93A8B" w:rsidRDefault="002059B6" w:rsidP="002059B6">
      <w:pPr>
        <w:pStyle w:val="FootnoteText"/>
      </w:pPr>
      <w:r>
        <w:rPr>
          <w:rStyle w:val="FootnoteReference"/>
        </w:rPr>
        <w:footnoteRef/>
      </w:r>
      <w:r>
        <w:t xml:space="preserve"> </w:t>
      </w:r>
      <w:r w:rsidR="00DF0DDD" w:rsidRPr="00D55B4C">
        <w:t>Gridworks</w:t>
      </w:r>
      <w:r w:rsidRPr="00D55B4C">
        <w:t>,</w:t>
      </w:r>
      <w:r w:rsidRPr="00EB527E">
        <w:rPr>
          <w:u w:val="single"/>
        </w:rPr>
        <w:t> </w:t>
      </w:r>
      <w:r w:rsidRPr="00EB527E">
        <w:t>Future Grid Study Report at 36</w:t>
      </w:r>
      <w:r w:rsidR="00964890">
        <w:t>.</w:t>
      </w:r>
      <w:r>
        <w:t xml:space="preserve"> </w:t>
      </w:r>
    </w:p>
  </w:footnote>
  <w:footnote w:id="127">
    <w:p w14:paraId="3457B026" w14:textId="5B4C9D25" w:rsidR="00C274AC" w:rsidRDefault="00C274AC">
      <w:pPr>
        <w:pStyle w:val="FootnoteText"/>
      </w:pPr>
      <w:r>
        <w:rPr>
          <w:rStyle w:val="FootnoteReference"/>
        </w:rPr>
        <w:footnoteRef/>
      </w:r>
      <w:r>
        <w:t xml:space="preserve"> EDF Opening Comments </w:t>
      </w:r>
      <w:r w:rsidR="00AF6066">
        <w:t>on</w:t>
      </w:r>
      <w:r>
        <w:t xml:space="preserve"> March 23 Ruling at 10.</w:t>
      </w:r>
    </w:p>
  </w:footnote>
  <w:footnote w:id="128">
    <w:p w14:paraId="74244A30" w14:textId="1C39DCAB" w:rsidR="002059B6" w:rsidRDefault="002059B6" w:rsidP="002059B6">
      <w:pPr>
        <w:pStyle w:val="FootnoteText"/>
      </w:pPr>
      <w:r>
        <w:rPr>
          <w:rStyle w:val="FootnoteReference"/>
        </w:rPr>
        <w:footnoteRef/>
      </w:r>
      <w:r>
        <w:t xml:space="preserve"> </w:t>
      </w:r>
      <w:r w:rsidR="009D752F">
        <w:t>CALSSA</w:t>
      </w:r>
      <w:r>
        <w:t xml:space="preserve"> Opening Comments </w:t>
      </w:r>
      <w:r w:rsidR="00256CD0">
        <w:t>on</w:t>
      </w:r>
      <w:r>
        <w:t xml:space="preserve"> March 23 Ruling at 7-8.</w:t>
      </w:r>
    </w:p>
  </w:footnote>
  <w:footnote w:id="129">
    <w:p w14:paraId="738C649B" w14:textId="52E9CABF" w:rsidR="0096023D" w:rsidRPr="0096023D" w:rsidRDefault="0096023D">
      <w:pPr>
        <w:pStyle w:val="FootnoteText"/>
      </w:pPr>
      <w:r>
        <w:rPr>
          <w:rStyle w:val="FootnoteReference"/>
        </w:rPr>
        <w:footnoteRef/>
      </w:r>
      <w:r>
        <w:t xml:space="preserve"> </w:t>
      </w:r>
      <w:r>
        <w:rPr>
          <w:i/>
          <w:iCs/>
        </w:rPr>
        <w:t>Id.</w:t>
      </w:r>
      <w:r>
        <w:t xml:space="preserve"> at </w:t>
      </w:r>
      <w:r w:rsidR="0063720F">
        <w:t>7</w:t>
      </w:r>
      <w:r w:rsidR="003F34E4">
        <w:t>.</w:t>
      </w:r>
    </w:p>
  </w:footnote>
  <w:footnote w:id="130">
    <w:p w14:paraId="0B09F988" w14:textId="43310CDF" w:rsidR="006F231E" w:rsidRDefault="006F231E">
      <w:pPr>
        <w:pStyle w:val="FootnoteText"/>
      </w:pPr>
      <w:r>
        <w:rPr>
          <w:rStyle w:val="FootnoteReference"/>
        </w:rPr>
        <w:footnoteRef/>
      </w:r>
      <w:r>
        <w:t xml:space="preserve"> </w:t>
      </w:r>
      <w:r w:rsidR="00FE0BB8" w:rsidRPr="00D55B4C">
        <w:rPr>
          <w:i/>
          <w:iCs/>
        </w:rPr>
        <w:t>Id.</w:t>
      </w:r>
      <w:r w:rsidR="00FE0BB8">
        <w:t xml:space="preserve"> at 6</w:t>
      </w:r>
    </w:p>
  </w:footnote>
  <w:footnote w:id="131">
    <w:p w14:paraId="5D440305" w14:textId="127A27E9" w:rsidR="0030487E" w:rsidRDefault="0030487E">
      <w:pPr>
        <w:pStyle w:val="FootnoteText"/>
      </w:pPr>
      <w:r>
        <w:rPr>
          <w:rStyle w:val="FootnoteReference"/>
        </w:rPr>
        <w:footnoteRef/>
      </w:r>
      <w:r>
        <w:t xml:space="preserve"> </w:t>
      </w:r>
      <w:r w:rsidR="00637B9E">
        <w:rPr>
          <w:i/>
          <w:iCs/>
        </w:rPr>
        <w:t>Id.</w:t>
      </w:r>
      <w:r w:rsidR="00637B9E">
        <w:t xml:space="preserve"> at 7.</w:t>
      </w:r>
    </w:p>
  </w:footnote>
  <w:footnote w:id="132">
    <w:p w14:paraId="5E8B4B4D" w14:textId="171B9078" w:rsidR="00637B9E" w:rsidRDefault="00637B9E">
      <w:pPr>
        <w:pStyle w:val="FootnoteText"/>
      </w:pPr>
      <w:r>
        <w:rPr>
          <w:rStyle w:val="FootnoteReference"/>
        </w:rPr>
        <w:footnoteRef/>
      </w:r>
      <w:r>
        <w:t xml:space="preserve"> </w:t>
      </w:r>
      <w:r>
        <w:rPr>
          <w:i/>
          <w:iCs/>
        </w:rPr>
        <w:t>Id.</w:t>
      </w:r>
      <w:r>
        <w:t xml:space="preserve"> at 8.</w:t>
      </w:r>
    </w:p>
  </w:footnote>
  <w:footnote w:id="133">
    <w:p w14:paraId="17A29FFB" w14:textId="3EFD2F25" w:rsidR="006E5A67" w:rsidRDefault="006E5A67">
      <w:pPr>
        <w:pStyle w:val="FootnoteText"/>
      </w:pPr>
      <w:r>
        <w:rPr>
          <w:rStyle w:val="FootnoteReference"/>
        </w:rPr>
        <w:footnoteRef/>
      </w:r>
      <w:r>
        <w:t xml:space="preserve"> </w:t>
      </w:r>
      <w:r w:rsidR="00BD284E">
        <w:t>PG&amp;E</w:t>
      </w:r>
      <w:r w:rsidR="00101D56">
        <w:t xml:space="preserve"> Opening Comments </w:t>
      </w:r>
      <w:r w:rsidR="00256CD0">
        <w:t>on</w:t>
      </w:r>
      <w:r w:rsidR="00101D56">
        <w:t xml:space="preserve"> March 23 Ruling at 9</w:t>
      </w:r>
      <w:r w:rsidR="009F34EF">
        <w:t>,</w:t>
      </w:r>
      <w:r w:rsidR="00BD284E">
        <w:t xml:space="preserve"> SDG&amp;E</w:t>
      </w:r>
      <w:r w:rsidR="00C347D6">
        <w:t xml:space="preserve"> </w:t>
      </w:r>
      <w:r w:rsidR="00E34F3A">
        <w:t xml:space="preserve">Opening Comments </w:t>
      </w:r>
      <w:r w:rsidR="00256CD0">
        <w:t>on</w:t>
      </w:r>
      <w:r w:rsidR="00E34F3A">
        <w:t xml:space="preserve"> March 23 Ruling at 12</w:t>
      </w:r>
      <w:r w:rsidR="009F34EF">
        <w:t>,</w:t>
      </w:r>
      <w:r w:rsidR="00BD284E">
        <w:t xml:space="preserve"> CalCCA</w:t>
      </w:r>
      <w:r w:rsidR="00346641">
        <w:t xml:space="preserve"> Opening Comments </w:t>
      </w:r>
      <w:r w:rsidR="00256CD0">
        <w:t>on</w:t>
      </w:r>
      <w:r w:rsidR="00346641">
        <w:t xml:space="preserve"> March 23 Ruling at 17</w:t>
      </w:r>
      <w:r w:rsidR="009F34EF">
        <w:t>,</w:t>
      </w:r>
      <w:r w:rsidR="00BD284E">
        <w:t xml:space="preserve"> Nexamp</w:t>
      </w:r>
      <w:r w:rsidR="00EE3A8B">
        <w:t xml:space="preserve"> Opening Comments </w:t>
      </w:r>
      <w:r w:rsidR="00256CD0">
        <w:t>on</w:t>
      </w:r>
      <w:r w:rsidR="00EE3A8B">
        <w:t xml:space="preserve"> March 23 Ruling at 7</w:t>
      </w:r>
      <w:r w:rsidR="009F34EF">
        <w:t>,</w:t>
      </w:r>
      <w:r w:rsidR="00BD284E">
        <w:t xml:space="preserve"> SBUA</w:t>
      </w:r>
      <w:r w:rsidR="006747E8">
        <w:t xml:space="preserve"> Opening Comments </w:t>
      </w:r>
      <w:r w:rsidR="00256CD0">
        <w:t>on</w:t>
      </w:r>
      <w:r w:rsidR="006747E8">
        <w:t xml:space="preserve"> March 23 Ruling at 3</w:t>
      </w:r>
      <w:r w:rsidR="009F34EF">
        <w:t>,</w:t>
      </w:r>
      <w:r w:rsidR="00BD284E">
        <w:t xml:space="preserve"> EDF</w:t>
      </w:r>
      <w:r w:rsidR="002B1D6F">
        <w:t xml:space="preserve"> Opening Comments </w:t>
      </w:r>
      <w:r w:rsidR="00256CD0">
        <w:t>on</w:t>
      </w:r>
      <w:r w:rsidR="002B1D6F">
        <w:t xml:space="preserve"> March 23 Ruling at 10</w:t>
      </w:r>
      <w:r w:rsidR="00BD284E">
        <w:t>.</w:t>
      </w:r>
    </w:p>
  </w:footnote>
  <w:footnote w:id="134">
    <w:p w14:paraId="7C27544B" w14:textId="16C87CF3" w:rsidR="00133F0C" w:rsidRDefault="00133F0C">
      <w:pPr>
        <w:pStyle w:val="FootnoteText"/>
      </w:pPr>
      <w:r>
        <w:rPr>
          <w:rStyle w:val="FootnoteReference"/>
        </w:rPr>
        <w:footnoteRef/>
      </w:r>
      <w:r>
        <w:t xml:space="preserve"> </w:t>
      </w:r>
      <w:r w:rsidR="004716B1">
        <w:t>PG&amp;E</w:t>
      </w:r>
      <w:r w:rsidR="00F55392">
        <w:t xml:space="preserve"> Opening Comments </w:t>
      </w:r>
      <w:r w:rsidR="00256CD0">
        <w:t>on</w:t>
      </w:r>
      <w:r w:rsidR="00F55392">
        <w:t xml:space="preserve"> March 23 Ruling at 9</w:t>
      </w:r>
      <w:r w:rsidR="009F34EF">
        <w:t>,</w:t>
      </w:r>
      <w:r w:rsidR="004716B1">
        <w:t xml:space="preserve"> SCE</w:t>
      </w:r>
      <w:r w:rsidR="00B61F60">
        <w:t xml:space="preserve"> Opening Comments </w:t>
      </w:r>
      <w:r w:rsidR="00256CD0">
        <w:t>on</w:t>
      </w:r>
      <w:r w:rsidR="00B61F60">
        <w:t xml:space="preserve"> March 23 Ruling at 7</w:t>
      </w:r>
      <w:r w:rsidR="009F34EF">
        <w:t>,</w:t>
      </w:r>
      <w:r w:rsidR="004716B1">
        <w:t xml:space="preserve"> SDG&amp;E</w:t>
      </w:r>
      <w:r w:rsidR="003126AF">
        <w:t xml:space="preserve"> Opening Comments </w:t>
      </w:r>
      <w:r w:rsidR="00256CD0">
        <w:t>on</w:t>
      </w:r>
      <w:r w:rsidR="003126AF">
        <w:t xml:space="preserve"> March 23 Ruling at 12</w:t>
      </w:r>
      <w:r w:rsidR="00097A3A">
        <w:t>.</w:t>
      </w:r>
    </w:p>
  </w:footnote>
  <w:footnote w:id="135">
    <w:p w14:paraId="5B8254AD" w14:textId="3F5C3571" w:rsidR="00A51C7B" w:rsidRDefault="00A51C7B">
      <w:pPr>
        <w:pStyle w:val="FootnoteText"/>
      </w:pPr>
      <w:r>
        <w:rPr>
          <w:rStyle w:val="FootnoteReference"/>
        </w:rPr>
        <w:footnoteRef/>
      </w:r>
      <w:r>
        <w:t xml:space="preserve"> A</w:t>
      </w:r>
      <w:r w:rsidR="008A7AC3">
        <w:t>EU</w:t>
      </w:r>
      <w:r w:rsidR="00053708">
        <w:t xml:space="preserve"> Opening Comments </w:t>
      </w:r>
      <w:r w:rsidR="00256CD0">
        <w:t>on</w:t>
      </w:r>
      <w:r w:rsidR="00053708">
        <w:t xml:space="preserve"> March 23 Ruling at </w:t>
      </w:r>
      <w:r w:rsidR="00947DC7">
        <w:t>17</w:t>
      </w:r>
      <w:r w:rsidR="009F34EF">
        <w:t>,</w:t>
      </w:r>
      <w:r>
        <w:t xml:space="preserve"> EDF</w:t>
      </w:r>
      <w:r w:rsidR="001B22F6">
        <w:t xml:space="preserve"> Reply Comments </w:t>
      </w:r>
      <w:r w:rsidR="00256CD0">
        <w:t>on</w:t>
      </w:r>
      <w:r w:rsidR="001B22F6">
        <w:t xml:space="preserve"> March 23 Ruling at 2</w:t>
      </w:r>
      <w:r w:rsidR="00053708">
        <w:t>.</w:t>
      </w:r>
    </w:p>
  </w:footnote>
  <w:footnote w:id="136">
    <w:p w14:paraId="27B2AC13" w14:textId="42ADE1F1" w:rsidR="00564440" w:rsidRDefault="00564440">
      <w:pPr>
        <w:pStyle w:val="FootnoteText"/>
      </w:pPr>
      <w:r>
        <w:rPr>
          <w:rStyle w:val="FootnoteReference"/>
        </w:rPr>
        <w:footnoteRef/>
      </w:r>
      <w:r>
        <w:t xml:space="preserve"> </w:t>
      </w:r>
      <w:r w:rsidR="007E72E0">
        <w:t xml:space="preserve">PG&amp;E </w:t>
      </w:r>
      <w:r w:rsidR="0058524A">
        <w:t xml:space="preserve">Opening Comments </w:t>
      </w:r>
      <w:r w:rsidR="008870A1">
        <w:t>on</w:t>
      </w:r>
      <w:r w:rsidR="0058524A">
        <w:t xml:space="preserve"> March 23 Ruling at 9</w:t>
      </w:r>
      <w:r w:rsidR="009F34EF">
        <w:t>,</w:t>
      </w:r>
      <w:r w:rsidR="0058524A">
        <w:t xml:space="preserve"> </w:t>
      </w:r>
      <w:r w:rsidR="007E72E0">
        <w:t>SCE</w:t>
      </w:r>
      <w:r w:rsidR="0058524A">
        <w:t xml:space="preserve"> Opening Comments to March 23 Ruling at </w:t>
      </w:r>
      <w:r w:rsidR="00F86F40">
        <w:t>7.</w:t>
      </w:r>
    </w:p>
  </w:footnote>
  <w:footnote w:id="137">
    <w:p w14:paraId="3C4812D8" w14:textId="2E096997" w:rsidR="00251B78" w:rsidRDefault="00251B78">
      <w:pPr>
        <w:pStyle w:val="FootnoteText"/>
      </w:pPr>
      <w:r>
        <w:rPr>
          <w:rStyle w:val="FootnoteReference"/>
        </w:rPr>
        <w:footnoteRef/>
      </w:r>
      <w:r>
        <w:t xml:space="preserve"> </w:t>
      </w:r>
      <w:r w:rsidR="00C50CB6">
        <w:t xml:space="preserve">PG&amp;E Opening Comments </w:t>
      </w:r>
      <w:r w:rsidR="008870A1">
        <w:t>on</w:t>
      </w:r>
      <w:r w:rsidR="00C50CB6">
        <w:t xml:space="preserve"> July 9 Ruling at </w:t>
      </w:r>
      <w:r w:rsidR="0055352A">
        <w:t>11.</w:t>
      </w:r>
    </w:p>
  </w:footnote>
  <w:footnote w:id="138">
    <w:p w14:paraId="5F3C3ED9" w14:textId="589866D5" w:rsidR="000F5B3F" w:rsidRDefault="000F5B3F">
      <w:pPr>
        <w:pStyle w:val="FootnoteText"/>
      </w:pPr>
      <w:r>
        <w:rPr>
          <w:rStyle w:val="FootnoteReference"/>
        </w:rPr>
        <w:footnoteRef/>
      </w:r>
      <w:r>
        <w:t xml:space="preserve"> SDG&amp;E</w:t>
      </w:r>
      <w:r w:rsidR="0053494B">
        <w:t xml:space="preserve"> Opening Comments </w:t>
      </w:r>
      <w:r w:rsidR="008870A1">
        <w:t>on</w:t>
      </w:r>
      <w:r w:rsidR="0053494B">
        <w:t xml:space="preserve"> March 23 Ruling at 15.</w:t>
      </w:r>
    </w:p>
  </w:footnote>
  <w:footnote w:id="139">
    <w:p w14:paraId="343EDA36" w14:textId="7C95A8BD" w:rsidR="00E2620B" w:rsidRDefault="00E2620B">
      <w:pPr>
        <w:pStyle w:val="FootnoteText"/>
      </w:pPr>
      <w:r>
        <w:rPr>
          <w:rStyle w:val="FootnoteReference"/>
        </w:rPr>
        <w:footnoteRef/>
      </w:r>
      <w:r>
        <w:t xml:space="preserve"> Cal Advocates</w:t>
      </w:r>
      <w:r w:rsidR="00E01831">
        <w:t xml:space="preserve"> Opening Comments </w:t>
      </w:r>
      <w:r w:rsidR="008870A1">
        <w:t>on</w:t>
      </w:r>
      <w:r w:rsidR="00E01831">
        <w:t xml:space="preserve"> March 23 Ruling at 1</w:t>
      </w:r>
      <w:r w:rsidR="00621BA6">
        <w:t>8</w:t>
      </w:r>
      <w:r w:rsidR="00E01831">
        <w:t>.</w:t>
      </w:r>
    </w:p>
  </w:footnote>
  <w:footnote w:id="140">
    <w:p w14:paraId="73C518E7" w14:textId="71B3563B" w:rsidR="004D43FD" w:rsidRDefault="004D43FD">
      <w:pPr>
        <w:pStyle w:val="FootnoteText"/>
      </w:pPr>
      <w:r>
        <w:rPr>
          <w:rStyle w:val="FootnoteReference"/>
        </w:rPr>
        <w:footnoteRef/>
      </w:r>
      <w:r>
        <w:t xml:space="preserve"> </w:t>
      </w:r>
      <w:r w:rsidR="00621BA6">
        <w:rPr>
          <w:i/>
          <w:iCs/>
        </w:rPr>
        <w:t>Ibid.</w:t>
      </w:r>
    </w:p>
  </w:footnote>
  <w:footnote w:id="141">
    <w:p w14:paraId="31229CDF" w14:textId="581876A5" w:rsidR="00A81AB7" w:rsidRDefault="00A81AB7">
      <w:pPr>
        <w:pStyle w:val="FootnoteText"/>
      </w:pPr>
      <w:r>
        <w:rPr>
          <w:rStyle w:val="FootnoteReference"/>
        </w:rPr>
        <w:footnoteRef/>
      </w:r>
      <w:r>
        <w:t xml:space="preserve"> </w:t>
      </w:r>
      <w:r w:rsidR="009D752F">
        <w:t>CALSSA</w:t>
      </w:r>
      <w:r w:rsidR="00D23A05">
        <w:t xml:space="preserve"> Opening Comments </w:t>
      </w:r>
      <w:r w:rsidR="008870A1">
        <w:t>on</w:t>
      </w:r>
      <w:r w:rsidR="00D23A05">
        <w:t xml:space="preserve"> March 23 Ruling at 6-8.</w:t>
      </w:r>
    </w:p>
  </w:footnote>
  <w:footnote w:id="142">
    <w:p w14:paraId="1A20C745" w14:textId="0377349E" w:rsidR="002D19EE" w:rsidRDefault="002D19EE">
      <w:pPr>
        <w:pStyle w:val="FootnoteText"/>
      </w:pPr>
      <w:r>
        <w:rPr>
          <w:rStyle w:val="FootnoteReference"/>
        </w:rPr>
        <w:footnoteRef/>
      </w:r>
      <w:r>
        <w:t xml:space="preserve"> </w:t>
      </w:r>
      <w:r w:rsidR="00D23A05">
        <w:t>PG&amp;E</w:t>
      </w:r>
      <w:r w:rsidR="00070FB2">
        <w:t xml:space="preserve"> Opening Comments </w:t>
      </w:r>
      <w:r w:rsidR="0098698D">
        <w:t>on</w:t>
      </w:r>
      <w:r w:rsidR="00070FB2">
        <w:t xml:space="preserve"> March 23 Ruling at </w:t>
      </w:r>
      <w:r w:rsidR="003E1AAA">
        <w:t>16</w:t>
      </w:r>
      <w:r w:rsidR="009F34EF">
        <w:t>,</w:t>
      </w:r>
      <w:r w:rsidR="00D23A05">
        <w:t xml:space="preserve"> SDG&amp;E</w:t>
      </w:r>
      <w:r w:rsidR="00CD3C6A">
        <w:t xml:space="preserve"> Opening Comments </w:t>
      </w:r>
      <w:r w:rsidR="0098698D">
        <w:t>on</w:t>
      </w:r>
      <w:r w:rsidR="00CD3C6A">
        <w:t xml:space="preserve"> March 23 Ruling at 18</w:t>
      </w:r>
      <w:r w:rsidR="009F34EF">
        <w:t>,</w:t>
      </w:r>
      <w:r w:rsidR="00D23A05">
        <w:t xml:space="preserve"> Nexamp</w:t>
      </w:r>
      <w:r w:rsidR="00BE1194">
        <w:t xml:space="preserve"> Opening Comments </w:t>
      </w:r>
      <w:r w:rsidR="0098698D">
        <w:t>on</w:t>
      </w:r>
      <w:r w:rsidR="00BE1194">
        <w:t xml:space="preserve"> March 23 Ruling at 9</w:t>
      </w:r>
      <w:r w:rsidR="009F34EF">
        <w:t>,</w:t>
      </w:r>
      <w:r w:rsidR="00D23A05">
        <w:t xml:space="preserve"> EnergyHub</w:t>
      </w:r>
      <w:r w:rsidR="000226ED">
        <w:t xml:space="preserve"> Opening Comments </w:t>
      </w:r>
      <w:r w:rsidR="0098698D">
        <w:t>on</w:t>
      </w:r>
      <w:r w:rsidR="000226ED">
        <w:t xml:space="preserve"> March 23 Ruling at 5</w:t>
      </w:r>
      <w:r w:rsidR="009F34EF">
        <w:t>,</w:t>
      </w:r>
      <w:r w:rsidR="00D23A05">
        <w:t xml:space="preserve"> 350 Bay Area</w:t>
      </w:r>
      <w:r w:rsidR="0081666D">
        <w:t xml:space="preserve"> Opening Comments </w:t>
      </w:r>
      <w:r w:rsidR="0098698D">
        <w:t>on</w:t>
      </w:r>
      <w:r w:rsidR="0081666D">
        <w:t xml:space="preserve"> March 23 Ruling at 13</w:t>
      </w:r>
      <w:r w:rsidR="009F34EF">
        <w:t>,</w:t>
      </w:r>
      <w:r w:rsidR="00D23A05">
        <w:t xml:space="preserve"> SBUA</w:t>
      </w:r>
      <w:r w:rsidR="00482F55">
        <w:t xml:space="preserve"> Opening Comments </w:t>
      </w:r>
      <w:r w:rsidR="0098698D">
        <w:t>on</w:t>
      </w:r>
      <w:r w:rsidR="00482F55">
        <w:t xml:space="preserve"> March 23 Ruling at 4</w:t>
      </w:r>
      <w:r w:rsidR="009F34EF">
        <w:t>,</w:t>
      </w:r>
      <w:r w:rsidR="00D23A05">
        <w:t xml:space="preserve"> EDF</w:t>
      </w:r>
      <w:r w:rsidR="00480300">
        <w:t xml:space="preserve"> Opening Comments </w:t>
      </w:r>
      <w:r w:rsidR="0098698D">
        <w:t>on</w:t>
      </w:r>
      <w:r w:rsidR="00480300">
        <w:t xml:space="preserve"> March 23 Ruling at 15</w:t>
      </w:r>
      <w:r w:rsidR="00D23A05">
        <w:t>.</w:t>
      </w:r>
    </w:p>
  </w:footnote>
  <w:footnote w:id="143">
    <w:p w14:paraId="48320254" w14:textId="3392CFF5" w:rsidR="002D19EE" w:rsidRDefault="002D19EE">
      <w:pPr>
        <w:pStyle w:val="FootnoteText"/>
      </w:pPr>
      <w:r>
        <w:rPr>
          <w:rStyle w:val="FootnoteReference"/>
        </w:rPr>
        <w:footnoteRef/>
      </w:r>
      <w:r>
        <w:t xml:space="preserve"> </w:t>
      </w:r>
      <w:r w:rsidR="003817F7" w:rsidRPr="003817F7">
        <w:t xml:space="preserve">SDG&amp;E Opening Comments </w:t>
      </w:r>
      <w:r w:rsidR="0098698D">
        <w:t>on</w:t>
      </w:r>
      <w:r w:rsidR="003817F7" w:rsidRPr="003817F7">
        <w:t xml:space="preserve"> March 23 Ruling at 18. </w:t>
      </w:r>
    </w:p>
  </w:footnote>
  <w:footnote w:id="144">
    <w:p w14:paraId="0619B2BE" w14:textId="13BC143F" w:rsidR="003817F7" w:rsidRDefault="003817F7">
      <w:pPr>
        <w:pStyle w:val="FootnoteText"/>
      </w:pPr>
      <w:r>
        <w:rPr>
          <w:rStyle w:val="FootnoteReference"/>
        </w:rPr>
        <w:footnoteRef/>
      </w:r>
      <w:r>
        <w:t xml:space="preserve"> </w:t>
      </w:r>
      <w:r w:rsidRPr="003817F7">
        <w:t>Nexamp, Inc. Opening Comments</w:t>
      </w:r>
      <w:r w:rsidR="002D736F">
        <w:t xml:space="preserve"> on</w:t>
      </w:r>
      <w:r w:rsidRPr="003817F7">
        <w:t xml:space="preserve"> March 23 Ruling at 9. </w:t>
      </w:r>
    </w:p>
  </w:footnote>
  <w:footnote w:id="145">
    <w:p w14:paraId="01DF068E" w14:textId="79319FB3" w:rsidR="007F12F2" w:rsidRDefault="007F12F2">
      <w:pPr>
        <w:pStyle w:val="FootnoteText"/>
      </w:pPr>
      <w:r>
        <w:rPr>
          <w:rStyle w:val="FootnoteReference"/>
        </w:rPr>
        <w:footnoteRef/>
      </w:r>
      <w:r>
        <w:t xml:space="preserve"> </w:t>
      </w:r>
      <w:r w:rsidRPr="007F12F2">
        <w:t xml:space="preserve">EnergyHub Opening Comments </w:t>
      </w:r>
      <w:r w:rsidR="002D736F">
        <w:t>on</w:t>
      </w:r>
      <w:r w:rsidRPr="007F12F2">
        <w:t xml:space="preserve"> March 23 Ruling at 5. </w:t>
      </w:r>
    </w:p>
  </w:footnote>
  <w:footnote w:id="146">
    <w:p w14:paraId="2EAE7F8A" w14:textId="2F1B3EBA" w:rsidR="007F12F2" w:rsidRDefault="007F12F2">
      <w:pPr>
        <w:pStyle w:val="FootnoteText"/>
      </w:pPr>
      <w:r>
        <w:rPr>
          <w:rStyle w:val="FootnoteReference"/>
        </w:rPr>
        <w:footnoteRef/>
      </w:r>
      <w:r>
        <w:t xml:space="preserve"> </w:t>
      </w:r>
      <w:r w:rsidRPr="007F12F2">
        <w:t>SBUA Opening Comments </w:t>
      </w:r>
      <w:r w:rsidR="002D736F">
        <w:t>on</w:t>
      </w:r>
      <w:r w:rsidRPr="007F12F2">
        <w:t xml:space="preserve"> March 23 Ruling at 4.</w:t>
      </w:r>
    </w:p>
  </w:footnote>
  <w:footnote w:id="147">
    <w:p w14:paraId="08DF885B" w14:textId="1F91C98A" w:rsidR="007713D2" w:rsidRDefault="007713D2">
      <w:pPr>
        <w:pStyle w:val="FootnoteText"/>
      </w:pPr>
      <w:r>
        <w:rPr>
          <w:rStyle w:val="FootnoteReference"/>
        </w:rPr>
        <w:footnoteRef/>
      </w:r>
      <w:r>
        <w:t xml:space="preserve"> </w:t>
      </w:r>
      <w:r w:rsidRPr="007713D2">
        <w:t xml:space="preserve">SCE Opening Comments </w:t>
      </w:r>
      <w:r w:rsidR="002D736F">
        <w:t>on</w:t>
      </w:r>
      <w:r w:rsidRPr="007713D2">
        <w:t xml:space="preserve"> March 23 Ruling at 10.</w:t>
      </w:r>
    </w:p>
  </w:footnote>
  <w:footnote w:id="148">
    <w:p w14:paraId="356AEA44" w14:textId="55AF2EBD" w:rsidR="001B15A5" w:rsidRDefault="001B15A5">
      <w:pPr>
        <w:pStyle w:val="FootnoteText"/>
      </w:pPr>
      <w:r>
        <w:rPr>
          <w:rStyle w:val="FootnoteReference"/>
        </w:rPr>
        <w:footnoteRef/>
      </w:r>
      <w:r>
        <w:t xml:space="preserve"> Cal Advocates</w:t>
      </w:r>
      <w:r w:rsidR="000300CF">
        <w:t xml:space="preserve"> Opening Comments </w:t>
      </w:r>
      <w:r w:rsidR="002D736F">
        <w:t>on</w:t>
      </w:r>
      <w:r w:rsidR="000300CF">
        <w:t xml:space="preserve"> March 23 Ruling at 23</w:t>
      </w:r>
      <w:r w:rsidR="009F34EF">
        <w:t>,</w:t>
      </w:r>
      <w:r>
        <w:t xml:space="preserve"> A</w:t>
      </w:r>
      <w:r w:rsidR="008A7AC3">
        <w:t>EU</w:t>
      </w:r>
      <w:r w:rsidR="00975BB1">
        <w:t xml:space="preserve"> Opening Comments </w:t>
      </w:r>
      <w:r w:rsidR="002D736F">
        <w:t>on</w:t>
      </w:r>
      <w:r w:rsidR="00975BB1">
        <w:t xml:space="preserve"> March 23 Ruling at </w:t>
      </w:r>
      <w:r w:rsidR="00D43C5A">
        <w:t>20</w:t>
      </w:r>
      <w:r w:rsidR="001651A5">
        <w:t>.</w:t>
      </w:r>
    </w:p>
  </w:footnote>
  <w:footnote w:id="149">
    <w:p w14:paraId="748ED537" w14:textId="5BBCDDC2" w:rsidR="007713D2" w:rsidRDefault="007713D2">
      <w:pPr>
        <w:pStyle w:val="FootnoteText"/>
      </w:pPr>
      <w:r>
        <w:rPr>
          <w:rStyle w:val="FootnoteReference"/>
        </w:rPr>
        <w:footnoteRef/>
      </w:r>
      <w:r>
        <w:t xml:space="preserve"> </w:t>
      </w:r>
      <w:r w:rsidRPr="007713D2">
        <w:t xml:space="preserve">UCAN Opening Comments </w:t>
      </w:r>
      <w:r w:rsidR="002D736F">
        <w:t>on</w:t>
      </w:r>
      <w:r w:rsidRPr="007713D2">
        <w:t xml:space="preserve"> March 23 Ruling at 6.</w:t>
      </w:r>
    </w:p>
  </w:footnote>
  <w:footnote w:id="150">
    <w:p w14:paraId="0F8395BB" w14:textId="6A663236" w:rsidR="0033179B" w:rsidRDefault="0033179B">
      <w:pPr>
        <w:pStyle w:val="FootnoteText"/>
      </w:pPr>
      <w:r>
        <w:rPr>
          <w:rStyle w:val="FootnoteReference"/>
        </w:rPr>
        <w:footnoteRef/>
      </w:r>
      <w:r>
        <w:t xml:space="preserve"> SBUA Reply Comments </w:t>
      </w:r>
      <w:r w:rsidR="002D736F">
        <w:t>on</w:t>
      </w:r>
      <w:r>
        <w:t xml:space="preserve"> July 9 Ruling at 4, </w:t>
      </w:r>
      <w:r w:rsidR="00B8482E">
        <w:t xml:space="preserve">quoting Cal Advocates Opening Comments </w:t>
      </w:r>
      <w:r w:rsidR="002D736F">
        <w:t>on</w:t>
      </w:r>
      <w:r w:rsidR="00B8482E">
        <w:t xml:space="preserve"> July 9 Ruling at 12.</w:t>
      </w:r>
    </w:p>
  </w:footnote>
  <w:footnote w:id="151">
    <w:p w14:paraId="2361FCC6" w14:textId="1880A5E5" w:rsidR="00F74F0E" w:rsidRDefault="00F74F0E">
      <w:pPr>
        <w:pStyle w:val="FootnoteText"/>
      </w:pPr>
      <w:r>
        <w:rPr>
          <w:rStyle w:val="FootnoteReference"/>
        </w:rPr>
        <w:footnoteRef/>
      </w:r>
      <w:r>
        <w:t xml:space="preserve"> PG&amp;E</w:t>
      </w:r>
      <w:r w:rsidR="00C26D4A">
        <w:t xml:space="preserve"> Opening Comments </w:t>
      </w:r>
      <w:r w:rsidR="00E34622">
        <w:t>on</w:t>
      </w:r>
      <w:r w:rsidR="00C26D4A">
        <w:t xml:space="preserve"> March 23 Ruling at 16-17</w:t>
      </w:r>
      <w:r w:rsidR="009F34EF">
        <w:t>,</w:t>
      </w:r>
      <w:r w:rsidR="00C26D4A">
        <w:t xml:space="preserve"> </w:t>
      </w:r>
      <w:r>
        <w:t>SCE</w:t>
      </w:r>
      <w:r w:rsidR="00C26D4A">
        <w:t xml:space="preserve"> Opening Comments </w:t>
      </w:r>
      <w:r w:rsidR="00E34622">
        <w:t>on</w:t>
      </w:r>
      <w:r w:rsidR="00C26D4A">
        <w:t xml:space="preserve"> March 23 Ruling at </w:t>
      </w:r>
      <w:r w:rsidR="00D0074D">
        <w:t>10</w:t>
      </w:r>
      <w:r w:rsidR="009F34EF">
        <w:t>,</w:t>
      </w:r>
      <w:r w:rsidR="00C26D4A">
        <w:t xml:space="preserve"> </w:t>
      </w:r>
      <w:r>
        <w:t>SDG&amp;E</w:t>
      </w:r>
      <w:r w:rsidR="0034686D">
        <w:t xml:space="preserve"> Opening Comments </w:t>
      </w:r>
      <w:r w:rsidR="00E34622">
        <w:t>on</w:t>
      </w:r>
      <w:r w:rsidR="0034686D">
        <w:t xml:space="preserve"> March 23 Ruling at 18</w:t>
      </w:r>
      <w:r w:rsidR="00C26D4A">
        <w:t>.</w:t>
      </w:r>
    </w:p>
  </w:footnote>
  <w:footnote w:id="152">
    <w:p w14:paraId="202657FB" w14:textId="78DCA8EA" w:rsidR="00C1071B" w:rsidRDefault="00C1071B">
      <w:pPr>
        <w:pStyle w:val="FootnoteText"/>
      </w:pPr>
      <w:r>
        <w:rPr>
          <w:rStyle w:val="FootnoteReference"/>
        </w:rPr>
        <w:footnoteRef/>
      </w:r>
      <w:r>
        <w:t xml:space="preserve"> PG&amp;E Opening Comments </w:t>
      </w:r>
      <w:r w:rsidR="00E34622">
        <w:t>on</w:t>
      </w:r>
      <w:r w:rsidR="006617C0">
        <w:t xml:space="preserve"> March 23 Ruling at 16.</w:t>
      </w:r>
    </w:p>
  </w:footnote>
  <w:footnote w:id="153">
    <w:p w14:paraId="105572D0" w14:textId="0510E8D4" w:rsidR="003A5BCB" w:rsidRDefault="003A5BCB">
      <w:pPr>
        <w:pStyle w:val="FootnoteText"/>
      </w:pPr>
      <w:r>
        <w:rPr>
          <w:rStyle w:val="FootnoteReference"/>
        </w:rPr>
        <w:footnoteRef/>
      </w:r>
      <w:r>
        <w:t xml:space="preserve"> </w:t>
      </w:r>
      <w:r w:rsidR="00AA115D">
        <w:t xml:space="preserve">SCE Opening Comments </w:t>
      </w:r>
      <w:r w:rsidR="00E34622">
        <w:t>on</w:t>
      </w:r>
      <w:r w:rsidR="00AA115D">
        <w:t xml:space="preserve"> March 23 Ruling at </w:t>
      </w:r>
      <w:r w:rsidR="009F3524">
        <w:t>10.</w:t>
      </w:r>
    </w:p>
  </w:footnote>
  <w:footnote w:id="154">
    <w:p w14:paraId="61D1EF28" w14:textId="6DA4B816" w:rsidR="00A42BA3" w:rsidRDefault="00A42BA3">
      <w:pPr>
        <w:pStyle w:val="FootnoteText"/>
      </w:pPr>
      <w:r>
        <w:rPr>
          <w:rStyle w:val="FootnoteReference"/>
        </w:rPr>
        <w:footnoteRef/>
      </w:r>
      <w:r>
        <w:t xml:space="preserve"> SDG&amp;E</w:t>
      </w:r>
      <w:r w:rsidR="004C08D1">
        <w:t xml:space="preserve"> Opening Comments </w:t>
      </w:r>
      <w:r w:rsidR="00E34622">
        <w:t>on</w:t>
      </w:r>
      <w:r w:rsidR="004C08D1">
        <w:t xml:space="preserve"> March 23 Ruling at 18.</w:t>
      </w:r>
    </w:p>
  </w:footnote>
  <w:footnote w:id="155">
    <w:p w14:paraId="0743AD23" w14:textId="2E6CBC88" w:rsidR="00AC6F35" w:rsidRDefault="00AC6F35">
      <w:pPr>
        <w:pStyle w:val="FootnoteText"/>
      </w:pPr>
      <w:r>
        <w:rPr>
          <w:rStyle w:val="FootnoteReference"/>
        </w:rPr>
        <w:footnoteRef/>
      </w:r>
      <w:r>
        <w:t xml:space="preserve"> CalCCA</w:t>
      </w:r>
      <w:r w:rsidR="004C08D1">
        <w:t xml:space="preserve"> Opening Comments </w:t>
      </w:r>
      <w:r w:rsidR="00E34622">
        <w:t>on</w:t>
      </w:r>
      <w:r w:rsidR="004C08D1">
        <w:t xml:space="preserve"> March 23 Ruling at </w:t>
      </w:r>
      <w:r w:rsidR="003F5AC4">
        <w:t>23</w:t>
      </w:r>
      <w:r w:rsidR="009F34EF">
        <w:t>,</w:t>
      </w:r>
      <w:r>
        <w:t xml:space="preserve"> Nexamp</w:t>
      </w:r>
      <w:r w:rsidR="003F5AC4">
        <w:t xml:space="preserve"> Opening Comments </w:t>
      </w:r>
      <w:r w:rsidR="00E34622">
        <w:t>on</w:t>
      </w:r>
      <w:r w:rsidR="003F5AC4">
        <w:t xml:space="preserve"> March 23 Ruling at </w:t>
      </w:r>
      <w:r w:rsidR="006A504B">
        <w:t>9</w:t>
      </w:r>
      <w:r w:rsidR="009F34EF">
        <w:t>,</w:t>
      </w:r>
      <w:r w:rsidR="004C08D1">
        <w:t xml:space="preserve"> </w:t>
      </w:r>
      <w:r>
        <w:t>EDF</w:t>
      </w:r>
      <w:r w:rsidR="006740BB">
        <w:t xml:space="preserve"> Opening Comments </w:t>
      </w:r>
      <w:r w:rsidR="00E34622">
        <w:t>on</w:t>
      </w:r>
      <w:r w:rsidR="006740BB">
        <w:t xml:space="preserve"> March 23 Ruling at 16</w:t>
      </w:r>
      <w:r w:rsidR="004C08D1">
        <w:t>.</w:t>
      </w:r>
    </w:p>
  </w:footnote>
  <w:footnote w:id="156">
    <w:p w14:paraId="126B1AB0" w14:textId="70883537" w:rsidR="00111A86" w:rsidRDefault="00111A86">
      <w:pPr>
        <w:pStyle w:val="FootnoteText"/>
      </w:pPr>
      <w:r>
        <w:rPr>
          <w:rStyle w:val="FootnoteReference"/>
        </w:rPr>
        <w:footnoteRef/>
      </w:r>
      <w:r>
        <w:t xml:space="preserve"> Nexamp Opening Comments </w:t>
      </w:r>
      <w:r w:rsidR="00E61357">
        <w:t>on</w:t>
      </w:r>
      <w:r>
        <w:t xml:space="preserve"> March 23 Ruling at </w:t>
      </w:r>
      <w:r w:rsidR="00F73655">
        <w:t>10.</w:t>
      </w:r>
    </w:p>
  </w:footnote>
  <w:footnote w:id="157">
    <w:p w14:paraId="4D0D086F" w14:textId="74DD5E46" w:rsidR="0023439B" w:rsidRDefault="0023439B">
      <w:pPr>
        <w:pStyle w:val="FootnoteText"/>
      </w:pPr>
      <w:r>
        <w:rPr>
          <w:rStyle w:val="FootnoteReference"/>
        </w:rPr>
        <w:footnoteRef/>
      </w:r>
      <w:r>
        <w:t xml:space="preserve"> EDF Opening Comments </w:t>
      </w:r>
      <w:r w:rsidR="00E61357">
        <w:t>on</w:t>
      </w:r>
      <w:r>
        <w:t xml:space="preserve"> March 23 Ruling at 16.</w:t>
      </w:r>
    </w:p>
  </w:footnote>
  <w:footnote w:id="158">
    <w:p w14:paraId="45B228CF" w14:textId="4B183C0C" w:rsidR="00A91DA3" w:rsidRDefault="00A91DA3">
      <w:pPr>
        <w:pStyle w:val="FootnoteText"/>
      </w:pPr>
      <w:r>
        <w:rPr>
          <w:rStyle w:val="FootnoteReference"/>
        </w:rPr>
        <w:footnoteRef/>
      </w:r>
      <w:r>
        <w:t xml:space="preserve"> </w:t>
      </w:r>
      <w:r w:rsidR="00E32C68">
        <w:t>PG&amp;E</w:t>
      </w:r>
      <w:r w:rsidR="004001FB">
        <w:t xml:space="preserve"> Opening Comments </w:t>
      </w:r>
      <w:r w:rsidR="00D510A6">
        <w:t>on</w:t>
      </w:r>
      <w:r w:rsidR="004001FB">
        <w:t xml:space="preserve"> March 23 Ruling at 11</w:t>
      </w:r>
      <w:r w:rsidR="009F34EF">
        <w:t>,</w:t>
      </w:r>
      <w:r w:rsidR="00E32C68">
        <w:t xml:space="preserve"> SCE</w:t>
      </w:r>
      <w:r w:rsidR="002F54CD">
        <w:t xml:space="preserve"> Opening Comments </w:t>
      </w:r>
      <w:r w:rsidR="00D510A6">
        <w:t>on</w:t>
      </w:r>
      <w:r w:rsidR="002F54CD">
        <w:t xml:space="preserve"> March 23 Ruling at 7</w:t>
      </w:r>
      <w:r w:rsidR="009F34EF">
        <w:t>,</w:t>
      </w:r>
      <w:r w:rsidR="00E32C68">
        <w:t xml:space="preserve"> SDG&amp;E</w:t>
      </w:r>
      <w:r w:rsidR="00183FF8">
        <w:t xml:space="preserve"> Opening Comments </w:t>
      </w:r>
      <w:r w:rsidR="00D510A6">
        <w:t>on</w:t>
      </w:r>
      <w:r w:rsidR="00183FF8">
        <w:t xml:space="preserve"> March 23 Ruling at 16</w:t>
      </w:r>
      <w:r w:rsidR="009F34EF">
        <w:t>,</w:t>
      </w:r>
      <w:r w:rsidR="00E32C68">
        <w:t xml:space="preserve"> CalCCA</w:t>
      </w:r>
      <w:r w:rsidR="00CF0C23">
        <w:t xml:space="preserve"> Opening Comments </w:t>
      </w:r>
      <w:r w:rsidR="00D510A6">
        <w:t>on</w:t>
      </w:r>
      <w:r w:rsidR="00CF0C23">
        <w:t xml:space="preserve"> March 23 Ruling at 20</w:t>
      </w:r>
      <w:r w:rsidR="009F34EF">
        <w:t>,</w:t>
      </w:r>
      <w:r w:rsidR="00E32C68">
        <w:t xml:space="preserve"> Nexamp</w:t>
      </w:r>
      <w:r w:rsidR="00786615">
        <w:t xml:space="preserve"> Opening Comments </w:t>
      </w:r>
      <w:r w:rsidR="00D510A6">
        <w:t>on</w:t>
      </w:r>
      <w:r w:rsidR="00786615">
        <w:t xml:space="preserve"> March 23 Ruling at 7</w:t>
      </w:r>
      <w:r w:rsidR="009F34EF">
        <w:t>,</w:t>
      </w:r>
      <w:r w:rsidR="00E32C68">
        <w:t xml:space="preserve"> SBUA</w:t>
      </w:r>
      <w:r w:rsidR="00C33E20">
        <w:t xml:space="preserve"> Opening Comments </w:t>
      </w:r>
      <w:r w:rsidR="00D510A6">
        <w:t>on</w:t>
      </w:r>
      <w:r w:rsidR="00C33E20">
        <w:t xml:space="preserve"> March 23 Ruling at 4</w:t>
      </w:r>
      <w:r w:rsidR="009F34EF">
        <w:t>,</w:t>
      </w:r>
      <w:r w:rsidR="00E32C68">
        <w:t xml:space="preserve"> EDF</w:t>
      </w:r>
      <w:r w:rsidR="00A064DC">
        <w:t xml:space="preserve"> Opening Comments </w:t>
      </w:r>
      <w:r w:rsidR="00D510A6">
        <w:t>on</w:t>
      </w:r>
      <w:r w:rsidR="00A064DC">
        <w:t xml:space="preserve"> March 23 Ruling at 12</w:t>
      </w:r>
      <w:r w:rsidR="009F34EF">
        <w:t>,</w:t>
      </w:r>
      <w:r w:rsidR="00E32C68">
        <w:t xml:space="preserve"> EnergyHub</w:t>
      </w:r>
      <w:r w:rsidR="0029485D">
        <w:t xml:space="preserve"> Opening Comments </w:t>
      </w:r>
      <w:r w:rsidR="00D510A6">
        <w:t>on</w:t>
      </w:r>
      <w:r w:rsidR="0029485D">
        <w:t xml:space="preserve"> March 23 Ruling at 4</w:t>
      </w:r>
      <w:r w:rsidR="00E32C68">
        <w:t>.</w:t>
      </w:r>
    </w:p>
  </w:footnote>
  <w:footnote w:id="159">
    <w:p w14:paraId="6E4040B4" w14:textId="50A28755" w:rsidR="00F3119B" w:rsidRDefault="00F3119B">
      <w:pPr>
        <w:pStyle w:val="FootnoteText"/>
      </w:pPr>
      <w:r>
        <w:rPr>
          <w:rStyle w:val="FootnoteReference"/>
        </w:rPr>
        <w:footnoteRef/>
      </w:r>
      <w:r>
        <w:t xml:space="preserve"> EnergyHub Reply Comments </w:t>
      </w:r>
      <w:r w:rsidR="00D510A6">
        <w:t>on</w:t>
      </w:r>
      <w:r>
        <w:t xml:space="preserve"> March 23 Ruling at 1.</w:t>
      </w:r>
    </w:p>
  </w:footnote>
  <w:footnote w:id="160">
    <w:p w14:paraId="6B45D8B4" w14:textId="4332FF82" w:rsidR="004F48FD" w:rsidRDefault="004F48FD">
      <w:pPr>
        <w:pStyle w:val="FootnoteText"/>
      </w:pPr>
      <w:r>
        <w:rPr>
          <w:rStyle w:val="FootnoteReference"/>
        </w:rPr>
        <w:footnoteRef/>
      </w:r>
      <w:r>
        <w:t xml:space="preserve"> PG&amp;E</w:t>
      </w:r>
      <w:r w:rsidR="00D855BE">
        <w:t xml:space="preserve"> Opening Comments </w:t>
      </w:r>
      <w:r w:rsidR="00D510A6">
        <w:t>on</w:t>
      </w:r>
      <w:r w:rsidR="00D855BE">
        <w:t xml:space="preserve"> March 23 Ruling at 11-12</w:t>
      </w:r>
      <w:r w:rsidR="009F34EF">
        <w:t>,</w:t>
      </w:r>
      <w:r>
        <w:t xml:space="preserve"> SCE</w:t>
      </w:r>
      <w:r w:rsidR="00E807DB">
        <w:t xml:space="preserve"> Opening Comments </w:t>
      </w:r>
      <w:r w:rsidR="00D510A6">
        <w:t>on</w:t>
      </w:r>
      <w:r w:rsidR="00E807DB">
        <w:t xml:space="preserve"> March 23 Ruling at 7-8</w:t>
      </w:r>
      <w:r w:rsidR="009F34EF">
        <w:t>,</w:t>
      </w:r>
      <w:r w:rsidR="005B0A44">
        <w:t xml:space="preserve"> SDG&amp;E</w:t>
      </w:r>
      <w:r w:rsidR="006A50D4">
        <w:t xml:space="preserve"> Opening Comments </w:t>
      </w:r>
      <w:r w:rsidR="00D510A6">
        <w:t>on</w:t>
      </w:r>
      <w:r w:rsidR="006A50D4">
        <w:t xml:space="preserve"> March 23 Ruling at 16</w:t>
      </w:r>
      <w:r w:rsidR="008A02C5">
        <w:t>.</w:t>
      </w:r>
    </w:p>
  </w:footnote>
  <w:footnote w:id="161">
    <w:p w14:paraId="38DEAC6D" w14:textId="081718A3" w:rsidR="00596EAE" w:rsidRDefault="00596EAE">
      <w:pPr>
        <w:pStyle w:val="FootnoteText"/>
      </w:pPr>
      <w:r>
        <w:rPr>
          <w:rStyle w:val="FootnoteReference"/>
        </w:rPr>
        <w:footnoteRef/>
      </w:r>
      <w:r>
        <w:t xml:space="preserve"> </w:t>
      </w:r>
      <w:r w:rsidR="00B718EC">
        <w:t xml:space="preserve">PG&amp;E Opening Comments </w:t>
      </w:r>
      <w:r w:rsidR="00D510A6">
        <w:t>on</w:t>
      </w:r>
      <w:r w:rsidR="00B718EC">
        <w:t xml:space="preserve"> July 9 Ruling at 2.</w:t>
      </w:r>
    </w:p>
  </w:footnote>
  <w:footnote w:id="162">
    <w:p w14:paraId="3104A50E" w14:textId="1216C021" w:rsidR="00A5332B" w:rsidRDefault="00A5332B">
      <w:pPr>
        <w:pStyle w:val="FootnoteText"/>
      </w:pPr>
      <w:r>
        <w:rPr>
          <w:rStyle w:val="FootnoteReference"/>
        </w:rPr>
        <w:footnoteRef/>
      </w:r>
      <w:r>
        <w:t xml:space="preserve"> </w:t>
      </w:r>
      <w:r w:rsidR="000B5BA6">
        <w:t xml:space="preserve">SCE Opening Comments </w:t>
      </w:r>
      <w:r w:rsidR="00D510A6">
        <w:t>on</w:t>
      </w:r>
      <w:r w:rsidR="000B5BA6">
        <w:t xml:space="preserve"> March 23 Ruling at </w:t>
      </w:r>
      <w:r w:rsidR="00F95381">
        <w:t>7</w:t>
      </w:r>
      <w:r w:rsidR="00C15303">
        <w:t xml:space="preserve">. </w:t>
      </w:r>
      <w:r w:rsidR="00CA23AE">
        <w:t xml:space="preserve">SCE’s current demonstrations, pilots and studies include </w:t>
      </w:r>
      <w:r w:rsidR="00CA23AE" w:rsidRPr="00CA23AE">
        <w:t>Industrial Demand Flexibility-Enabling Distribution Grid Autonomous Resilience (IDF-EDGAR) Demonstration, the Stability Improvement with DERs (SIDER) Demonstration, the Orchestrated Charging and Advanced Resiliency for Distribution (ORCHARD) Pilot, and the Behind the Meter Optimization of Load Technologies 2.0 (BOLTS 2.0) Study</w:t>
      </w:r>
      <w:r w:rsidR="00913EBC">
        <w:t>.</w:t>
      </w:r>
    </w:p>
  </w:footnote>
  <w:footnote w:id="163">
    <w:p w14:paraId="1229D3E0" w14:textId="06468673" w:rsidR="00C266ED" w:rsidRDefault="00C266ED">
      <w:pPr>
        <w:pStyle w:val="FootnoteText"/>
      </w:pPr>
      <w:r>
        <w:rPr>
          <w:rStyle w:val="FootnoteReference"/>
        </w:rPr>
        <w:footnoteRef/>
      </w:r>
      <w:r>
        <w:t xml:space="preserve"> CalCCA</w:t>
      </w:r>
      <w:r w:rsidR="00674473">
        <w:t xml:space="preserve"> Opening Comments </w:t>
      </w:r>
      <w:r w:rsidR="00D510A6">
        <w:t>on</w:t>
      </w:r>
      <w:r w:rsidR="00674473">
        <w:t xml:space="preserve"> March 23 Ruling at 20</w:t>
      </w:r>
      <w:r>
        <w:t>.</w:t>
      </w:r>
    </w:p>
  </w:footnote>
  <w:footnote w:id="164">
    <w:p w14:paraId="547C041D" w14:textId="245B9440" w:rsidR="00607C0C" w:rsidRDefault="00607C0C">
      <w:pPr>
        <w:pStyle w:val="FootnoteText"/>
      </w:pPr>
      <w:r>
        <w:rPr>
          <w:rStyle w:val="FootnoteReference"/>
        </w:rPr>
        <w:footnoteRef/>
      </w:r>
      <w:r>
        <w:t xml:space="preserve"> </w:t>
      </w:r>
      <w:r w:rsidR="009D752F">
        <w:t>CALSSA</w:t>
      </w:r>
      <w:r w:rsidR="00580DF8">
        <w:t xml:space="preserve"> Opening Comments </w:t>
      </w:r>
      <w:r w:rsidR="00D510A6">
        <w:t>on</w:t>
      </w:r>
      <w:r w:rsidR="00580DF8">
        <w:t xml:space="preserve"> March 23 Ruling at 10.</w:t>
      </w:r>
    </w:p>
  </w:footnote>
  <w:footnote w:id="165">
    <w:p w14:paraId="1697B027" w14:textId="24427E7C" w:rsidR="004D3539" w:rsidRDefault="004D3539">
      <w:pPr>
        <w:pStyle w:val="FootnoteText"/>
      </w:pPr>
      <w:r>
        <w:rPr>
          <w:rStyle w:val="FootnoteReference"/>
        </w:rPr>
        <w:footnoteRef/>
      </w:r>
      <w:r>
        <w:t xml:space="preserve"> Nexamp </w:t>
      </w:r>
      <w:r w:rsidR="00543FB7">
        <w:t xml:space="preserve">Opening Comments </w:t>
      </w:r>
      <w:r w:rsidR="008A18EB">
        <w:t>on</w:t>
      </w:r>
      <w:r w:rsidR="00543FB7">
        <w:t xml:space="preserve"> March 23 Ruling at </w:t>
      </w:r>
      <w:r>
        <w:t>7</w:t>
      </w:r>
      <w:r w:rsidR="00543FB7">
        <w:t>.</w:t>
      </w:r>
    </w:p>
  </w:footnote>
  <w:footnote w:id="166">
    <w:p w14:paraId="556A77D3" w14:textId="3A4A7785" w:rsidR="00730B1D" w:rsidRDefault="00730B1D">
      <w:pPr>
        <w:pStyle w:val="FootnoteText"/>
      </w:pPr>
      <w:r>
        <w:rPr>
          <w:rStyle w:val="FootnoteReference"/>
        </w:rPr>
        <w:footnoteRef/>
      </w:r>
      <w:r>
        <w:t xml:space="preserve"> SDG&amp;E Opening Comments </w:t>
      </w:r>
      <w:r w:rsidR="008A18EB">
        <w:t>on</w:t>
      </w:r>
      <w:r>
        <w:t xml:space="preserve"> July 9 Ruling at 6.</w:t>
      </w:r>
    </w:p>
  </w:footnote>
  <w:footnote w:id="167">
    <w:p w14:paraId="687CA387" w14:textId="5BCDEE25" w:rsidR="00F75A88" w:rsidRDefault="00F75A88" w:rsidP="00F75A88">
      <w:pPr>
        <w:pStyle w:val="FootnoteText"/>
      </w:pPr>
      <w:r>
        <w:rPr>
          <w:rStyle w:val="FootnoteReference"/>
        </w:rPr>
        <w:footnoteRef/>
      </w:r>
      <w:r>
        <w:t xml:space="preserve"> Cal Advocates Opening Comments </w:t>
      </w:r>
      <w:r w:rsidR="008A18EB">
        <w:t>on</w:t>
      </w:r>
      <w:r>
        <w:t xml:space="preserve"> March 23 Ruling at 18.</w:t>
      </w:r>
    </w:p>
  </w:footnote>
  <w:footnote w:id="168">
    <w:p w14:paraId="109A4F1B" w14:textId="6E6415D7" w:rsidR="00F75A88" w:rsidRDefault="00F75A88" w:rsidP="00F75A88">
      <w:pPr>
        <w:pStyle w:val="FootnoteText"/>
      </w:pPr>
      <w:r>
        <w:rPr>
          <w:rStyle w:val="FootnoteReference"/>
        </w:rPr>
        <w:footnoteRef/>
      </w:r>
      <w:r>
        <w:t xml:space="preserve"> A</w:t>
      </w:r>
      <w:r w:rsidR="008A7AC3">
        <w:t>EU</w:t>
      </w:r>
      <w:r>
        <w:t xml:space="preserve"> Opening Comments </w:t>
      </w:r>
      <w:r w:rsidR="008A18EB">
        <w:t>on</w:t>
      </w:r>
      <w:r>
        <w:t xml:space="preserve"> March 23 Ruling at 18.</w:t>
      </w:r>
    </w:p>
  </w:footnote>
  <w:footnote w:id="169">
    <w:p w14:paraId="0AD98937" w14:textId="7271BC34" w:rsidR="00F75A88" w:rsidRDefault="00F75A88" w:rsidP="00F75A88">
      <w:pPr>
        <w:pStyle w:val="FootnoteText"/>
      </w:pPr>
      <w:r>
        <w:rPr>
          <w:rStyle w:val="FootnoteReference"/>
        </w:rPr>
        <w:footnoteRef/>
      </w:r>
      <w:r>
        <w:t xml:space="preserve"> Cal Advocates Opening Comments </w:t>
      </w:r>
      <w:r w:rsidR="008A18EB">
        <w:t>on</w:t>
      </w:r>
      <w:r>
        <w:t xml:space="preserve"> March 23 Ruling at 19.</w:t>
      </w:r>
    </w:p>
  </w:footnote>
  <w:footnote w:id="170">
    <w:p w14:paraId="1724CFF4" w14:textId="77777777" w:rsidR="00E34EFB" w:rsidRDefault="00E34EFB"/>
  </w:footnote>
  <w:footnote w:id="171">
    <w:p w14:paraId="3E35BCEC" w14:textId="640EACD9" w:rsidR="007A7163" w:rsidRDefault="007A7163">
      <w:pPr>
        <w:pStyle w:val="FootnoteText"/>
      </w:pPr>
      <w:r>
        <w:rPr>
          <w:rStyle w:val="FootnoteReference"/>
        </w:rPr>
        <w:footnoteRef/>
      </w:r>
      <w:r>
        <w:t xml:space="preserve"> </w:t>
      </w:r>
      <w:r w:rsidR="00E056F8">
        <w:t>PG&amp;E</w:t>
      </w:r>
      <w:r w:rsidR="005E15EC">
        <w:t xml:space="preserve"> Opening Comments </w:t>
      </w:r>
      <w:r w:rsidR="00BB549C">
        <w:t>on</w:t>
      </w:r>
      <w:r w:rsidR="005E15EC">
        <w:t xml:space="preserve"> March 23 Ruling at 15</w:t>
      </w:r>
      <w:r w:rsidR="009F34EF">
        <w:t>,</w:t>
      </w:r>
      <w:r w:rsidR="006F7A9D">
        <w:t xml:space="preserve"> </w:t>
      </w:r>
      <w:r w:rsidR="00E056F8">
        <w:t>SCE</w:t>
      </w:r>
      <w:r w:rsidR="00C54363">
        <w:t xml:space="preserve"> Opening Comments </w:t>
      </w:r>
      <w:r w:rsidR="00BB549C">
        <w:t>on</w:t>
      </w:r>
      <w:r w:rsidR="00C54363">
        <w:t xml:space="preserve"> March 23 Ruling at 8-9</w:t>
      </w:r>
      <w:r w:rsidR="009F34EF">
        <w:t>,</w:t>
      </w:r>
      <w:r w:rsidR="00E056F8">
        <w:t xml:space="preserve"> SDG&amp;E</w:t>
      </w:r>
      <w:r w:rsidR="003B0947">
        <w:t xml:space="preserve"> Opening Comments </w:t>
      </w:r>
      <w:r w:rsidR="00BB549C">
        <w:t>on</w:t>
      </w:r>
      <w:r w:rsidR="003B0947">
        <w:t xml:space="preserve"> March 23 Ruling at 17</w:t>
      </w:r>
      <w:r w:rsidR="009F34EF">
        <w:t>,</w:t>
      </w:r>
      <w:r w:rsidR="00E056F8">
        <w:t xml:space="preserve"> UCAN</w:t>
      </w:r>
      <w:r w:rsidR="00A92C71">
        <w:t xml:space="preserve"> Opening Comments </w:t>
      </w:r>
      <w:r w:rsidR="00BB549C">
        <w:t>on</w:t>
      </w:r>
      <w:r w:rsidR="00A92C71">
        <w:t xml:space="preserve"> March 23 Ruling at 5</w:t>
      </w:r>
      <w:r w:rsidR="009F34EF">
        <w:t>,</w:t>
      </w:r>
      <w:r w:rsidR="00E056F8">
        <w:t xml:space="preserve"> </w:t>
      </w:r>
      <w:r w:rsidR="009D752F">
        <w:t>CALSSA</w:t>
      </w:r>
      <w:r w:rsidR="00B6781E">
        <w:t xml:space="preserve"> Opening Comments </w:t>
      </w:r>
      <w:r w:rsidR="00BB549C">
        <w:t>on</w:t>
      </w:r>
      <w:r w:rsidR="00B6781E">
        <w:t xml:space="preserve"> March 23 Ruling at 11</w:t>
      </w:r>
      <w:r w:rsidR="009F34EF">
        <w:t>,</w:t>
      </w:r>
      <w:r w:rsidR="00E056F8">
        <w:t xml:space="preserve"> </w:t>
      </w:r>
      <w:r w:rsidR="00FA104F">
        <w:t>Weave Grid</w:t>
      </w:r>
      <w:r w:rsidR="002B5A39">
        <w:t xml:space="preserve"> Reply Comments </w:t>
      </w:r>
      <w:r w:rsidR="00BB549C">
        <w:t>on</w:t>
      </w:r>
      <w:r w:rsidR="002B5A39">
        <w:t xml:space="preserve"> March 23 Ruling at 2</w:t>
      </w:r>
      <w:r w:rsidR="009F34EF">
        <w:t>,</w:t>
      </w:r>
      <w:r w:rsidR="001E7322">
        <w:t xml:space="preserve"> Nexamp</w:t>
      </w:r>
      <w:r w:rsidR="005A57FC">
        <w:t xml:space="preserve"> Opening Comments </w:t>
      </w:r>
      <w:r w:rsidR="00BB549C">
        <w:t>on</w:t>
      </w:r>
      <w:r w:rsidR="005A57FC">
        <w:t xml:space="preserve"> March 23 Ruling at </w:t>
      </w:r>
      <w:r w:rsidR="003151C7">
        <w:t>8</w:t>
      </w:r>
      <w:r w:rsidR="001E7322">
        <w:t>.</w:t>
      </w:r>
    </w:p>
  </w:footnote>
  <w:footnote w:id="172">
    <w:p w14:paraId="4574FAD9" w14:textId="13ACC0BE" w:rsidR="00906312" w:rsidRDefault="00906312" w:rsidP="00906312">
      <w:pPr>
        <w:pStyle w:val="FootnoteText"/>
      </w:pPr>
      <w:r>
        <w:rPr>
          <w:rStyle w:val="FootnoteReference"/>
        </w:rPr>
        <w:footnoteRef/>
      </w:r>
      <w:r>
        <w:t xml:space="preserve"> </w:t>
      </w:r>
      <w:r w:rsidR="00930C59">
        <w:t xml:space="preserve">PG&amp;E Opening Comments </w:t>
      </w:r>
      <w:r w:rsidR="00BB549C">
        <w:t>on</w:t>
      </w:r>
      <w:r w:rsidR="00930C59">
        <w:t xml:space="preserve"> March 23 Ruling at 15.</w:t>
      </w:r>
    </w:p>
  </w:footnote>
  <w:footnote w:id="173">
    <w:p w14:paraId="33C83FA8" w14:textId="7CC1DC96" w:rsidR="00906312" w:rsidRDefault="00906312" w:rsidP="00906312">
      <w:pPr>
        <w:pStyle w:val="FootnoteText"/>
      </w:pPr>
      <w:r>
        <w:rPr>
          <w:rStyle w:val="FootnoteReference"/>
        </w:rPr>
        <w:footnoteRef/>
      </w:r>
      <w:r>
        <w:t xml:space="preserve"> SCE Opening Comments </w:t>
      </w:r>
      <w:r w:rsidR="00BB549C">
        <w:t>on</w:t>
      </w:r>
      <w:r>
        <w:t xml:space="preserve"> March 23 Ruling at 9.</w:t>
      </w:r>
    </w:p>
  </w:footnote>
  <w:footnote w:id="174">
    <w:p w14:paraId="243EEE4B" w14:textId="39F8075A" w:rsidR="00906312" w:rsidRDefault="00906312" w:rsidP="00906312">
      <w:pPr>
        <w:pStyle w:val="FootnoteText"/>
      </w:pPr>
      <w:r>
        <w:rPr>
          <w:rStyle w:val="FootnoteReference"/>
        </w:rPr>
        <w:footnoteRef/>
      </w:r>
      <w:r>
        <w:t xml:space="preserve"> SDG&amp;E</w:t>
      </w:r>
      <w:r w:rsidR="00715A86">
        <w:t xml:space="preserve"> Opening Comments </w:t>
      </w:r>
      <w:r w:rsidR="007655E2">
        <w:t>on</w:t>
      </w:r>
      <w:r w:rsidR="00715A86">
        <w:t xml:space="preserve"> March 23 Ruling at 17.</w:t>
      </w:r>
    </w:p>
  </w:footnote>
  <w:footnote w:id="175">
    <w:p w14:paraId="1D487A0E" w14:textId="411AA39A" w:rsidR="00906312" w:rsidRDefault="00906312" w:rsidP="00906312">
      <w:pPr>
        <w:pStyle w:val="FootnoteText"/>
      </w:pPr>
      <w:r>
        <w:rPr>
          <w:rStyle w:val="FootnoteReference"/>
        </w:rPr>
        <w:footnoteRef/>
      </w:r>
      <w:r>
        <w:t xml:space="preserve"> EDF</w:t>
      </w:r>
      <w:r w:rsidR="00715A86">
        <w:t xml:space="preserve"> Opening Comments </w:t>
      </w:r>
      <w:r w:rsidR="007655E2">
        <w:t>on</w:t>
      </w:r>
      <w:r w:rsidR="00715A86">
        <w:t xml:space="preserve"> March 23 Ruling at </w:t>
      </w:r>
      <w:r w:rsidR="005B0D04">
        <w:t>14-15</w:t>
      </w:r>
      <w:r w:rsidR="00D60E93">
        <w:t>,</w:t>
      </w:r>
      <w:r w:rsidR="00715A86">
        <w:t xml:space="preserve"> </w:t>
      </w:r>
      <w:r>
        <w:t>350</w:t>
      </w:r>
      <w:r w:rsidR="00715A86">
        <w:t xml:space="preserve"> Bay Area</w:t>
      </w:r>
      <w:r w:rsidR="00D31EC1">
        <w:t xml:space="preserve"> Opening Comments </w:t>
      </w:r>
      <w:r w:rsidR="007655E2">
        <w:t>on</w:t>
      </w:r>
      <w:r w:rsidR="00D31EC1">
        <w:t xml:space="preserve"> March 23 Ruling at </w:t>
      </w:r>
      <w:r w:rsidR="00017E5B">
        <w:t>12-13</w:t>
      </w:r>
      <w:r w:rsidR="00715A86">
        <w:t>.</w:t>
      </w:r>
    </w:p>
  </w:footnote>
  <w:footnote w:id="176">
    <w:p w14:paraId="09A06D8D" w14:textId="4E4D234E" w:rsidR="009B5271" w:rsidRDefault="009B5271">
      <w:pPr>
        <w:pStyle w:val="FootnoteText"/>
      </w:pPr>
      <w:r>
        <w:rPr>
          <w:rStyle w:val="FootnoteReference"/>
        </w:rPr>
        <w:footnoteRef/>
      </w:r>
      <w:r>
        <w:t xml:space="preserve"> EnergyHub</w:t>
      </w:r>
      <w:r w:rsidR="001E08D6">
        <w:t xml:space="preserve"> Opening Comments </w:t>
      </w:r>
      <w:r w:rsidR="007655E2">
        <w:t>on</w:t>
      </w:r>
      <w:r w:rsidR="001E08D6">
        <w:t xml:space="preserve"> March 23 Ruling at 4.</w:t>
      </w:r>
    </w:p>
  </w:footnote>
  <w:footnote w:id="177">
    <w:p w14:paraId="007F3784" w14:textId="7435E936" w:rsidR="00906312" w:rsidRPr="00BB0D94" w:rsidRDefault="00906312" w:rsidP="00906312">
      <w:pPr>
        <w:pStyle w:val="FootnoteText"/>
        <w:rPr>
          <w:i/>
          <w:iCs/>
        </w:rPr>
      </w:pPr>
      <w:r>
        <w:rPr>
          <w:rStyle w:val="FootnoteReference"/>
        </w:rPr>
        <w:footnoteRef/>
      </w:r>
      <w:r>
        <w:t xml:space="preserve"> </w:t>
      </w:r>
      <w:r w:rsidR="00BB0D94">
        <w:rPr>
          <w:i/>
          <w:iCs/>
        </w:rPr>
        <w:t>Ibid.</w:t>
      </w:r>
    </w:p>
  </w:footnote>
  <w:footnote w:id="178">
    <w:p w14:paraId="2B8180EC" w14:textId="5F5587A1" w:rsidR="00906312" w:rsidRDefault="00906312" w:rsidP="00906312">
      <w:pPr>
        <w:pStyle w:val="FootnoteText"/>
      </w:pPr>
      <w:r>
        <w:rPr>
          <w:rStyle w:val="FootnoteReference"/>
        </w:rPr>
        <w:footnoteRef/>
      </w:r>
      <w:r>
        <w:t xml:space="preserve"> Cal Advocates</w:t>
      </w:r>
      <w:r w:rsidR="00CD659C">
        <w:t xml:space="preserve"> Opening Comments </w:t>
      </w:r>
      <w:r w:rsidR="000C7E66">
        <w:t>on</w:t>
      </w:r>
      <w:r w:rsidR="00CD659C">
        <w:t xml:space="preserve"> March 23 Ruling at 22</w:t>
      </w:r>
      <w:r>
        <w:t>.</w:t>
      </w:r>
    </w:p>
  </w:footnote>
  <w:footnote w:id="179">
    <w:p w14:paraId="2B282BD3" w14:textId="1273030F" w:rsidR="004C5A03" w:rsidRDefault="004C5A03">
      <w:pPr>
        <w:pStyle w:val="FootnoteText"/>
      </w:pPr>
      <w:r>
        <w:rPr>
          <w:rStyle w:val="FootnoteReference"/>
        </w:rPr>
        <w:footnoteRef/>
      </w:r>
      <w:r>
        <w:t xml:space="preserve"> Under a contract with Energy Division, Kevala conducted an EIS Part 1 study</w:t>
      </w:r>
      <w:r w:rsidR="00FB18DD">
        <w:t xml:space="preserve">, which was not formally adopted by the Commission. </w:t>
      </w:r>
      <w:r>
        <w:t xml:space="preserve"> </w:t>
      </w:r>
    </w:p>
  </w:footnote>
  <w:footnote w:id="180">
    <w:p w14:paraId="7F4BC3CE" w14:textId="66A17DE5" w:rsidR="00625464" w:rsidRDefault="00625464" w:rsidP="00625464">
      <w:pPr>
        <w:pStyle w:val="FootnoteText"/>
      </w:pPr>
      <w:r>
        <w:rPr>
          <w:rStyle w:val="FootnoteReference"/>
        </w:rPr>
        <w:footnoteRef/>
      </w:r>
      <w:r>
        <w:t xml:space="preserve"> P</w:t>
      </w:r>
      <w:r w:rsidR="00F65FE8">
        <w:t>G&amp;E EIS</w:t>
      </w:r>
      <w:r>
        <w:t>2 at 20-21, S</w:t>
      </w:r>
      <w:r w:rsidR="00F65FE8">
        <w:t>DG&amp;E EIS</w:t>
      </w:r>
      <w:r>
        <w:t>2 at 6-9, S</w:t>
      </w:r>
      <w:r w:rsidR="00F65FE8">
        <w:t>CE EIS</w:t>
      </w:r>
      <w:r>
        <w:t xml:space="preserve">2 at 6-9. </w:t>
      </w:r>
    </w:p>
  </w:footnote>
  <w:footnote w:id="181">
    <w:p w14:paraId="18A39F30" w14:textId="5C67B200" w:rsidR="00625464" w:rsidRDefault="00625464" w:rsidP="00625464">
      <w:pPr>
        <w:pStyle w:val="FootnoteText"/>
      </w:pPr>
      <w:r>
        <w:rPr>
          <w:rStyle w:val="FootnoteReference"/>
        </w:rPr>
        <w:footnoteRef/>
      </w:r>
      <w:r>
        <w:t xml:space="preserve"> D.24-10-030 at 97.</w:t>
      </w:r>
    </w:p>
  </w:footnote>
  <w:footnote w:id="182">
    <w:p w14:paraId="2D55E7FC" w14:textId="2E4ABA41" w:rsidR="004134AE" w:rsidRDefault="004134AE">
      <w:pPr>
        <w:pStyle w:val="FootnoteText"/>
      </w:pPr>
      <w:r>
        <w:rPr>
          <w:rStyle w:val="FootnoteReference"/>
        </w:rPr>
        <w:footnoteRef/>
      </w:r>
      <w:r>
        <w:t xml:space="preserve"> </w:t>
      </w:r>
      <w:r w:rsidR="00893C4C">
        <w:t>Staff Proposal at 25.</w:t>
      </w:r>
    </w:p>
  </w:footnote>
  <w:footnote w:id="183">
    <w:p w14:paraId="277EBF6A" w14:textId="265A2395" w:rsidR="004134AE" w:rsidRDefault="004134AE">
      <w:pPr>
        <w:pStyle w:val="FootnoteText"/>
      </w:pPr>
      <w:r>
        <w:rPr>
          <w:rStyle w:val="FootnoteReference"/>
        </w:rPr>
        <w:footnoteRef/>
      </w:r>
      <w:r>
        <w:t xml:space="preserve"> </w:t>
      </w:r>
      <w:r w:rsidR="00893C4C" w:rsidRPr="004134AE">
        <w:rPr>
          <w:i/>
          <w:iCs/>
        </w:rPr>
        <w:t>Id.</w:t>
      </w:r>
      <w:r w:rsidR="00893C4C">
        <w:t xml:space="preserve"> at 83.</w:t>
      </w:r>
    </w:p>
  </w:footnote>
  <w:footnote w:id="184">
    <w:p w14:paraId="0C0A8CF0" w14:textId="0637D729" w:rsidR="00625464" w:rsidRDefault="00625464" w:rsidP="00625464">
      <w:pPr>
        <w:pStyle w:val="FootnoteText"/>
      </w:pPr>
      <w:r>
        <w:rPr>
          <w:rStyle w:val="FootnoteReference"/>
        </w:rPr>
        <w:footnoteRef/>
      </w:r>
      <w:r>
        <w:t xml:space="preserve"> </w:t>
      </w:r>
      <w:r w:rsidR="00844BBC" w:rsidRPr="00844BBC">
        <w:t xml:space="preserve"> Joint Reply </w:t>
      </w:r>
      <w:r w:rsidR="00077724" w:rsidRPr="00844BBC">
        <w:t>to</w:t>
      </w:r>
      <w:r w:rsidR="00844BBC" w:rsidRPr="00844BBC">
        <w:t xml:space="preserve"> Protest </w:t>
      </w:r>
      <w:r w:rsidR="00077724" w:rsidRPr="00844BBC">
        <w:t>of</w:t>
      </w:r>
      <w:r w:rsidR="00844BBC" w:rsidRPr="00844BBC">
        <w:t xml:space="preserve"> Advice Letter 4675-E: San Diego Gas &amp; Electric Company, Southern California Edison Company, And Pacific Gas </w:t>
      </w:r>
      <w:r w:rsidR="00077724" w:rsidRPr="00844BBC">
        <w:t>and</w:t>
      </w:r>
      <w:r w:rsidR="00844BBC" w:rsidRPr="00844BBC">
        <w:t xml:space="preserve"> Electric Company Tier 3 Advice Letter </w:t>
      </w:r>
      <w:r w:rsidR="00570F9C" w:rsidRPr="00844BBC">
        <w:t>proposing a framework fo</w:t>
      </w:r>
      <w:r w:rsidR="00680198" w:rsidRPr="00844BBC">
        <w:t xml:space="preserve">r implementation of </w:t>
      </w:r>
      <w:r w:rsidR="00844BBC" w:rsidRPr="00844BBC">
        <w:t xml:space="preserve">Scenario-Based Planning </w:t>
      </w:r>
      <w:r w:rsidR="00680198" w:rsidRPr="00844BBC">
        <w:t xml:space="preserve">pursuant to </w:t>
      </w:r>
      <w:r w:rsidR="00844BBC" w:rsidRPr="00844BBC">
        <w:t>Ordering Paragraph 8 Of D.24-10-030</w:t>
      </w:r>
      <w:r w:rsidR="00680198">
        <w:t xml:space="preserve"> (p. 2)</w:t>
      </w:r>
    </w:p>
  </w:footnote>
  <w:footnote w:id="185">
    <w:p w14:paraId="0BCD8BFD" w14:textId="0D2C96C4" w:rsidR="00625464" w:rsidRDefault="00625464" w:rsidP="00625464">
      <w:pPr>
        <w:pStyle w:val="FootnoteText"/>
      </w:pPr>
      <w:r>
        <w:rPr>
          <w:rStyle w:val="FootnoteReference"/>
        </w:rPr>
        <w:footnoteRef/>
      </w:r>
      <w:r>
        <w:t xml:space="preserve"> </w:t>
      </w:r>
      <w:r w:rsidRPr="00E35D47">
        <w:t>S</w:t>
      </w:r>
      <w:r>
        <w:t xml:space="preserve">DG&amp;E Reply Comments on </w:t>
      </w:r>
      <w:r w:rsidR="007D08C1">
        <w:t xml:space="preserve">May 8 Ruling </w:t>
      </w:r>
      <w:r>
        <w:t>at 1.</w:t>
      </w:r>
    </w:p>
  </w:footnote>
  <w:footnote w:id="186">
    <w:p w14:paraId="6780103F" w14:textId="77777777" w:rsidR="00625464" w:rsidRPr="00E35D47" w:rsidRDefault="00625464" w:rsidP="00625464">
      <w:pPr>
        <w:pStyle w:val="FootnoteText"/>
      </w:pPr>
      <w:r>
        <w:rPr>
          <w:rStyle w:val="FootnoteReference"/>
        </w:rPr>
        <w:footnoteRef/>
      </w:r>
      <w:r>
        <w:t xml:space="preserve"> </w:t>
      </w:r>
      <w:r>
        <w:rPr>
          <w:i/>
          <w:iCs/>
        </w:rPr>
        <w:t>Id</w:t>
      </w:r>
      <w:r>
        <w:t xml:space="preserve">. at 2. </w:t>
      </w:r>
    </w:p>
  </w:footnote>
  <w:footnote w:id="187">
    <w:p w14:paraId="36FC2897" w14:textId="1E5ACB09" w:rsidR="00625464" w:rsidRDefault="00625464" w:rsidP="00625464">
      <w:pPr>
        <w:pStyle w:val="FootnoteText"/>
      </w:pPr>
      <w:r>
        <w:rPr>
          <w:rStyle w:val="FootnoteReference"/>
        </w:rPr>
        <w:footnoteRef/>
      </w:r>
      <w:r>
        <w:t xml:space="preserve"> </w:t>
      </w:r>
      <w:r w:rsidRPr="007433F5">
        <w:t>S</w:t>
      </w:r>
      <w:r>
        <w:t xml:space="preserve">CE Reply Comments on </w:t>
      </w:r>
      <w:r w:rsidR="007D08C1">
        <w:t>May 8 Ruling</w:t>
      </w:r>
      <w:r>
        <w:t xml:space="preserve"> at 1. </w:t>
      </w:r>
    </w:p>
  </w:footnote>
  <w:footnote w:id="188">
    <w:p w14:paraId="02ADEB52" w14:textId="77777777" w:rsidR="00625464" w:rsidRPr="007433F5" w:rsidRDefault="00625464" w:rsidP="00625464">
      <w:pPr>
        <w:pStyle w:val="FootnoteText"/>
      </w:pPr>
      <w:r>
        <w:rPr>
          <w:rStyle w:val="FootnoteReference"/>
        </w:rPr>
        <w:footnoteRef/>
      </w:r>
      <w:r>
        <w:t xml:space="preserve"> </w:t>
      </w:r>
      <w:r>
        <w:rPr>
          <w:i/>
          <w:iCs/>
        </w:rPr>
        <w:t>Id</w:t>
      </w:r>
      <w:r>
        <w:t>. at 1.</w:t>
      </w:r>
    </w:p>
  </w:footnote>
  <w:footnote w:id="189">
    <w:p w14:paraId="652960AF" w14:textId="1F046806" w:rsidR="00625464" w:rsidRDefault="00625464" w:rsidP="00625464">
      <w:pPr>
        <w:pStyle w:val="FootnoteText"/>
      </w:pPr>
      <w:r>
        <w:rPr>
          <w:rStyle w:val="FootnoteReference"/>
        </w:rPr>
        <w:footnoteRef/>
      </w:r>
      <w:r>
        <w:t xml:space="preserve"> </w:t>
      </w:r>
      <w:r w:rsidRPr="00911B7A">
        <w:t>P</w:t>
      </w:r>
      <w:r>
        <w:t>G&amp;E</w:t>
      </w:r>
      <w:r w:rsidR="007D08C1">
        <w:t xml:space="preserve"> Opening</w:t>
      </w:r>
      <w:r>
        <w:t xml:space="preserve"> Comments on </w:t>
      </w:r>
      <w:r w:rsidR="007D08C1">
        <w:t xml:space="preserve">May 8 </w:t>
      </w:r>
      <w:r w:rsidR="00135B9C">
        <w:t>Ruling</w:t>
      </w:r>
      <w:r>
        <w:t xml:space="preserve"> at 1.</w:t>
      </w:r>
    </w:p>
  </w:footnote>
  <w:footnote w:id="190">
    <w:p w14:paraId="7F6F06BE" w14:textId="416AE682" w:rsidR="00625464" w:rsidRDefault="00625464" w:rsidP="00625464">
      <w:pPr>
        <w:pStyle w:val="FootnoteText"/>
      </w:pPr>
      <w:r>
        <w:rPr>
          <w:rStyle w:val="FootnoteReference"/>
        </w:rPr>
        <w:footnoteRef/>
      </w:r>
      <w:r>
        <w:t xml:space="preserve"> EDF </w:t>
      </w:r>
      <w:r w:rsidR="007D08C1">
        <w:t xml:space="preserve">Opening </w:t>
      </w:r>
      <w:r>
        <w:t xml:space="preserve">Comments on </w:t>
      </w:r>
      <w:r w:rsidR="007D08C1">
        <w:t>May 8 Ruling</w:t>
      </w:r>
      <w:r>
        <w:t xml:space="preserve"> at</w:t>
      </w:r>
      <w:r w:rsidRPr="001E45D6">
        <w:t xml:space="preserve"> </w:t>
      </w:r>
      <w:r>
        <w:t>2.</w:t>
      </w:r>
    </w:p>
  </w:footnote>
  <w:footnote w:id="191">
    <w:p w14:paraId="6162B0D1" w14:textId="2923340E" w:rsidR="00625464" w:rsidRDefault="00625464" w:rsidP="00625464">
      <w:pPr>
        <w:pStyle w:val="FootnoteText"/>
      </w:pPr>
      <w:r>
        <w:rPr>
          <w:rStyle w:val="FootnoteReference"/>
        </w:rPr>
        <w:footnoteRef/>
      </w:r>
      <w:r>
        <w:t xml:space="preserve"> SDG&amp;E </w:t>
      </w:r>
      <w:r w:rsidR="00D5324E">
        <w:t>Opening Comments on May 8 Ruling</w:t>
      </w:r>
      <w:r>
        <w:t xml:space="preserve"> at 29, SCE Opening </w:t>
      </w:r>
      <w:r w:rsidR="00D5324E">
        <w:t>C</w:t>
      </w:r>
      <w:r>
        <w:t xml:space="preserve">omments on </w:t>
      </w:r>
      <w:r w:rsidR="00D5324E">
        <w:t xml:space="preserve">May 8 Ruling at </w:t>
      </w:r>
      <w:r>
        <w:t>1.</w:t>
      </w:r>
    </w:p>
  </w:footnote>
  <w:footnote w:id="192">
    <w:p w14:paraId="22261D44" w14:textId="10732BEA" w:rsidR="00625464" w:rsidRDefault="00625464" w:rsidP="00625464">
      <w:pPr>
        <w:pStyle w:val="FootnoteText"/>
      </w:pPr>
      <w:r>
        <w:rPr>
          <w:rStyle w:val="FootnoteReference"/>
        </w:rPr>
        <w:footnoteRef/>
      </w:r>
      <w:r>
        <w:t xml:space="preserve"> SCE Opening </w:t>
      </w:r>
      <w:r w:rsidR="00D5324E">
        <w:t>C</w:t>
      </w:r>
      <w:r>
        <w:t xml:space="preserve">omments on </w:t>
      </w:r>
      <w:r w:rsidR="00D5324E">
        <w:t>May 8 Ruling</w:t>
      </w:r>
      <w:r>
        <w:t xml:space="preserve"> at 1.</w:t>
      </w:r>
    </w:p>
  </w:footnote>
  <w:footnote w:id="193">
    <w:p w14:paraId="2B3D7D4A" w14:textId="4767EB87" w:rsidR="00625464" w:rsidRDefault="00625464" w:rsidP="00625464">
      <w:pPr>
        <w:pStyle w:val="FootnoteText"/>
      </w:pPr>
      <w:r>
        <w:rPr>
          <w:rStyle w:val="FootnoteReference"/>
        </w:rPr>
        <w:footnoteRef/>
      </w:r>
      <w:r>
        <w:t xml:space="preserve"> </w:t>
      </w:r>
      <w:r w:rsidR="00D5324E">
        <w:t xml:space="preserve">Cal Advocates Opening </w:t>
      </w:r>
      <w:r w:rsidRPr="00876215">
        <w:t>C</w:t>
      </w:r>
      <w:r>
        <w:t xml:space="preserve">omments </w:t>
      </w:r>
      <w:r w:rsidR="00D5324E">
        <w:t>on May 8 Ruling</w:t>
      </w:r>
      <w:r>
        <w:t xml:space="preserve"> at 2.</w:t>
      </w:r>
    </w:p>
  </w:footnote>
  <w:footnote w:id="194">
    <w:p w14:paraId="1B1F2A7C" w14:textId="2680E807" w:rsidR="00625464" w:rsidRPr="00484754" w:rsidRDefault="00625464" w:rsidP="00625464">
      <w:pPr>
        <w:pStyle w:val="FootnoteText"/>
      </w:pPr>
      <w:r>
        <w:rPr>
          <w:rStyle w:val="FootnoteReference"/>
        </w:rPr>
        <w:footnoteRef/>
      </w:r>
      <w:r>
        <w:t xml:space="preserve"> </w:t>
      </w:r>
      <w:r w:rsidR="00FA3539" w:rsidRPr="00795EC9">
        <w:t>S</w:t>
      </w:r>
      <w:r w:rsidR="00FA3539">
        <w:t>BUA Opening Comments on May 8 Ruling at 2.</w:t>
      </w:r>
    </w:p>
  </w:footnote>
  <w:footnote w:id="195">
    <w:p w14:paraId="4C508178" w14:textId="4728D76B" w:rsidR="00D5324E" w:rsidRDefault="00D5324E">
      <w:pPr>
        <w:pStyle w:val="FootnoteText"/>
      </w:pPr>
      <w:r>
        <w:rPr>
          <w:rStyle w:val="FootnoteReference"/>
        </w:rPr>
        <w:footnoteRef/>
      </w:r>
      <w:r>
        <w:t xml:space="preserve"> SDGE Opening Comments on May 8 Ruling at 5.</w:t>
      </w:r>
    </w:p>
  </w:footnote>
  <w:footnote w:id="196">
    <w:p w14:paraId="15ADA919" w14:textId="191653B6" w:rsidR="00625464" w:rsidRDefault="00625464" w:rsidP="00625464">
      <w:pPr>
        <w:pStyle w:val="FootnoteText"/>
      </w:pPr>
      <w:r>
        <w:rPr>
          <w:rStyle w:val="FootnoteReference"/>
        </w:rPr>
        <w:footnoteRef/>
      </w:r>
      <w:r>
        <w:t xml:space="preserve"> VGIC </w:t>
      </w:r>
      <w:r w:rsidR="00417271">
        <w:t xml:space="preserve">Opening Comments on May 8 Ruling at </w:t>
      </w:r>
      <w:r>
        <w:t xml:space="preserve">3, </w:t>
      </w:r>
      <w:r w:rsidRPr="001A548C">
        <w:t>C</w:t>
      </w:r>
      <w:r>
        <w:t>alCCA</w:t>
      </w:r>
      <w:r w:rsidR="00417271">
        <w:t xml:space="preserve"> Opening </w:t>
      </w:r>
      <w:r>
        <w:t xml:space="preserve">Comments </w:t>
      </w:r>
      <w:r w:rsidR="00417271">
        <w:t xml:space="preserve">on May 8 Ruling at </w:t>
      </w:r>
      <w:r>
        <w:t xml:space="preserve">2, </w:t>
      </w:r>
      <w:r w:rsidRPr="00154CF4">
        <w:t>C</w:t>
      </w:r>
      <w:r>
        <w:t xml:space="preserve">lean Coalition </w:t>
      </w:r>
      <w:r w:rsidR="00417271">
        <w:t xml:space="preserve">Opening </w:t>
      </w:r>
      <w:r>
        <w:t xml:space="preserve">Comments on </w:t>
      </w:r>
      <w:r w:rsidR="00417271">
        <w:t>May 8 Ruling</w:t>
      </w:r>
      <w:r>
        <w:t xml:space="preserve"> at 2-3. </w:t>
      </w:r>
    </w:p>
  </w:footnote>
  <w:footnote w:id="197">
    <w:p w14:paraId="423CD396" w14:textId="03111186" w:rsidR="00625464" w:rsidRPr="003475D3" w:rsidRDefault="00625464" w:rsidP="00625464">
      <w:pPr>
        <w:pStyle w:val="FootnoteText"/>
      </w:pPr>
      <w:r>
        <w:rPr>
          <w:rStyle w:val="FootnoteReference"/>
        </w:rPr>
        <w:footnoteRef/>
      </w:r>
      <w:r>
        <w:t xml:space="preserve"> </w:t>
      </w:r>
      <w:r>
        <w:rPr>
          <w:i/>
          <w:iCs/>
        </w:rPr>
        <w:t>I</w:t>
      </w:r>
      <w:r w:rsidR="00417271">
        <w:rPr>
          <w:i/>
          <w:iCs/>
        </w:rPr>
        <w:t>bi</w:t>
      </w:r>
      <w:r>
        <w:rPr>
          <w:i/>
          <w:iCs/>
        </w:rPr>
        <w:t>d.</w:t>
      </w:r>
    </w:p>
  </w:footnote>
  <w:footnote w:id="198">
    <w:p w14:paraId="328E017A" w14:textId="38703C1D" w:rsidR="00625464" w:rsidRDefault="00625464" w:rsidP="00625464">
      <w:pPr>
        <w:pStyle w:val="FootnoteText"/>
      </w:pPr>
      <w:r>
        <w:rPr>
          <w:rStyle w:val="FootnoteReference"/>
        </w:rPr>
        <w:footnoteRef/>
      </w:r>
      <w:r>
        <w:t xml:space="preserve"> VGIC </w:t>
      </w:r>
      <w:r w:rsidR="004D33A0">
        <w:t xml:space="preserve">Opening </w:t>
      </w:r>
      <w:r w:rsidR="00417271">
        <w:t xml:space="preserve">Comments on May 8 Ruling </w:t>
      </w:r>
      <w:r>
        <w:t>at 3.</w:t>
      </w:r>
    </w:p>
  </w:footnote>
  <w:footnote w:id="199">
    <w:p w14:paraId="0CDB72F3" w14:textId="096925D7" w:rsidR="00625464" w:rsidRDefault="00625464" w:rsidP="00625464">
      <w:pPr>
        <w:pStyle w:val="FootnoteText"/>
      </w:pPr>
      <w:r>
        <w:rPr>
          <w:rStyle w:val="FootnoteReference"/>
        </w:rPr>
        <w:footnoteRef/>
      </w:r>
      <w:r>
        <w:t xml:space="preserve"> </w:t>
      </w:r>
      <w:r w:rsidRPr="001A548C">
        <w:t>C</w:t>
      </w:r>
      <w:r>
        <w:t>alCCA</w:t>
      </w:r>
      <w:r w:rsidR="004D33A0">
        <w:t xml:space="preserve"> Opening</w:t>
      </w:r>
      <w:r>
        <w:t xml:space="preserve"> Comments </w:t>
      </w:r>
      <w:r w:rsidR="004D33A0">
        <w:t xml:space="preserve">on May 8 Ruling </w:t>
      </w:r>
      <w:r>
        <w:t>at 4.</w:t>
      </w:r>
    </w:p>
  </w:footnote>
  <w:footnote w:id="200">
    <w:p w14:paraId="59D58EA5" w14:textId="3BF04BF1" w:rsidR="00625464" w:rsidRDefault="00625464" w:rsidP="00625464">
      <w:pPr>
        <w:pStyle w:val="FootnoteText"/>
      </w:pPr>
      <w:r>
        <w:rPr>
          <w:rStyle w:val="FootnoteReference"/>
        </w:rPr>
        <w:footnoteRef/>
      </w:r>
      <w:r>
        <w:t xml:space="preserve"> </w:t>
      </w:r>
      <w:r w:rsidRPr="00154CF4">
        <w:t>C</w:t>
      </w:r>
      <w:r>
        <w:t xml:space="preserve">lean Coalition </w:t>
      </w:r>
      <w:r w:rsidR="004D33A0">
        <w:t xml:space="preserve">Opening </w:t>
      </w:r>
      <w:r>
        <w:t xml:space="preserve">Comments on </w:t>
      </w:r>
      <w:r w:rsidR="004D33A0">
        <w:t>May 8 Ruling</w:t>
      </w:r>
      <w:r>
        <w:t xml:space="preserve"> at 4. </w:t>
      </w:r>
    </w:p>
  </w:footnote>
  <w:footnote w:id="201">
    <w:p w14:paraId="70CE3CE2" w14:textId="77777777" w:rsidR="00625464" w:rsidRPr="009055C0" w:rsidRDefault="00625464" w:rsidP="00625464">
      <w:pPr>
        <w:pStyle w:val="FootnoteText"/>
      </w:pPr>
      <w:r>
        <w:rPr>
          <w:rStyle w:val="FootnoteReference"/>
        </w:rPr>
        <w:footnoteRef/>
      </w:r>
      <w:r>
        <w:t xml:space="preserve"> </w:t>
      </w:r>
      <w:r>
        <w:rPr>
          <w:i/>
          <w:iCs/>
        </w:rPr>
        <w:t>Id</w:t>
      </w:r>
      <w:r>
        <w:t>. at 3.</w:t>
      </w:r>
    </w:p>
  </w:footnote>
  <w:footnote w:id="202">
    <w:p w14:paraId="7EFE7705" w14:textId="4F1333DD" w:rsidR="00625464" w:rsidRDefault="00625464" w:rsidP="00625464">
      <w:pPr>
        <w:pStyle w:val="FootnoteText"/>
      </w:pPr>
      <w:r>
        <w:rPr>
          <w:rStyle w:val="FootnoteReference"/>
        </w:rPr>
        <w:footnoteRef/>
      </w:r>
      <w:r>
        <w:t xml:space="preserve"> SDG&amp;E</w:t>
      </w:r>
      <w:r w:rsidRPr="00A5213B">
        <w:t xml:space="preserve"> Fin</w:t>
      </w:r>
      <w:r w:rsidR="005D4F6F">
        <w:t>al EIS</w:t>
      </w:r>
      <w:r w:rsidR="00D760A3">
        <w:t xml:space="preserve"> Part </w:t>
      </w:r>
      <w:r w:rsidRPr="00A5213B">
        <w:t>2</w:t>
      </w:r>
      <w:r>
        <w:t xml:space="preserve"> at 7. </w:t>
      </w:r>
    </w:p>
  </w:footnote>
  <w:footnote w:id="203">
    <w:p w14:paraId="0328E764" w14:textId="77777777" w:rsidR="00625464" w:rsidRPr="00071CC0" w:rsidRDefault="00625464" w:rsidP="00625464">
      <w:pPr>
        <w:pStyle w:val="FootnoteText"/>
      </w:pPr>
      <w:r>
        <w:rPr>
          <w:rStyle w:val="FootnoteReference"/>
        </w:rPr>
        <w:footnoteRef/>
      </w:r>
      <w:r>
        <w:t xml:space="preserve"> </w:t>
      </w:r>
      <w:r>
        <w:rPr>
          <w:i/>
          <w:iCs/>
        </w:rPr>
        <w:t>Id</w:t>
      </w:r>
      <w:r>
        <w:t xml:space="preserve">. at 5. </w:t>
      </w:r>
    </w:p>
  </w:footnote>
  <w:footnote w:id="204">
    <w:p w14:paraId="5341A272" w14:textId="5A1E8298" w:rsidR="00625464" w:rsidRDefault="00625464" w:rsidP="00625464">
      <w:pPr>
        <w:pStyle w:val="FootnoteText"/>
      </w:pPr>
      <w:r>
        <w:rPr>
          <w:rStyle w:val="FootnoteReference"/>
        </w:rPr>
        <w:footnoteRef/>
      </w:r>
      <w:r>
        <w:t xml:space="preserve"> </w:t>
      </w:r>
      <w:r w:rsidRPr="00CF6271">
        <w:t>P</w:t>
      </w:r>
      <w:r>
        <w:t xml:space="preserve">G&amp;E </w:t>
      </w:r>
      <w:r w:rsidR="00BD457A">
        <w:t>Final</w:t>
      </w:r>
      <w:r>
        <w:t xml:space="preserve"> </w:t>
      </w:r>
      <w:r w:rsidR="005D4F6F">
        <w:t>EIS</w:t>
      </w:r>
      <w:r w:rsidR="00D760A3">
        <w:t xml:space="preserve"> Part </w:t>
      </w:r>
      <w:r w:rsidR="005D4F6F">
        <w:t>2</w:t>
      </w:r>
      <w:r>
        <w:t xml:space="preserve"> at 21. </w:t>
      </w:r>
    </w:p>
  </w:footnote>
  <w:footnote w:id="205">
    <w:p w14:paraId="1801D552" w14:textId="74EDD96E" w:rsidR="00625464" w:rsidRDefault="00625464" w:rsidP="00625464">
      <w:pPr>
        <w:pStyle w:val="FootnoteText"/>
      </w:pPr>
      <w:r>
        <w:rPr>
          <w:rStyle w:val="FootnoteReference"/>
        </w:rPr>
        <w:footnoteRef/>
      </w:r>
      <w:r>
        <w:t xml:space="preserve"> </w:t>
      </w:r>
      <w:r w:rsidRPr="00077364">
        <w:t>S</w:t>
      </w:r>
      <w:r>
        <w:t>CE</w:t>
      </w:r>
      <w:r w:rsidR="00BD457A">
        <w:t xml:space="preserve"> Final</w:t>
      </w:r>
      <w:r>
        <w:t xml:space="preserve"> E</w:t>
      </w:r>
      <w:r w:rsidR="005D4F6F">
        <w:t>IS</w:t>
      </w:r>
      <w:r w:rsidR="00D760A3">
        <w:t xml:space="preserve"> Part </w:t>
      </w:r>
      <w:r>
        <w:t xml:space="preserve">2 at 8. </w:t>
      </w:r>
    </w:p>
  </w:footnote>
  <w:footnote w:id="206">
    <w:p w14:paraId="19617678" w14:textId="5D43FA20" w:rsidR="00625464" w:rsidRDefault="00625464" w:rsidP="00625464">
      <w:pPr>
        <w:pStyle w:val="FootnoteText"/>
      </w:pPr>
      <w:r>
        <w:rPr>
          <w:rStyle w:val="FootnoteReference"/>
        </w:rPr>
        <w:footnoteRef/>
      </w:r>
      <w:r>
        <w:t xml:space="preserve"> </w:t>
      </w:r>
      <w:r w:rsidRPr="004A0BEF">
        <w:t>S</w:t>
      </w:r>
      <w:r>
        <w:t xml:space="preserve">DG&amp;E </w:t>
      </w:r>
      <w:r w:rsidR="00FC6B08">
        <w:t>Opening Comments on May 8 Ruling</w:t>
      </w:r>
      <w:r>
        <w:t xml:space="preserve"> at 2. </w:t>
      </w:r>
    </w:p>
  </w:footnote>
  <w:footnote w:id="207">
    <w:p w14:paraId="4B0A9E9A" w14:textId="43DB4A3A" w:rsidR="00625464" w:rsidRDefault="00625464" w:rsidP="00625464">
      <w:pPr>
        <w:pStyle w:val="FootnoteText"/>
      </w:pPr>
      <w:r>
        <w:rPr>
          <w:rStyle w:val="FootnoteReference"/>
        </w:rPr>
        <w:footnoteRef/>
      </w:r>
      <w:r>
        <w:t xml:space="preserve"> SCE </w:t>
      </w:r>
      <w:r w:rsidR="00FC6B08">
        <w:t>Opening Comments on May 8 Ruling</w:t>
      </w:r>
      <w:r>
        <w:t xml:space="preserve"> at 2-3, </w:t>
      </w:r>
      <w:r w:rsidRPr="00911B7A">
        <w:t>P</w:t>
      </w:r>
      <w:r>
        <w:t>G&amp;E</w:t>
      </w:r>
      <w:r w:rsidR="00FC6B08">
        <w:t xml:space="preserve"> Opening</w:t>
      </w:r>
      <w:r>
        <w:t xml:space="preserve"> Comments on </w:t>
      </w:r>
      <w:r w:rsidR="00FC6B08">
        <w:t xml:space="preserve">May 8 Ruling at </w:t>
      </w:r>
      <w:r>
        <w:t xml:space="preserve">3-4. </w:t>
      </w:r>
    </w:p>
  </w:footnote>
  <w:footnote w:id="208">
    <w:p w14:paraId="71735EF2" w14:textId="2D58643B" w:rsidR="00625464" w:rsidRDefault="00625464" w:rsidP="00625464">
      <w:pPr>
        <w:pStyle w:val="FootnoteText"/>
      </w:pPr>
      <w:r>
        <w:rPr>
          <w:rStyle w:val="FootnoteReference"/>
        </w:rPr>
        <w:footnoteRef/>
      </w:r>
      <w:r>
        <w:t xml:space="preserve"> </w:t>
      </w:r>
      <w:r w:rsidRPr="00876215">
        <w:t>C</w:t>
      </w:r>
      <w:r w:rsidR="00BD457A">
        <w:t>al Advocates Opening C</w:t>
      </w:r>
      <w:r>
        <w:t xml:space="preserve">omments </w:t>
      </w:r>
      <w:r w:rsidR="00BD457A">
        <w:t xml:space="preserve">on May 8 Ruling at </w:t>
      </w:r>
      <w:r>
        <w:t>5.</w:t>
      </w:r>
    </w:p>
  </w:footnote>
  <w:footnote w:id="209">
    <w:p w14:paraId="720E646B" w14:textId="5CFB0F62" w:rsidR="00625464" w:rsidRDefault="00625464" w:rsidP="00625464">
      <w:pPr>
        <w:pStyle w:val="FootnoteText"/>
      </w:pPr>
      <w:r>
        <w:rPr>
          <w:rStyle w:val="FootnoteReference"/>
        </w:rPr>
        <w:footnoteRef/>
      </w:r>
      <w:r>
        <w:t xml:space="preserve"> </w:t>
      </w:r>
      <w:r w:rsidRPr="00795EC9">
        <w:t>S</w:t>
      </w:r>
      <w:r>
        <w:t>BUA</w:t>
      </w:r>
      <w:r w:rsidR="00BD457A">
        <w:t xml:space="preserve"> Opening Comments on May 8 Ruling at </w:t>
      </w:r>
      <w:r w:rsidR="00FA7B65">
        <w:t>5</w:t>
      </w:r>
      <w:r>
        <w:t>.</w:t>
      </w:r>
    </w:p>
  </w:footnote>
  <w:footnote w:id="210">
    <w:p w14:paraId="2D2F5C7A" w14:textId="203C9163" w:rsidR="00625464" w:rsidRDefault="00625464" w:rsidP="00625464">
      <w:pPr>
        <w:pStyle w:val="FootnoteText"/>
      </w:pPr>
      <w:r>
        <w:rPr>
          <w:rStyle w:val="FootnoteReference"/>
        </w:rPr>
        <w:footnoteRef/>
      </w:r>
      <w:r>
        <w:t xml:space="preserve"> EDF </w:t>
      </w:r>
      <w:r w:rsidR="00BD457A">
        <w:t xml:space="preserve">Opening </w:t>
      </w:r>
      <w:r>
        <w:t xml:space="preserve">Comments on </w:t>
      </w:r>
      <w:r w:rsidR="00BD457A">
        <w:t xml:space="preserve">May 8 Ruling at </w:t>
      </w:r>
      <w:r>
        <w:t>3.</w:t>
      </w:r>
    </w:p>
  </w:footnote>
  <w:footnote w:id="211">
    <w:p w14:paraId="0CFB74B0" w14:textId="0BBAED4A" w:rsidR="00625464" w:rsidRPr="00195120" w:rsidRDefault="00625464" w:rsidP="00625464">
      <w:pPr>
        <w:pStyle w:val="FootnoteText"/>
      </w:pPr>
      <w:r>
        <w:rPr>
          <w:rStyle w:val="FootnoteReference"/>
        </w:rPr>
        <w:footnoteRef/>
      </w:r>
      <w:r>
        <w:t xml:space="preserve"> </w:t>
      </w:r>
      <w:r>
        <w:rPr>
          <w:i/>
          <w:iCs/>
        </w:rPr>
        <w:t>I</w:t>
      </w:r>
      <w:r w:rsidR="00CE105E">
        <w:rPr>
          <w:i/>
          <w:iCs/>
        </w:rPr>
        <w:t>bi</w:t>
      </w:r>
      <w:r>
        <w:rPr>
          <w:i/>
          <w:iCs/>
        </w:rPr>
        <w:t>d</w:t>
      </w:r>
      <w:r>
        <w:t>.</w:t>
      </w:r>
    </w:p>
  </w:footnote>
  <w:footnote w:id="212">
    <w:p w14:paraId="25B8388A" w14:textId="04ABCFC5" w:rsidR="00625464" w:rsidRPr="002C3D3C" w:rsidRDefault="00625464" w:rsidP="00625464">
      <w:pPr>
        <w:pStyle w:val="FootnoteText"/>
      </w:pPr>
      <w:r>
        <w:rPr>
          <w:rStyle w:val="FootnoteReference"/>
        </w:rPr>
        <w:footnoteRef/>
      </w:r>
      <w:r>
        <w:t xml:space="preserve"> </w:t>
      </w:r>
      <w:r>
        <w:rPr>
          <w:i/>
          <w:iCs/>
        </w:rPr>
        <w:t>I</w:t>
      </w:r>
      <w:r w:rsidR="00CE105E">
        <w:rPr>
          <w:i/>
          <w:iCs/>
        </w:rPr>
        <w:t>bi</w:t>
      </w:r>
      <w:r>
        <w:rPr>
          <w:i/>
          <w:iCs/>
        </w:rPr>
        <w:t>d</w:t>
      </w:r>
      <w:r>
        <w:t>.</w:t>
      </w:r>
    </w:p>
  </w:footnote>
  <w:footnote w:id="213">
    <w:p w14:paraId="770DB438" w14:textId="6D6665A2" w:rsidR="0090638F" w:rsidRDefault="0090638F">
      <w:pPr>
        <w:pStyle w:val="FootnoteText"/>
      </w:pPr>
      <w:r>
        <w:rPr>
          <w:rStyle w:val="FootnoteReference"/>
        </w:rPr>
        <w:footnoteRef/>
      </w:r>
      <w:r>
        <w:t xml:space="preserve"> Clean Coalition Opening Comments on May 8 Ruling at 3.</w:t>
      </w:r>
    </w:p>
  </w:footnote>
  <w:footnote w:id="214">
    <w:p w14:paraId="275DCD3E" w14:textId="4E4C9572" w:rsidR="00625464" w:rsidRDefault="00625464" w:rsidP="00625464">
      <w:pPr>
        <w:pStyle w:val="FootnoteText"/>
      </w:pPr>
      <w:r>
        <w:rPr>
          <w:rStyle w:val="FootnoteReference"/>
        </w:rPr>
        <w:footnoteRef/>
      </w:r>
      <w:r>
        <w:t xml:space="preserve"> </w:t>
      </w:r>
      <w:r w:rsidRPr="00CF6271">
        <w:t>P</w:t>
      </w:r>
      <w:r>
        <w:t xml:space="preserve">G&amp;E </w:t>
      </w:r>
      <w:r w:rsidR="009038DB">
        <w:t xml:space="preserve">Opening Comments on May 8 Ruling </w:t>
      </w:r>
      <w:r>
        <w:t xml:space="preserve">at 21, </w:t>
      </w:r>
      <w:r w:rsidRPr="00077364">
        <w:t>S</w:t>
      </w:r>
      <w:r>
        <w:t xml:space="preserve">CE </w:t>
      </w:r>
      <w:r w:rsidR="009038DB">
        <w:t xml:space="preserve">Opening Comments on May 8 Ruling at </w:t>
      </w:r>
      <w:r>
        <w:t xml:space="preserve">9. </w:t>
      </w:r>
    </w:p>
  </w:footnote>
  <w:footnote w:id="215">
    <w:p w14:paraId="54978576" w14:textId="2DDD39EC" w:rsidR="00625464" w:rsidRDefault="00625464" w:rsidP="00625464">
      <w:pPr>
        <w:pStyle w:val="FootnoteText"/>
      </w:pPr>
      <w:r>
        <w:rPr>
          <w:rStyle w:val="FootnoteReference"/>
        </w:rPr>
        <w:footnoteRef/>
      </w:r>
      <w:r>
        <w:t xml:space="preserve"> SDG&amp;E </w:t>
      </w:r>
      <w:r w:rsidR="00AE3D26">
        <w:t>Final EIS</w:t>
      </w:r>
      <w:r w:rsidR="00D760A3">
        <w:t xml:space="preserve"> Part </w:t>
      </w:r>
      <w:r w:rsidRPr="00A5213B">
        <w:t>2</w:t>
      </w:r>
      <w:r>
        <w:t xml:space="preserve"> at 5. </w:t>
      </w:r>
    </w:p>
  </w:footnote>
  <w:footnote w:id="216">
    <w:p w14:paraId="53E7D3B6" w14:textId="72572228" w:rsidR="00625464" w:rsidRDefault="00625464" w:rsidP="00625464">
      <w:pPr>
        <w:pStyle w:val="FootnoteText"/>
      </w:pPr>
      <w:r>
        <w:rPr>
          <w:rStyle w:val="FootnoteReference"/>
        </w:rPr>
        <w:footnoteRef/>
      </w:r>
      <w:r>
        <w:t xml:space="preserve"> </w:t>
      </w:r>
      <w:r w:rsidRPr="00077364">
        <w:t>S</w:t>
      </w:r>
      <w:r>
        <w:t>CE</w:t>
      </w:r>
      <w:r w:rsidR="00B94F4F">
        <w:t xml:space="preserve"> Final</w:t>
      </w:r>
      <w:r>
        <w:t xml:space="preserve"> E</w:t>
      </w:r>
      <w:r w:rsidR="00B94F4F">
        <w:t>IS</w:t>
      </w:r>
      <w:r w:rsidR="00D760A3">
        <w:t xml:space="preserve"> Part </w:t>
      </w:r>
      <w:r w:rsidR="00B94F4F">
        <w:t>2</w:t>
      </w:r>
      <w:r>
        <w:t xml:space="preserve"> at 11. </w:t>
      </w:r>
    </w:p>
  </w:footnote>
  <w:footnote w:id="217">
    <w:p w14:paraId="00494999" w14:textId="2745FE63" w:rsidR="0057050C" w:rsidRPr="004D35DF" w:rsidRDefault="0057050C" w:rsidP="0057050C">
      <w:pPr>
        <w:pStyle w:val="FootnoteText"/>
      </w:pPr>
      <w:r>
        <w:rPr>
          <w:rStyle w:val="FootnoteReference"/>
        </w:rPr>
        <w:footnoteRef/>
      </w:r>
      <w:r>
        <w:t xml:space="preserve"> PG&amp;E Opening Comments on May 8 Ruling at 4-5, SCE Opening Comments on May 8 Ruling at 3-4, SDG&amp;E Opening Comments on May </w:t>
      </w:r>
      <w:r w:rsidR="00077724">
        <w:t>8 Ruling</w:t>
      </w:r>
      <w:r>
        <w:t xml:space="preserve"> at 3-4, Cal Advocates Opening Comments on May 8 Ruling at 3-4.</w:t>
      </w:r>
    </w:p>
  </w:footnote>
  <w:footnote w:id="218">
    <w:p w14:paraId="5A314C71" w14:textId="3FE8747E" w:rsidR="007E381A" w:rsidRDefault="007E381A">
      <w:pPr>
        <w:pStyle w:val="FootnoteText"/>
      </w:pPr>
      <w:r>
        <w:rPr>
          <w:rStyle w:val="FootnoteReference"/>
        </w:rPr>
        <w:footnoteRef/>
      </w:r>
      <w:r>
        <w:t xml:space="preserve"> SBUA Opening Comments on May 8 Ruling at 5</w:t>
      </w:r>
      <w:r w:rsidR="00176C95">
        <w:t>-6.</w:t>
      </w:r>
    </w:p>
  </w:footnote>
  <w:footnote w:id="219">
    <w:p w14:paraId="0F727BCA" w14:textId="433CE22C" w:rsidR="0057050C" w:rsidRDefault="0057050C">
      <w:pPr>
        <w:pStyle w:val="FootnoteText"/>
      </w:pPr>
      <w:r>
        <w:rPr>
          <w:rStyle w:val="FootnoteReference"/>
        </w:rPr>
        <w:footnoteRef/>
      </w:r>
      <w:r>
        <w:t xml:space="preserve"> PG&amp;E Opening Comments on May 8 Ruling at 4-5, SCE Opening Comments on May 8 Ruling at 3-4, SDG&amp;E Opening Comments on May </w:t>
      </w:r>
      <w:r w:rsidR="00077724">
        <w:t>8 Ruling</w:t>
      </w:r>
      <w:r>
        <w:t xml:space="preserve"> at 3-4, Cal Advocates Opening Comments on May 8 Ruling at 3-4.</w:t>
      </w:r>
    </w:p>
  </w:footnote>
  <w:footnote w:id="220">
    <w:p w14:paraId="2D3E27BD" w14:textId="77777777" w:rsidR="00587C71" w:rsidRDefault="00587C71" w:rsidP="00587C71">
      <w:pPr>
        <w:pStyle w:val="FootnoteText"/>
      </w:pPr>
      <w:r>
        <w:rPr>
          <w:rStyle w:val="FootnoteReference"/>
        </w:rPr>
        <w:footnoteRef/>
      </w:r>
      <w:r>
        <w:t xml:space="preserve"> EDF Opening Comments on May 8 Ruling at 3-4.</w:t>
      </w:r>
    </w:p>
  </w:footnote>
  <w:footnote w:id="221">
    <w:p w14:paraId="2BE2D486" w14:textId="2ACCF082" w:rsidR="00891553" w:rsidRDefault="00891553">
      <w:pPr>
        <w:pStyle w:val="FootnoteText"/>
      </w:pPr>
      <w:r>
        <w:rPr>
          <w:rStyle w:val="FootnoteReference"/>
        </w:rPr>
        <w:footnoteRef/>
      </w:r>
      <w:r>
        <w:t xml:space="preserve"> VGIC Opening Comments on May 8 Ruling at 4-5.</w:t>
      </w:r>
    </w:p>
  </w:footnote>
  <w:footnote w:id="222">
    <w:p w14:paraId="6DB847B1" w14:textId="11BD9365" w:rsidR="00757285" w:rsidRDefault="00757285">
      <w:pPr>
        <w:pStyle w:val="FootnoteText"/>
      </w:pPr>
      <w:r>
        <w:rPr>
          <w:rStyle w:val="FootnoteReference"/>
        </w:rPr>
        <w:footnoteRef/>
      </w:r>
      <w:r>
        <w:t xml:space="preserve"> CalCCA Opening Comments on May 8 Ruling at 9-10.</w:t>
      </w:r>
    </w:p>
  </w:footnote>
  <w:footnote w:id="223">
    <w:p w14:paraId="1AB2A78F" w14:textId="30CC4243" w:rsidR="0057050C" w:rsidRDefault="0057050C">
      <w:pPr>
        <w:pStyle w:val="FootnoteText"/>
      </w:pPr>
      <w:r>
        <w:rPr>
          <w:rStyle w:val="FootnoteReference"/>
        </w:rPr>
        <w:footnoteRef/>
      </w:r>
      <w:r>
        <w:t xml:space="preserve"> EDF Opening Comments on May 8 Ruling at 3-4, VGIC Opening Comments on May 8 Ruling at 4-5, CalCCA Opening Comments on May 8 Ruling at 9-10.</w:t>
      </w:r>
    </w:p>
  </w:footnote>
  <w:footnote w:id="224">
    <w:p w14:paraId="7FB1D0C5" w14:textId="596F3BB6" w:rsidR="00625464" w:rsidRPr="00412C91" w:rsidRDefault="00625464" w:rsidP="00625464">
      <w:pPr>
        <w:pStyle w:val="FootnoteText"/>
      </w:pPr>
      <w:r>
        <w:rPr>
          <w:rStyle w:val="FootnoteReference"/>
        </w:rPr>
        <w:footnoteRef/>
      </w:r>
      <w:r>
        <w:t xml:space="preserve"> </w:t>
      </w:r>
      <w:r w:rsidR="0057050C" w:rsidRPr="00911B7A">
        <w:t>P</w:t>
      </w:r>
      <w:r w:rsidR="0057050C">
        <w:t xml:space="preserve">G&amp;E Opening Comments on May 8 Ruling at 4-5, </w:t>
      </w:r>
      <w:r w:rsidR="0057050C" w:rsidRPr="004A0BEF">
        <w:t>S</w:t>
      </w:r>
      <w:r w:rsidR="0057050C">
        <w:t>DG&amp;E Opening Comments on May 8 Ruling at 3-4.</w:t>
      </w:r>
      <w:r>
        <w:t xml:space="preserve"> </w:t>
      </w:r>
    </w:p>
  </w:footnote>
  <w:footnote w:id="225">
    <w:p w14:paraId="63A305BB" w14:textId="268A0536" w:rsidR="00625464" w:rsidRDefault="00625464" w:rsidP="00625464">
      <w:pPr>
        <w:pStyle w:val="FootnoteText"/>
      </w:pPr>
      <w:r>
        <w:rPr>
          <w:rStyle w:val="FootnoteReference"/>
        </w:rPr>
        <w:footnoteRef/>
      </w:r>
      <w:r>
        <w:t xml:space="preserve"> </w:t>
      </w:r>
      <w:r w:rsidRPr="00911B7A">
        <w:t>P</w:t>
      </w:r>
      <w:r>
        <w:t>G&amp;E</w:t>
      </w:r>
      <w:r w:rsidR="002730BC">
        <w:t xml:space="preserve"> Opening</w:t>
      </w:r>
      <w:r>
        <w:t xml:space="preserve"> Comments on </w:t>
      </w:r>
      <w:r w:rsidR="002730BC">
        <w:t xml:space="preserve">May 8 Ruling </w:t>
      </w:r>
      <w:r>
        <w:t>at 4-5</w:t>
      </w:r>
      <w:r w:rsidR="00D60E93">
        <w:t>,</w:t>
      </w:r>
      <w:r>
        <w:t xml:space="preserve"> </w:t>
      </w:r>
      <w:r w:rsidRPr="004A0BEF">
        <w:t>S</w:t>
      </w:r>
      <w:r>
        <w:t xml:space="preserve">DG&amp;E Opening </w:t>
      </w:r>
      <w:r w:rsidR="002730BC">
        <w:t xml:space="preserve">Comments on May 8 Ruling </w:t>
      </w:r>
      <w:r>
        <w:t>at 3-4.</w:t>
      </w:r>
    </w:p>
  </w:footnote>
  <w:footnote w:id="226">
    <w:p w14:paraId="001FD3FE" w14:textId="66409EAF" w:rsidR="00625464" w:rsidRDefault="00625464" w:rsidP="00625464">
      <w:pPr>
        <w:pStyle w:val="FootnoteText"/>
      </w:pPr>
      <w:r>
        <w:rPr>
          <w:rStyle w:val="FootnoteReference"/>
        </w:rPr>
        <w:footnoteRef/>
      </w:r>
      <w:r>
        <w:t xml:space="preserve"> </w:t>
      </w:r>
      <w:r w:rsidRPr="00911B7A">
        <w:t>P</w:t>
      </w:r>
      <w:r>
        <w:t>G&amp;E</w:t>
      </w:r>
      <w:r w:rsidR="002730BC">
        <w:t xml:space="preserve"> Opening Comments on May 8 Ruling</w:t>
      </w:r>
      <w:r>
        <w:t xml:space="preserve"> at 4.</w:t>
      </w:r>
    </w:p>
  </w:footnote>
  <w:footnote w:id="227">
    <w:p w14:paraId="601470D1" w14:textId="4CA621E2" w:rsidR="00625464" w:rsidRDefault="00625464" w:rsidP="00625464">
      <w:pPr>
        <w:pStyle w:val="FootnoteText"/>
      </w:pPr>
      <w:r>
        <w:rPr>
          <w:rStyle w:val="FootnoteReference"/>
        </w:rPr>
        <w:footnoteRef/>
      </w:r>
      <w:r>
        <w:t xml:space="preserve"> </w:t>
      </w:r>
      <w:r w:rsidRPr="004A0BEF">
        <w:t>S</w:t>
      </w:r>
      <w:r>
        <w:t xml:space="preserve">DG&amp;E </w:t>
      </w:r>
      <w:r w:rsidR="002730BC">
        <w:t>Opening Comments on May 8 Ruling</w:t>
      </w:r>
      <w:r>
        <w:t xml:space="preserve"> at 3.</w:t>
      </w:r>
    </w:p>
  </w:footnote>
  <w:footnote w:id="228">
    <w:p w14:paraId="0B38EEF4" w14:textId="05788588" w:rsidR="00625464" w:rsidRDefault="00625464" w:rsidP="00625464">
      <w:pPr>
        <w:pStyle w:val="FootnoteText"/>
      </w:pPr>
      <w:r>
        <w:rPr>
          <w:rStyle w:val="FootnoteReference"/>
        </w:rPr>
        <w:footnoteRef/>
      </w:r>
      <w:r>
        <w:t xml:space="preserve"> </w:t>
      </w:r>
      <w:r w:rsidR="008D56CB">
        <w:t xml:space="preserve">Cal Advocates </w:t>
      </w:r>
      <w:r w:rsidRPr="00876215">
        <w:t>C</w:t>
      </w:r>
      <w:r>
        <w:t>omments o</w:t>
      </w:r>
      <w:r w:rsidR="008D56CB">
        <w:t>n May 8 Ruling</w:t>
      </w:r>
      <w:r>
        <w:t xml:space="preserve"> at 6-7.</w:t>
      </w:r>
    </w:p>
  </w:footnote>
  <w:footnote w:id="229">
    <w:p w14:paraId="2233AD28" w14:textId="031A1D7A" w:rsidR="00625464" w:rsidRDefault="00625464" w:rsidP="00625464">
      <w:pPr>
        <w:pStyle w:val="FootnoteText"/>
      </w:pPr>
      <w:r>
        <w:rPr>
          <w:rStyle w:val="FootnoteReference"/>
        </w:rPr>
        <w:footnoteRef/>
      </w:r>
      <w:r>
        <w:t xml:space="preserve"> S</w:t>
      </w:r>
      <w:r w:rsidR="008D56CB">
        <w:t>CE</w:t>
      </w:r>
      <w:r>
        <w:t xml:space="preserve"> Opening </w:t>
      </w:r>
      <w:r w:rsidR="008D56CB">
        <w:t>C</w:t>
      </w:r>
      <w:r>
        <w:t xml:space="preserve">omments on </w:t>
      </w:r>
      <w:r w:rsidR="008D56CB">
        <w:t>May 8 Ruling</w:t>
      </w:r>
      <w:r>
        <w:t xml:space="preserve"> at 3.</w:t>
      </w:r>
    </w:p>
  </w:footnote>
  <w:footnote w:id="230">
    <w:p w14:paraId="338698F2" w14:textId="5DB1FB28" w:rsidR="00625464" w:rsidRPr="0045139A" w:rsidRDefault="00625464" w:rsidP="00625464">
      <w:pPr>
        <w:pStyle w:val="FootnoteText"/>
      </w:pPr>
      <w:r>
        <w:rPr>
          <w:rStyle w:val="FootnoteReference"/>
        </w:rPr>
        <w:footnoteRef/>
      </w:r>
      <w:r>
        <w:t xml:space="preserve"> </w:t>
      </w:r>
      <w:r>
        <w:rPr>
          <w:i/>
          <w:iCs/>
        </w:rPr>
        <w:t>I</w:t>
      </w:r>
      <w:r w:rsidR="008D56CB">
        <w:rPr>
          <w:i/>
          <w:iCs/>
        </w:rPr>
        <w:t>bi</w:t>
      </w:r>
      <w:r>
        <w:rPr>
          <w:i/>
          <w:iCs/>
        </w:rPr>
        <w:t>d</w:t>
      </w:r>
      <w:r>
        <w:t>.</w:t>
      </w:r>
    </w:p>
  </w:footnote>
  <w:footnote w:id="231">
    <w:p w14:paraId="5B4E1DE4" w14:textId="5970C961" w:rsidR="00295861" w:rsidRDefault="00295861">
      <w:pPr>
        <w:pStyle w:val="FootnoteText"/>
      </w:pPr>
      <w:r>
        <w:rPr>
          <w:rStyle w:val="FootnoteReference"/>
        </w:rPr>
        <w:footnoteRef/>
      </w:r>
      <w:r>
        <w:t xml:space="preserve"> </w:t>
      </w:r>
      <w:r w:rsidRPr="00295861">
        <w:rPr>
          <w:i/>
          <w:iCs/>
        </w:rPr>
        <w:t>Id. at 2.</w:t>
      </w:r>
    </w:p>
  </w:footnote>
  <w:footnote w:id="232">
    <w:p w14:paraId="0038193A" w14:textId="20F5D289" w:rsidR="00295861" w:rsidRDefault="00295861">
      <w:pPr>
        <w:pStyle w:val="FootnoteText"/>
      </w:pPr>
      <w:r>
        <w:rPr>
          <w:rStyle w:val="FootnoteReference"/>
        </w:rPr>
        <w:footnoteRef/>
      </w:r>
      <w:r>
        <w:t xml:space="preserve"> PG&amp;E Opening Comments on May 8 Ruling at 1, SCE Opening Comments on May 8 Ruling at 4, and SDG&amp;E Opening Comments on May 8 Ruling at 6.</w:t>
      </w:r>
    </w:p>
  </w:footnote>
  <w:footnote w:id="233">
    <w:p w14:paraId="2DB164FC" w14:textId="31877897" w:rsidR="00295861" w:rsidRDefault="00295861">
      <w:pPr>
        <w:pStyle w:val="FootnoteText"/>
      </w:pPr>
      <w:r>
        <w:rPr>
          <w:rStyle w:val="FootnoteReference"/>
        </w:rPr>
        <w:footnoteRef/>
      </w:r>
      <w:r>
        <w:t xml:space="preserve"> Clean Coalition Opening Comments on May 8 Ruling at 5-7</w:t>
      </w:r>
    </w:p>
  </w:footnote>
  <w:footnote w:id="234">
    <w:p w14:paraId="27C3435E" w14:textId="383114A3" w:rsidR="00295861" w:rsidRDefault="00295861">
      <w:pPr>
        <w:pStyle w:val="FootnoteText"/>
      </w:pPr>
      <w:r>
        <w:rPr>
          <w:rStyle w:val="FootnoteReference"/>
        </w:rPr>
        <w:footnoteRef/>
      </w:r>
      <w:r>
        <w:t xml:space="preserve"> UCAN Opening Comments on May 8 Ruling at 7-10.</w:t>
      </w:r>
    </w:p>
  </w:footnote>
  <w:footnote w:id="235">
    <w:p w14:paraId="4DA64558" w14:textId="413CFD5A" w:rsidR="00625464" w:rsidRDefault="00625464" w:rsidP="00625464">
      <w:pPr>
        <w:pStyle w:val="FootnoteText"/>
      </w:pPr>
      <w:r>
        <w:rPr>
          <w:rStyle w:val="FootnoteReference"/>
        </w:rPr>
        <w:footnoteRef/>
      </w:r>
      <w:r>
        <w:t xml:space="preserve"> VGIC </w:t>
      </w:r>
      <w:r w:rsidR="008D56CB">
        <w:t xml:space="preserve">Comments on May 8 Ruling at </w:t>
      </w:r>
      <w:r>
        <w:t>4-5.</w:t>
      </w:r>
    </w:p>
  </w:footnote>
  <w:footnote w:id="236">
    <w:p w14:paraId="7EBF1B1B" w14:textId="5CF1A56C" w:rsidR="00625464" w:rsidRDefault="00625464" w:rsidP="00625464">
      <w:pPr>
        <w:pStyle w:val="FootnoteText"/>
      </w:pPr>
      <w:r>
        <w:rPr>
          <w:rStyle w:val="FootnoteReference"/>
        </w:rPr>
        <w:footnoteRef/>
      </w:r>
      <w:r>
        <w:t xml:space="preserve"> EDF Comments on </w:t>
      </w:r>
      <w:r w:rsidR="008D56CB">
        <w:t>May 8 Ruling</w:t>
      </w:r>
      <w:r>
        <w:t xml:space="preserve"> at</w:t>
      </w:r>
      <w:r w:rsidRPr="001E45D6">
        <w:t xml:space="preserve"> </w:t>
      </w:r>
      <w:r>
        <w:t>3.</w:t>
      </w:r>
    </w:p>
  </w:footnote>
  <w:footnote w:id="237">
    <w:p w14:paraId="1E92ABF4" w14:textId="17F69D98" w:rsidR="00625464" w:rsidRDefault="00625464" w:rsidP="00625464">
      <w:pPr>
        <w:pStyle w:val="FootnoteText"/>
      </w:pPr>
      <w:r>
        <w:rPr>
          <w:rStyle w:val="FootnoteReference"/>
        </w:rPr>
        <w:footnoteRef/>
      </w:r>
      <w:r>
        <w:t xml:space="preserve"> </w:t>
      </w:r>
      <w:r w:rsidRPr="001A548C">
        <w:t>C</w:t>
      </w:r>
      <w:r>
        <w:t xml:space="preserve">alCCA’s Comments </w:t>
      </w:r>
      <w:r w:rsidR="00FA7B65">
        <w:t xml:space="preserve">on May 8 Ruling at </w:t>
      </w:r>
      <w:r>
        <w:t>4.</w:t>
      </w:r>
    </w:p>
  </w:footnote>
  <w:footnote w:id="238">
    <w:p w14:paraId="44BD4C4B" w14:textId="28556B36" w:rsidR="00347546" w:rsidRDefault="00347546" w:rsidP="00347546">
      <w:pPr>
        <w:pStyle w:val="FootnoteText"/>
      </w:pPr>
      <w:r>
        <w:rPr>
          <w:rStyle w:val="FootnoteReference"/>
        </w:rPr>
        <w:footnoteRef/>
      </w:r>
      <w:r>
        <w:t xml:space="preserve"> PG&amp;E Final EIS</w:t>
      </w:r>
      <w:r w:rsidR="00D760A3">
        <w:t xml:space="preserve"> Part </w:t>
      </w:r>
      <w:r>
        <w:t>2 at 40, SCE Final EIS</w:t>
      </w:r>
      <w:r w:rsidR="00D760A3">
        <w:t xml:space="preserve"> Part </w:t>
      </w:r>
      <w:r>
        <w:t>2 at 5, SDGE Final EIS2</w:t>
      </w:r>
      <w:r w:rsidR="00D760A3">
        <w:t xml:space="preserve"> Part 2</w:t>
      </w:r>
      <w:r>
        <w:t xml:space="preserve"> at 1.</w:t>
      </w:r>
    </w:p>
  </w:footnote>
  <w:footnote w:id="239">
    <w:p w14:paraId="30BFE565" w14:textId="6D70FE0E" w:rsidR="00466684" w:rsidRDefault="00466684">
      <w:pPr>
        <w:pStyle w:val="FootnoteText"/>
      </w:pPr>
      <w:r>
        <w:rPr>
          <w:rStyle w:val="FootnoteReference"/>
        </w:rPr>
        <w:footnoteRef/>
      </w:r>
      <w:r>
        <w:t xml:space="preserve"> PG&amp;E Opening Comments on May 8 Ruling at 3-5.</w:t>
      </w:r>
    </w:p>
  </w:footnote>
  <w:footnote w:id="240">
    <w:p w14:paraId="11FA01E4" w14:textId="11C3321A" w:rsidR="00780B35" w:rsidRDefault="00780B35">
      <w:pPr>
        <w:pStyle w:val="FootnoteText"/>
      </w:pPr>
      <w:r>
        <w:rPr>
          <w:rStyle w:val="FootnoteReference"/>
        </w:rPr>
        <w:footnoteRef/>
      </w:r>
      <w:r>
        <w:t xml:space="preserve"> </w:t>
      </w:r>
      <w:r w:rsidR="007C40D8">
        <w:t xml:space="preserve">SDG&amp;E Opening Comments on May 8 Ruling at </w:t>
      </w:r>
      <w:r w:rsidR="00847F16">
        <w:t xml:space="preserve">4 and </w:t>
      </w:r>
      <w:r w:rsidR="007C40D8">
        <w:t>6.</w:t>
      </w:r>
    </w:p>
  </w:footnote>
  <w:footnote w:id="241">
    <w:p w14:paraId="20EFE18A" w14:textId="2A890CA7" w:rsidR="00347546" w:rsidRDefault="00347546" w:rsidP="00347546">
      <w:pPr>
        <w:pStyle w:val="FootnoteText"/>
      </w:pPr>
      <w:r>
        <w:rPr>
          <w:rStyle w:val="FootnoteReference"/>
        </w:rPr>
        <w:footnoteRef/>
      </w:r>
      <w:r>
        <w:t xml:space="preserve"> SCE Opening Comments on May 8 Ruling at 4</w:t>
      </w:r>
      <w:r w:rsidR="007C40D8">
        <w:t>.</w:t>
      </w:r>
    </w:p>
  </w:footnote>
  <w:footnote w:id="242">
    <w:p w14:paraId="224F075B" w14:textId="25C5919E" w:rsidR="00287617" w:rsidRDefault="00287617">
      <w:pPr>
        <w:pStyle w:val="FootnoteText"/>
      </w:pPr>
      <w:r>
        <w:rPr>
          <w:rStyle w:val="FootnoteReference"/>
        </w:rPr>
        <w:footnoteRef/>
      </w:r>
      <w:r>
        <w:t xml:space="preserve"> Resolution E-5414 at 19-20.</w:t>
      </w:r>
    </w:p>
  </w:footnote>
  <w:footnote w:id="243">
    <w:p w14:paraId="76B2F546" w14:textId="41B0D0EC" w:rsidR="00E675F0" w:rsidRDefault="00E675F0" w:rsidP="00E675F0">
      <w:pPr>
        <w:pStyle w:val="FootnoteText"/>
      </w:pPr>
      <w:r>
        <w:rPr>
          <w:rStyle w:val="FootnoteReference"/>
        </w:rPr>
        <w:footnoteRef/>
      </w:r>
      <w:r>
        <w:t xml:space="preserve"> </w:t>
      </w:r>
      <w:r w:rsidRPr="00911B7A">
        <w:t>P</w:t>
      </w:r>
      <w:r>
        <w:t>G&amp;E Opening Comments on May 8 Ruling at 7.</w:t>
      </w:r>
    </w:p>
  </w:footnote>
  <w:footnote w:id="244">
    <w:p w14:paraId="4A787B2F" w14:textId="77777777" w:rsidR="00E675F0" w:rsidRDefault="00E675F0" w:rsidP="00E675F0">
      <w:pPr>
        <w:pStyle w:val="FootnoteText"/>
      </w:pPr>
      <w:r>
        <w:rPr>
          <w:rStyle w:val="FootnoteReference"/>
        </w:rPr>
        <w:footnoteRef/>
      </w:r>
      <w:r>
        <w:t xml:space="preserve"> </w:t>
      </w:r>
      <w:r w:rsidRPr="001D35BC">
        <w:rPr>
          <w:i/>
          <w:iCs/>
        </w:rPr>
        <w:t>Id. at 8.</w:t>
      </w:r>
    </w:p>
  </w:footnote>
  <w:footnote w:id="245">
    <w:p w14:paraId="0B1AA48D" w14:textId="77777777" w:rsidR="00E675F0" w:rsidRPr="007D06FC" w:rsidRDefault="00E675F0" w:rsidP="00E675F0">
      <w:pPr>
        <w:pStyle w:val="FootnoteText"/>
      </w:pPr>
      <w:r>
        <w:rPr>
          <w:rStyle w:val="FootnoteReference"/>
        </w:rPr>
        <w:footnoteRef/>
      </w:r>
      <w:r>
        <w:t xml:space="preserve"> </w:t>
      </w:r>
      <w:r>
        <w:rPr>
          <w:i/>
          <w:iCs/>
        </w:rPr>
        <w:t>Id</w:t>
      </w:r>
      <w:r>
        <w:t xml:space="preserve">. at 8. </w:t>
      </w:r>
    </w:p>
  </w:footnote>
  <w:footnote w:id="246">
    <w:p w14:paraId="18276CF9" w14:textId="77777777" w:rsidR="00E675F0" w:rsidRDefault="00E675F0" w:rsidP="00E675F0">
      <w:pPr>
        <w:pStyle w:val="FootnoteText"/>
      </w:pPr>
      <w:r>
        <w:rPr>
          <w:rStyle w:val="FootnoteReference"/>
        </w:rPr>
        <w:footnoteRef/>
      </w:r>
      <w:r>
        <w:t xml:space="preserve"> SCE Opening Comments on May 8 Ruling at 6.</w:t>
      </w:r>
    </w:p>
  </w:footnote>
  <w:footnote w:id="247">
    <w:p w14:paraId="3B8C4554" w14:textId="77777777" w:rsidR="00E675F0" w:rsidRPr="00B45A92" w:rsidRDefault="00E675F0" w:rsidP="00E675F0">
      <w:pPr>
        <w:pStyle w:val="FootnoteText"/>
      </w:pPr>
      <w:r>
        <w:rPr>
          <w:rStyle w:val="FootnoteReference"/>
        </w:rPr>
        <w:footnoteRef/>
      </w:r>
      <w:r>
        <w:t xml:space="preserve"> </w:t>
      </w:r>
      <w:r>
        <w:rPr>
          <w:i/>
          <w:iCs/>
        </w:rPr>
        <w:t>Ibid</w:t>
      </w:r>
      <w:r>
        <w:t>.</w:t>
      </w:r>
    </w:p>
  </w:footnote>
  <w:footnote w:id="248">
    <w:p w14:paraId="0F4C7C30" w14:textId="77777777" w:rsidR="00E675F0" w:rsidRPr="00B45A92" w:rsidRDefault="00E675F0" w:rsidP="00E675F0">
      <w:pPr>
        <w:pStyle w:val="FootnoteText"/>
      </w:pPr>
      <w:r>
        <w:rPr>
          <w:rStyle w:val="FootnoteReference"/>
        </w:rPr>
        <w:footnoteRef/>
      </w:r>
      <w:r>
        <w:t xml:space="preserve"> </w:t>
      </w:r>
      <w:r>
        <w:rPr>
          <w:i/>
          <w:iCs/>
        </w:rPr>
        <w:t>Ibid</w:t>
      </w:r>
      <w:r>
        <w:t>.</w:t>
      </w:r>
    </w:p>
  </w:footnote>
  <w:footnote w:id="249">
    <w:p w14:paraId="0444FAA8" w14:textId="77777777" w:rsidR="00E675F0" w:rsidRPr="00820502" w:rsidRDefault="00E675F0" w:rsidP="00E675F0">
      <w:pPr>
        <w:pStyle w:val="FootnoteText"/>
      </w:pPr>
      <w:r>
        <w:rPr>
          <w:rStyle w:val="FootnoteReference"/>
        </w:rPr>
        <w:footnoteRef/>
      </w:r>
      <w:r>
        <w:t xml:space="preserve"> </w:t>
      </w:r>
      <w:r w:rsidRPr="004A0BEF">
        <w:t>S</w:t>
      </w:r>
      <w:r>
        <w:t>DG&amp;E Opening Comments on May 8 Ruling at 7.</w:t>
      </w:r>
    </w:p>
  </w:footnote>
  <w:footnote w:id="250">
    <w:p w14:paraId="6550C1DE" w14:textId="77777777" w:rsidR="00E675F0" w:rsidRDefault="00E675F0" w:rsidP="00E675F0">
      <w:pPr>
        <w:pStyle w:val="FootnoteText"/>
      </w:pPr>
      <w:r>
        <w:rPr>
          <w:rStyle w:val="FootnoteReference"/>
        </w:rPr>
        <w:footnoteRef/>
      </w:r>
      <w:r>
        <w:t xml:space="preserve"> </w:t>
      </w:r>
      <w:r w:rsidRPr="00795EC9">
        <w:t>S</w:t>
      </w:r>
      <w:r>
        <w:t>BUA Opening Comments on May 8 Ruling at 8</w:t>
      </w:r>
    </w:p>
  </w:footnote>
  <w:footnote w:id="251">
    <w:p w14:paraId="662A3C62" w14:textId="77777777" w:rsidR="00E675F0" w:rsidRPr="001F16BB" w:rsidRDefault="00E675F0" w:rsidP="00E675F0">
      <w:pPr>
        <w:pStyle w:val="FootnoteText"/>
      </w:pPr>
      <w:r>
        <w:rPr>
          <w:rStyle w:val="FootnoteReference"/>
        </w:rPr>
        <w:footnoteRef/>
      </w:r>
      <w:r>
        <w:t xml:space="preserve"> </w:t>
      </w:r>
      <w:r w:rsidRPr="00154CF4">
        <w:t>C</w:t>
      </w:r>
      <w:r>
        <w:t>lean Coalition Opening Comments on May 8 Ruling at 6.</w:t>
      </w:r>
    </w:p>
  </w:footnote>
  <w:footnote w:id="252">
    <w:p w14:paraId="7D5B7A87" w14:textId="77777777" w:rsidR="00E675F0" w:rsidRDefault="00E675F0" w:rsidP="00E675F0">
      <w:pPr>
        <w:pStyle w:val="FootnoteText"/>
      </w:pPr>
      <w:r>
        <w:rPr>
          <w:rStyle w:val="FootnoteReference"/>
        </w:rPr>
        <w:footnoteRef/>
      </w:r>
      <w:r>
        <w:t xml:space="preserve"> VGIC Opening Comments on May 8 Ruling at 6.</w:t>
      </w:r>
    </w:p>
  </w:footnote>
  <w:footnote w:id="253">
    <w:p w14:paraId="397881B5" w14:textId="77777777" w:rsidR="00E675F0" w:rsidRDefault="00E675F0" w:rsidP="00E675F0">
      <w:pPr>
        <w:pStyle w:val="FootnoteText"/>
      </w:pPr>
      <w:r>
        <w:rPr>
          <w:rStyle w:val="FootnoteReference"/>
        </w:rPr>
        <w:footnoteRef/>
      </w:r>
      <w:r>
        <w:t xml:space="preserve"> SDG&amp;E Reply Comments on May 8 Ruling at 4-5.</w:t>
      </w:r>
    </w:p>
  </w:footnote>
  <w:footnote w:id="254">
    <w:p w14:paraId="70D509FB" w14:textId="2DC965C1" w:rsidR="00F759AC" w:rsidRDefault="00F759AC">
      <w:pPr>
        <w:pStyle w:val="FootnoteText"/>
      </w:pPr>
      <w:r>
        <w:rPr>
          <w:rStyle w:val="FootnoteReference"/>
        </w:rPr>
        <w:footnoteRef/>
      </w:r>
      <w:r>
        <w:t xml:space="preserve"> WeaveGrid Opening Comments on Proposed Decision at 6.</w:t>
      </w:r>
    </w:p>
  </w:footnote>
  <w:footnote w:id="255">
    <w:p w14:paraId="54970A0E" w14:textId="564114C4" w:rsidR="00F759AC" w:rsidRDefault="00F759AC">
      <w:pPr>
        <w:pStyle w:val="FootnoteText"/>
      </w:pPr>
      <w:r>
        <w:rPr>
          <w:rStyle w:val="FootnoteReference"/>
        </w:rPr>
        <w:footnoteRef/>
      </w:r>
      <w:r>
        <w:t xml:space="preserve"> WeaveGrid Opening Comments on Proposed Decision at 6.</w:t>
      </w:r>
    </w:p>
  </w:footnote>
  <w:footnote w:id="256">
    <w:p w14:paraId="304F924B" w14:textId="52F6E404" w:rsidR="00F759AC" w:rsidRDefault="00F759AC">
      <w:pPr>
        <w:pStyle w:val="FootnoteText"/>
      </w:pPr>
      <w:r>
        <w:rPr>
          <w:rStyle w:val="FootnoteReference"/>
        </w:rPr>
        <w:footnoteRef/>
      </w:r>
      <w:r>
        <w:t xml:space="preserve"> UCAN Opening Comments on Proposed Decision at 4-5, EDF Opening Comments on Proposed Decision at 5</w:t>
      </w:r>
      <w:r w:rsidR="007A37BA">
        <w:t>, GPI Opening Comments on Proposed Decision at 7</w:t>
      </w:r>
      <w:r>
        <w:t>.</w:t>
      </w:r>
    </w:p>
  </w:footnote>
  <w:footnote w:id="257">
    <w:p w14:paraId="4EA62D36" w14:textId="5CA2C7FB" w:rsidR="00F759AC" w:rsidRDefault="00F759AC">
      <w:pPr>
        <w:pStyle w:val="FootnoteText"/>
      </w:pPr>
      <w:r>
        <w:rPr>
          <w:rStyle w:val="FootnoteReference"/>
        </w:rPr>
        <w:footnoteRef/>
      </w:r>
      <w:r>
        <w:t xml:space="preserve"> SCE Opening Comments on Proposed Decision at 2.</w:t>
      </w:r>
    </w:p>
  </w:footnote>
  <w:footnote w:id="258">
    <w:p w14:paraId="3F999CB7" w14:textId="1EC38F54" w:rsidR="00F759AC" w:rsidRDefault="00F759AC">
      <w:pPr>
        <w:pStyle w:val="FootnoteText"/>
      </w:pPr>
      <w:r>
        <w:rPr>
          <w:rStyle w:val="FootnoteReference"/>
        </w:rPr>
        <w:footnoteRef/>
      </w:r>
      <w:r>
        <w:t xml:space="preserve"> CAISO Opening Comments on Proposed Decision at 4.</w:t>
      </w:r>
    </w:p>
  </w:footnote>
  <w:footnote w:id="259">
    <w:p w14:paraId="1F2B62E7" w14:textId="0C03DB01" w:rsidR="007A37BA" w:rsidRDefault="007A37BA">
      <w:pPr>
        <w:pStyle w:val="FootnoteText"/>
      </w:pPr>
      <w:r>
        <w:rPr>
          <w:rStyle w:val="FootnoteReference"/>
        </w:rPr>
        <w:footnoteRef/>
      </w:r>
      <w:r>
        <w:t xml:space="preserve"> GPI Opening Comments on Proposed Decision at 5.</w:t>
      </w:r>
    </w:p>
  </w:footnote>
  <w:footnote w:id="260">
    <w:p w14:paraId="3A14D76F" w14:textId="0F848628" w:rsidR="00A91EBD" w:rsidRDefault="00A91EBD">
      <w:pPr>
        <w:pStyle w:val="FootnoteText"/>
      </w:pPr>
      <w:r>
        <w:rPr>
          <w:rStyle w:val="FootnoteReference"/>
        </w:rPr>
        <w:footnoteRef/>
      </w:r>
      <w:r>
        <w:t xml:space="preserve"> PG&amp;E Opening Comments on Proposed Decision at 4-5.</w:t>
      </w:r>
    </w:p>
  </w:footnote>
  <w:footnote w:id="261">
    <w:p w14:paraId="1D805E3D" w14:textId="06E8996A" w:rsidR="00A91EBD" w:rsidRDefault="00A91EBD">
      <w:pPr>
        <w:pStyle w:val="FootnoteText"/>
      </w:pPr>
      <w:r>
        <w:rPr>
          <w:rStyle w:val="FootnoteReference"/>
        </w:rPr>
        <w:footnoteRef/>
      </w:r>
      <w:r>
        <w:t xml:space="preserve"> Cal Advocates Opening Comments on Proposed Decision at 2-4.</w:t>
      </w:r>
    </w:p>
  </w:footnote>
  <w:footnote w:id="262">
    <w:p w14:paraId="5D8E04F4" w14:textId="2D145940" w:rsidR="00A91EBD" w:rsidRDefault="00A91EBD">
      <w:pPr>
        <w:pStyle w:val="FootnoteText"/>
      </w:pPr>
      <w:r>
        <w:rPr>
          <w:rStyle w:val="FootnoteReference"/>
        </w:rPr>
        <w:footnoteRef/>
      </w:r>
      <w:r>
        <w:t xml:space="preserve"> GPI</w:t>
      </w:r>
      <w:r w:rsidRPr="00A91EBD">
        <w:t xml:space="preserve"> </w:t>
      </w:r>
      <w:r>
        <w:t>Opening Comments on Proposed Decision at 3-4.</w:t>
      </w:r>
    </w:p>
  </w:footnote>
  <w:footnote w:id="263">
    <w:p w14:paraId="4A8970BF" w14:textId="78A6ABFA" w:rsidR="00A91EBD" w:rsidRDefault="00A91EBD">
      <w:pPr>
        <w:pStyle w:val="FootnoteText"/>
      </w:pPr>
      <w:r>
        <w:rPr>
          <w:rStyle w:val="FootnoteReference"/>
        </w:rPr>
        <w:footnoteRef/>
      </w:r>
      <w:r>
        <w:t xml:space="preserve"> AEU Opening Comments on Proposed Decision at 14.</w:t>
      </w:r>
    </w:p>
  </w:footnote>
  <w:footnote w:id="264">
    <w:p w14:paraId="12DB7DDE" w14:textId="1060CBD8" w:rsidR="008D2056" w:rsidRDefault="008D2056">
      <w:pPr>
        <w:pStyle w:val="FootnoteText"/>
      </w:pPr>
      <w:r>
        <w:rPr>
          <w:rStyle w:val="FootnoteReference"/>
        </w:rPr>
        <w:footnoteRef/>
      </w:r>
      <w:r>
        <w:t xml:space="preserve"> Cal Advocates Opening Comments on Proposed Decision at 6-7.</w:t>
      </w:r>
    </w:p>
  </w:footnote>
  <w:footnote w:id="265">
    <w:p w14:paraId="4170151D" w14:textId="12738C1B" w:rsidR="00A91EBD" w:rsidRDefault="00A91EBD">
      <w:pPr>
        <w:pStyle w:val="FootnoteText"/>
      </w:pPr>
      <w:r>
        <w:rPr>
          <w:rStyle w:val="FootnoteReference"/>
        </w:rPr>
        <w:footnoteRef/>
      </w:r>
      <w:r>
        <w:t xml:space="preserve"> SDG&amp;E Opening Comments on Proposed Decision at 8, SCE Opening Comments on Proposed Decision at 5-6.</w:t>
      </w:r>
    </w:p>
  </w:footnote>
  <w:footnote w:id="266">
    <w:p w14:paraId="6572DFAF" w14:textId="5DDD5503" w:rsidR="00A91EBD" w:rsidRDefault="00A91EBD">
      <w:pPr>
        <w:pStyle w:val="FootnoteText"/>
      </w:pPr>
      <w:r>
        <w:rPr>
          <w:rStyle w:val="FootnoteReference"/>
        </w:rPr>
        <w:footnoteRef/>
      </w:r>
      <w:r>
        <w:t xml:space="preserve"> PG&amp;E Opening Comments on Proposed Decision at 2-4.</w:t>
      </w:r>
    </w:p>
  </w:footnote>
  <w:footnote w:id="267">
    <w:p w14:paraId="78806855" w14:textId="144756DE" w:rsidR="00A91EBD" w:rsidRDefault="00A91EBD">
      <w:pPr>
        <w:pStyle w:val="FootnoteText"/>
      </w:pPr>
      <w:r>
        <w:rPr>
          <w:rStyle w:val="FootnoteReference"/>
        </w:rPr>
        <w:footnoteRef/>
      </w:r>
      <w:r>
        <w:t xml:space="preserve"> SCE Opening Comments on Proposed Decision at 2-3, SDG&amp;E Opening Comments on Proposed Decision at 2-4.</w:t>
      </w:r>
    </w:p>
  </w:footnote>
  <w:footnote w:id="268">
    <w:p w14:paraId="069BA2C0" w14:textId="7B050203" w:rsidR="00A91EBD" w:rsidRDefault="00A91EBD">
      <w:pPr>
        <w:pStyle w:val="FootnoteText"/>
      </w:pPr>
      <w:r>
        <w:rPr>
          <w:rStyle w:val="FootnoteReference"/>
        </w:rPr>
        <w:footnoteRef/>
      </w:r>
      <w:r>
        <w:t xml:space="preserve"> SCE Opening Comments on Proposed Decision at 11-12.</w:t>
      </w:r>
    </w:p>
  </w:footnote>
  <w:footnote w:id="269">
    <w:p w14:paraId="369337B7" w14:textId="040FABE7" w:rsidR="00A91EBD" w:rsidRDefault="00A91EBD">
      <w:pPr>
        <w:pStyle w:val="FootnoteText"/>
      </w:pPr>
      <w:r>
        <w:rPr>
          <w:rStyle w:val="FootnoteReference"/>
        </w:rPr>
        <w:footnoteRef/>
      </w:r>
      <w:r>
        <w:t xml:space="preserve"> PG&amp;E Opening Comments on Proposed Decision at 11-12.</w:t>
      </w:r>
    </w:p>
  </w:footnote>
  <w:footnote w:id="270">
    <w:p w14:paraId="75F3A68C" w14:textId="7C46CF52" w:rsidR="00A91EBD" w:rsidRDefault="00A91EBD">
      <w:pPr>
        <w:pStyle w:val="FootnoteText"/>
      </w:pPr>
      <w:r>
        <w:rPr>
          <w:rStyle w:val="FootnoteReference"/>
        </w:rPr>
        <w:footnoteRef/>
      </w:r>
      <w:r>
        <w:t xml:space="preserve"> SDG&amp;E Opening Comments on Proposed Decision at 10-12.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E4D307" w14:textId="77777777" w:rsidR="00504735" w:rsidRDefault="0050473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ED9814" w14:textId="77777777" w:rsidR="00504735" w:rsidRDefault="0050473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278024" w14:textId="77777777" w:rsidR="00504735" w:rsidRDefault="0050473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14C97E" w14:textId="2FBA0E5F" w:rsidR="00E23CBB" w:rsidRDefault="00923DDB" w:rsidP="00EE4315">
    <w:pPr>
      <w:pStyle w:val="Header"/>
      <w:tabs>
        <w:tab w:val="clear" w:pos="4680"/>
      </w:tabs>
      <w:ind w:firstLine="0"/>
      <w:rPr>
        <w:b/>
      </w:rPr>
    </w:pPr>
    <w:r>
      <w:t>R.21-06-</w:t>
    </w:r>
    <w:proofErr w:type="gramStart"/>
    <w:r>
      <w:t>017  COM</w:t>
    </w:r>
    <w:proofErr w:type="gramEnd"/>
    <w:r>
      <w:t>/DH7/cg7</w:t>
    </w:r>
    <w:r w:rsidR="00E23CBB">
      <w:tab/>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422FE3" w14:textId="0FC62D7A" w:rsidR="00FE2351" w:rsidRDefault="00923DDB" w:rsidP="00EE4315">
    <w:pPr>
      <w:pStyle w:val="Header"/>
      <w:tabs>
        <w:tab w:val="clear" w:pos="4680"/>
      </w:tabs>
      <w:ind w:firstLine="0"/>
      <w:rPr>
        <w:b/>
      </w:rPr>
    </w:pPr>
    <w:r>
      <w:t>R.21-06-</w:t>
    </w:r>
    <w:proofErr w:type="gramStart"/>
    <w:r>
      <w:t>017  COM</w:t>
    </w:r>
    <w:proofErr w:type="gramEnd"/>
    <w:r>
      <w:t>/DH7/cg7</w:t>
    </w:r>
    <w:r w:rsidR="00FE2351">
      <w:tab/>
    </w:r>
  </w:p>
</w:hdr>
</file>

<file path=word/intelligence2.xml><?xml version="1.0" encoding="utf-8"?>
<int2:intelligence xmlns:int2="http://schemas.microsoft.com/office/intelligence/2020/intelligence" xmlns:oel="http://schemas.microsoft.com/office/2019/extlst">
  <int2:observations>
    <int2:textHash int2:hashCode="8GqoBn7uQw8tRu" int2:id="Ghxa8Wph">
      <int2:state int2:value="Rejected" int2:type="spell"/>
    </int2:textHash>
    <int2:textHash int2:hashCode="ZjiJ1sXtLwOnYp" int2:id="Ys36Kz8I">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A1C77B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CE577F"/>
    <w:multiLevelType w:val="hybridMultilevel"/>
    <w:tmpl w:val="F26CAB8C"/>
    <w:lvl w:ilvl="0" w:tplc="99EC6DFA">
      <w:start w:val="1"/>
      <w:numFmt w:val="bullet"/>
      <w:lvlText w:val=""/>
      <w:lvlJc w:val="left"/>
      <w:pPr>
        <w:ind w:left="1080" w:hanging="360"/>
      </w:pPr>
      <w:rPr>
        <w:rFonts w:ascii="Symbol" w:hAnsi="Symbol"/>
      </w:rPr>
    </w:lvl>
    <w:lvl w:ilvl="1" w:tplc="9738DD0A">
      <w:start w:val="1"/>
      <w:numFmt w:val="bullet"/>
      <w:lvlText w:val=""/>
      <w:lvlJc w:val="left"/>
      <w:pPr>
        <w:ind w:left="1080" w:hanging="360"/>
      </w:pPr>
      <w:rPr>
        <w:rFonts w:ascii="Symbol" w:hAnsi="Symbol"/>
      </w:rPr>
    </w:lvl>
    <w:lvl w:ilvl="2" w:tplc="6464D360">
      <w:start w:val="1"/>
      <w:numFmt w:val="bullet"/>
      <w:lvlText w:val=""/>
      <w:lvlJc w:val="left"/>
      <w:pPr>
        <w:ind w:left="1080" w:hanging="360"/>
      </w:pPr>
      <w:rPr>
        <w:rFonts w:ascii="Symbol" w:hAnsi="Symbol"/>
      </w:rPr>
    </w:lvl>
    <w:lvl w:ilvl="3" w:tplc="C4C67994">
      <w:start w:val="1"/>
      <w:numFmt w:val="bullet"/>
      <w:lvlText w:val=""/>
      <w:lvlJc w:val="left"/>
      <w:pPr>
        <w:ind w:left="1080" w:hanging="360"/>
      </w:pPr>
      <w:rPr>
        <w:rFonts w:ascii="Symbol" w:hAnsi="Symbol"/>
      </w:rPr>
    </w:lvl>
    <w:lvl w:ilvl="4" w:tplc="8188B316">
      <w:start w:val="1"/>
      <w:numFmt w:val="bullet"/>
      <w:lvlText w:val=""/>
      <w:lvlJc w:val="left"/>
      <w:pPr>
        <w:ind w:left="1080" w:hanging="360"/>
      </w:pPr>
      <w:rPr>
        <w:rFonts w:ascii="Symbol" w:hAnsi="Symbol"/>
      </w:rPr>
    </w:lvl>
    <w:lvl w:ilvl="5" w:tplc="C4800FD0">
      <w:start w:val="1"/>
      <w:numFmt w:val="bullet"/>
      <w:lvlText w:val=""/>
      <w:lvlJc w:val="left"/>
      <w:pPr>
        <w:ind w:left="1080" w:hanging="360"/>
      </w:pPr>
      <w:rPr>
        <w:rFonts w:ascii="Symbol" w:hAnsi="Symbol"/>
      </w:rPr>
    </w:lvl>
    <w:lvl w:ilvl="6" w:tplc="01C09CD2">
      <w:start w:val="1"/>
      <w:numFmt w:val="bullet"/>
      <w:lvlText w:val=""/>
      <w:lvlJc w:val="left"/>
      <w:pPr>
        <w:ind w:left="1080" w:hanging="360"/>
      </w:pPr>
      <w:rPr>
        <w:rFonts w:ascii="Symbol" w:hAnsi="Symbol"/>
      </w:rPr>
    </w:lvl>
    <w:lvl w:ilvl="7" w:tplc="B980FE66">
      <w:start w:val="1"/>
      <w:numFmt w:val="bullet"/>
      <w:lvlText w:val=""/>
      <w:lvlJc w:val="left"/>
      <w:pPr>
        <w:ind w:left="1080" w:hanging="360"/>
      </w:pPr>
      <w:rPr>
        <w:rFonts w:ascii="Symbol" w:hAnsi="Symbol"/>
      </w:rPr>
    </w:lvl>
    <w:lvl w:ilvl="8" w:tplc="4B44C6BE">
      <w:start w:val="1"/>
      <w:numFmt w:val="bullet"/>
      <w:lvlText w:val=""/>
      <w:lvlJc w:val="left"/>
      <w:pPr>
        <w:ind w:left="1080" w:hanging="360"/>
      </w:pPr>
      <w:rPr>
        <w:rFonts w:ascii="Symbol" w:hAnsi="Symbol"/>
      </w:rPr>
    </w:lvl>
  </w:abstractNum>
  <w:abstractNum w:abstractNumId="2" w15:restartNumberingAfterBreak="0">
    <w:nsid w:val="05DC7CA2"/>
    <w:multiLevelType w:val="multilevel"/>
    <w:tmpl w:val="3B7670E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 w15:restartNumberingAfterBreak="0">
    <w:nsid w:val="06AD50FB"/>
    <w:multiLevelType w:val="multilevel"/>
    <w:tmpl w:val="F51E3E0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 w15:restartNumberingAfterBreak="0">
    <w:nsid w:val="071AC641"/>
    <w:multiLevelType w:val="hybridMultilevel"/>
    <w:tmpl w:val="A68E2602"/>
    <w:lvl w:ilvl="0" w:tplc="A3380382">
      <w:start w:val="1"/>
      <w:numFmt w:val="bullet"/>
      <w:lvlText w:val=""/>
      <w:lvlJc w:val="left"/>
      <w:pPr>
        <w:ind w:left="720" w:hanging="360"/>
      </w:pPr>
      <w:rPr>
        <w:rFonts w:ascii="Symbol" w:hAnsi="Symbol" w:hint="default"/>
      </w:rPr>
    </w:lvl>
    <w:lvl w:ilvl="1" w:tplc="E63E8C32">
      <w:start w:val="1"/>
      <w:numFmt w:val="bullet"/>
      <w:lvlText w:val="o"/>
      <w:lvlJc w:val="left"/>
      <w:pPr>
        <w:ind w:left="1440" w:hanging="360"/>
      </w:pPr>
      <w:rPr>
        <w:rFonts w:ascii="Courier New" w:hAnsi="Courier New" w:cs="Times New Roman" w:hint="default"/>
      </w:rPr>
    </w:lvl>
    <w:lvl w:ilvl="2" w:tplc="D94AA932">
      <w:start w:val="1"/>
      <w:numFmt w:val="bullet"/>
      <w:lvlText w:val=""/>
      <w:lvlJc w:val="left"/>
      <w:pPr>
        <w:ind w:left="2160" w:hanging="360"/>
      </w:pPr>
      <w:rPr>
        <w:rFonts w:ascii="Wingdings" w:hAnsi="Wingdings" w:hint="default"/>
      </w:rPr>
    </w:lvl>
    <w:lvl w:ilvl="3" w:tplc="619AD854">
      <w:start w:val="1"/>
      <w:numFmt w:val="bullet"/>
      <w:lvlText w:val=""/>
      <w:lvlJc w:val="left"/>
      <w:pPr>
        <w:ind w:left="2880" w:hanging="360"/>
      </w:pPr>
      <w:rPr>
        <w:rFonts w:ascii="Symbol" w:hAnsi="Symbol" w:hint="default"/>
      </w:rPr>
    </w:lvl>
    <w:lvl w:ilvl="4" w:tplc="CE38B480">
      <w:start w:val="1"/>
      <w:numFmt w:val="bullet"/>
      <w:lvlText w:val="o"/>
      <w:lvlJc w:val="left"/>
      <w:pPr>
        <w:ind w:left="3600" w:hanging="360"/>
      </w:pPr>
      <w:rPr>
        <w:rFonts w:ascii="Courier New" w:hAnsi="Courier New" w:cs="Times New Roman" w:hint="default"/>
      </w:rPr>
    </w:lvl>
    <w:lvl w:ilvl="5" w:tplc="0BDC3CB8">
      <w:start w:val="1"/>
      <w:numFmt w:val="bullet"/>
      <w:lvlText w:val=""/>
      <w:lvlJc w:val="left"/>
      <w:pPr>
        <w:ind w:left="4320" w:hanging="360"/>
      </w:pPr>
      <w:rPr>
        <w:rFonts w:ascii="Wingdings" w:hAnsi="Wingdings" w:hint="default"/>
      </w:rPr>
    </w:lvl>
    <w:lvl w:ilvl="6" w:tplc="E4CE4C08">
      <w:start w:val="1"/>
      <w:numFmt w:val="bullet"/>
      <w:lvlText w:val=""/>
      <w:lvlJc w:val="left"/>
      <w:pPr>
        <w:ind w:left="5040" w:hanging="360"/>
      </w:pPr>
      <w:rPr>
        <w:rFonts w:ascii="Symbol" w:hAnsi="Symbol" w:hint="default"/>
      </w:rPr>
    </w:lvl>
    <w:lvl w:ilvl="7" w:tplc="48DEBAAE">
      <w:start w:val="1"/>
      <w:numFmt w:val="bullet"/>
      <w:lvlText w:val="o"/>
      <w:lvlJc w:val="left"/>
      <w:pPr>
        <w:ind w:left="5760" w:hanging="360"/>
      </w:pPr>
      <w:rPr>
        <w:rFonts w:ascii="Courier New" w:hAnsi="Courier New" w:cs="Times New Roman" w:hint="default"/>
      </w:rPr>
    </w:lvl>
    <w:lvl w:ilvl="8" w:tplc="4148C156">
      <w:start w:val="1"/>
      <w:numFmt w:val="bullet"/>
      <w:lvlText w:val=""/>
      <w:lvlJc w:val="left"/>
      <w:pPr>
        <w:ind w:left="6480" w:hanging="360"/>
      </w:pPr>
      <w:rPr>
        <w:rFonts w:ascii="Wingdings" w:hAnsi="Wingdings" w:hint="default"/>
      </w:rPr>
    </w:lvl>
  </w:abstractNum>
  <w:abstractNum w:abstractNumId="5" w15:restartNumberingAfterBreak="0">
    <w:nsid w:val="08EE5579"/>
    <w:multiLevelType w:val="hybridMultilevel"/>
    <w:tmpl w:val="8EAA8CC6"/>
    <w:lvl w:ilvl="0" w:tplc="FA5A08DE">
      <w:numFmt w:val="bullet"/>
      <w:lvlText w:val=""/>
      <w:lvlJc w:val="left"/>
      <w:pPr>
        <w:ind w:left="1080" w:hanging="360"/>
      </w:pPr>
      <w:rPr>
        <w:rFonts w:ascii="Symbol" w:eastAsiaTheme="minorHAnsi" w:hAnsi="Symbol" w:cstheme="minorBidi"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094F526F"/>
    <w:multiLevelType w:val="multilevel"/>
    <w:tmpl w:val="5132506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 w15:restartNumberingAfterBreak="0">
    <w:nsid w:val="137F182C"/>
    <w:multiLevelType w:val="multilevel"/>
    <w:tmpl w:val="1F7299F2"/>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8" w15:restartNumberingAfterBreak="0">
    <w:nsid w:val="146C1C14"/>
    <w:multiLevelType w:val="multilevel"/>
    <w:tmpl w:val="18F4A5AC"/>
    <w:styleLink w:val="FoFCoLOP"/>
    <w:lvl w:ilvl="0">
      <w:start w:val="1"/>
      <w:numFmt w:val="decimal"/>
      <w:pStyle w:val="OP"/>
      <w:lvlText w:val="%1."/>
      <w:lvlJc w:val="right"/>
      <w:pPr>
        <w:ind w:left="0" w:firstLine="540"/>
      </w:pPr>
      <w:rPr>
        <w:rFonts w:hint="default"/>
      </w:rPr>
    </w:lvl>
    <w:lvl w:ilvl="1">
      <w:start w:val="1"/>
      <w:numFmt w:val="lowerLetter"/>
      <w:lvlText w:val="(%2)"/>
      <w:lvlJc w:val="right"/>
      <w:pPr>
        <w:ind w:left="1152" w:hanging="72"/>
      </w:pPr>
      <w:rPr>
        <w:rFonts w:hint="default"/>
      </w:rPr>
    </w:lvl>
    <w:lvl w:ilvl="2">
      <w:start w:val="1"/>
      <w:numFmt w:val="none"/>
      <w:lvlText w:val=""/>
      <w:lvlJc w:val="left"/>
      <w:pPr>
        <w:ind w:left="720" w:firstLine="0"/>
      </w:pPr>
      <w:rPr>
        <w:rFonts w:hint="default"/>
      </w:rPr>
    </w:lvl>
    <w:lvl w:ilvl="3">
      <w:start w:val="1"/>
      <w:numFmt w:val="none"/>
      <w:lvlText w:val=""/>
      <w:lvlJc w:val="left"/>
      <w:pPr>
        <w:ind w:left="720" w:firstLine="0"/>
      </w:pPr>
      <w:rPr>
        <w:rFonts w:hint="default"/>
      </w:rPr>
    </w:lvl>
    <w:lvl w:ilvl="4">
      <w:start w:val="1"/>
      <w:numFmt w:val="none"/>
      <w:lvlText w:val=""/>
      <w:lvlJc w:val="left"/>
      <w:pPr>
        <w:ind w:left="720" w:firstLine="0"/>
      </w:pPr>
      <w:rPr>
        <w:rFonts w:hint="default"/>
      </w:rPr>
    </w:lvl>
    <w:lvl w:ilvl="5">
      <w:start w:val="1"/>
      <w:numFmt w:val="none"/>
      <w:lvlText w:val=""/>
      <w:lvlJc w:val="left"/>
      <w:pPr>
        <w:ind w:left="720" w:firstLine="0"/>
      </w:pPr>
      <w:rPr>
        <w:rFonts w:hint="default"/>
      </w:rPr>
    </w:lvl>
    <w:lvl w:ilvl="6">
      <w:start w:val="1"/>
      <w:numFmt w:val="none"/>
      <w:lvlText w:val=""/>
      <w:lvlJc w:val="left"/>
      <w:pPr>
        <w:ind w:left="720" w:firstLine="0"/>
      </w:pPr>
      <w:rPr>
        <w:rFonts w:hint="default"/>
      </w:rPr>
    </w:lvl>
    <w:lvl w:ilvl="7">
      <w:start w:val="1"/>
      <w:numFmt w:val="none"/>
      <w:lvlText w:val=""/>
      <w:lvlJc w:val="left"/>
      <w:pPr>
        <w:ind w:left="720" w:firstLine="0"/>
      </w:pPr>
      <w:rPr>
        <w:rFonts w:hint="default"/>
      </w:rPr>
    </w:lvl>
    <w:lvl w:ilvl="8">
      <w:start w:val="1"/>
      <w:numFmt w:val="none"/>
      <w:lvlText w:val=""/>
      <w:lvlJc w:val="left"/>
      <w:pPr>
        <w:ind w:left="720" w:firstLine="0"/>
      </w:pPr>
      <w:rPr>
        <w:rFonts w:hint="default"/>
      </w:rPr>
    </w:lvl>
  </w:abstractNum>
  <w:abstractNum w:abstractNumId="9" w15:restartNumberingAfterBreak="0">
    <w:nsid w:val="148909A9"/>
    <w:multiLevelType w:val="hybridMultilevel"/>
    <w:tmpl w:val="DE76E814"/>
    <w:lvl w:ilvl="0" w:tplc="162C16E6">
      <w:numFmt w:val="bullet"/>
      <w:lvlText w:val="-"/>
      <w:lvlJc w:val="left"/>
      <w:pPr>
        <w:ind w:left="1080" w:hanging="360"/>
      </w:pPr>
      <w:rPr>
        <w:rFonts w:ascii="Book Antiqua" w:eastAsiaTheme="minorHAnsi" w:hAnsi="Book Antiqua" w:cstheme="minorBidi"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15F056CB"/>
    <w:multiLevelType w:val="multilevel"/>
    <w:tmpl w:val="18F4A5AC"/>
    <w:numStyleLink w:val="FoFCoLOP"/>
  </w:abstractNum>
  <w:abstractNum w:abstractNumId="11" w15:restartNumberingAfterBreak="0">
    <w:nsid w:val="16CC41FE"/>
    <w:multiLevelType w:val="hybridMultilevel"/>
    <w:tmpl w:val="BF0CD8A2"/>
    <w:lvl w:ilvl="0" w:tplc="81C85466">
      <w:start w:val="1"/>
      <w:numFmt w:val="bullet"/>
      <w:lvlText w:val=""/>
      <w:lvlJc w:val="left"/>
      <w:pPr>
        <w:ind w:left="1440" w:hanging="360"/>
      </w:pPr>
      <w:rPr>
        <w:rFonts w:ascii="Symbol" w:hAnsi="Symbol"/>
      </w:rPr>
    </w:lvl>
    <w:lvl w:ilvl="1" w:tplc="24B8F436">
      <w:start w:val="1"/>
      <w:numFmt w:val="bullet"/>
      <w:lvlText w:val=""/>
      <w:lvlJc w:val="left"/>
      <w:pPr>
        <w:ind w:left="1440" w:hanging="360"/>
      </w:pPr>
      <w:rPr>
        <w:rFonts w:ascii="Symbol" w:hAnsi="Symbol"/>
      </w:rPr>
    </w:lvl>
    <w:lvl w:ilvl="2" w:tplc="6B94AB00">
      <w:start w:val="1"/>
      <w:numFmt w:val="bullet"/>
      <w:lvlText w:val=""/>
      <w:lvlJc w:val="left"/>
      <w:pPr>
        <w:ind w:left="1440" w:hanging="360"/>
      </w:pPr>
      <w:rPr>
        <w:rFonts w:ascii="Symbol" w:hAnsi="Symbol"/>
      </w:rPr>
    </w:lvl>
    <w:lvl w:ilvl="3" w:tplc="BA6EBA56">
      <w:start w:val="1"/>
      <w:numFmt w:val="bullet"/>
      <w:lvlText w:val=""/>
      <w:lvlJc w:val="left"/>
      <w:pPr>
        <w:ind w:left="1440" w:hanging="360"/>
      </w:pPr>
      <w:rPr>
        <w:rFonts w:ascii="Symbol" w:hAnsi="Symbol"/>
      </w:rPr>
    </w:lvl>
    <w:lvl w:ilvl="4" w:tplc="181EBF4C">
      <w:start w:val="1"/>
      <w:numFmt w:val="bullet"/>
      <w:lvlText w:val=""/>
      <w:lvlJc w:val="left"/>
      <w:pPr>
        <w:ind w:left="1440" w:hanging="360"/>
      </w:pPr>
      <w:rPr>
        <w:rFonts w:ascii="Symbol" w:hAnsi="Symbol"/>
      </w:rPr>
    </w:lvl>
    <w:lvl w:ilvl="5" w:tplc="51627EB0">
      <w:start w:val="1"/>
      <w:numFmt w:val="bullet"/>
      <w:lvlText w:val=""/>
      <w:lvlJc w:val="left"/>
      <w:pPr>
        <w:ind w:left="1440" w:hanging="360"/>
      </w:pPr>
      <w:rPr>
        <w:rFonts w:ascii="Symbol" w:hAnsi="Symbol"/>
      </w:rPr>
    </w:lvl>
    <w:lvl w:ilvl="6" w:tplc="C84A4760">
      <w:start w:val="1"/>
      <w:numFmt w:val="bullet"/>
      <w:lvlText w:val=""/>
      <w:lvlJc w:val="left"/>
      <w:pPr>
        <w:ind w:left="1440" w:hanging="360"/>
      </w:pPr>
      <w:rPr>
        <w:rFonts w:ascii="Symbol" w:hAnsi="Symbol"/>
      </w:rPr>
    </w:lvl>
    <w:lvl w:ilvl="7" w:tplc="C35ADFC4">
      <w:start w:val="1"/>
      <w:numFmt w:val="bullet"/>
      <w:lvlText w:val=""/>
      <w:lvlJc w:val="left"/>
      <w:pPr>
        <w:ind w:left="1440" w:hanging="360"/>
      </w:pPr>
      <w:rPr>
        <w:rFonts w:ascii="Symbol" w:hAnsi="Symbol"/>
      </w:rPr>
    </w:lvl>
    <w:lvl w:ilvl="8" w:tplc="001C75B6">
      <w:start w:val="1"/>
      <w:numFmt w:val="bullet"/>
      <w:lvlText w:val=""/>
      <w:lvlJc w:val="left"/>
      <w:pPr>
        <w:ind w:left="1440" w:hanging="360"/>
      </w:pPr>
      <w:rPr>
        <w:rFonts w:ascii="Symbol" w:hAnsi="Symbol"/>
      </w:rPr>
    </w:lvl>
  </w:abstractNum>
  <w:abstractNum w:abstractNumId="12" w15:restartNumberingAfterBreak="0">
    <w:nsid w:val="16E4577C"/>
    <w:multiLevelType w:val="hybridMultilevel"/>
    <w:tmpl w:val="F0ACB734"/>
    <w:lvl w:ilvl="0" w:tplc="E4EA9B10">
      <w:start w:val="1"/>
      <w:numFmt w:val="bullet"/>
      <w:lvlText w:val=""/>
      <w:lvlJc w:val="left"/>
      <w:pPr>
        <w:ind w:left="1020" w:hanging="360"/>
      </w:pPr>
      <w:rPr>
        <w:rFonts w:ascii="Symbol" w:hAnsi="Symbol"/>
      </w:rPr>
    </w:lvl>
    <w:lvl w:ilvl="1" w:tplc="2D742252">
      <w:start w:val="1"/>
      <w:numFmt w:val="bullet"/>
      <w:lvlText w:val=""/>
      <w:lvlJc w:val="left"/>
      <w:pPr>
        <w:ind w:left="1020" w:hanging="360"/>
      </w:pPr>
      <w:rPr>
        <w:rFonts w:ascii="Symbol" w:hAnsi="Symbol"/>
      </w:rPr>
    </w:lvl>
    <w:lvl w:ilvl="2" w:tplc="E9BEAE8A">
      <w:start w:val="1"/>
      <w:numFmt w:val="bullet"/>
      <w:lvlText w:val=""/>
      <w:lvlJc w:val="left"/>
      <w:pPr>
        <w:ind w:left="1020" w:hanging="360"/>
      </w:pPr>
      <w:rPr>
        <w:rFonts w:ascii="Symbol" w:hAnsi="Symbol"/>
      </w:rPr>
    </w:lvl>
    <w:lvl w:ilvl="3" w:tplc="7CC4E0C8">
      <w:start w:val="1"/>
      <w:numFmt w:val="bullet"/>
      <w:lvlText w:val=""/>
      <w:lvlJc w:val="left"/>
      <w:pPr>
        <w:ind w:left="1020" w:hanging="360"/>
      </w:pPr>
      <w:rPr>
        <w:rFonts w:ascii="Symbol" w:hAnsi="Symbol"/>
      </w:rPr>
    </w:lvl>
    <w:lvl w:ilvl="4" w:tplc="FC9A4D54">
      <w:start w:val="1"/>
      <w:numFmt w:val="bullet"/>
      <w:lvlText w:val=""/>
      <w:lvlJc w:val="left"/>
      <w:pPr>
        <w:ind w:left="1020" w:hanging="360"/>
      </w:pPr>
      <w:rPr>
        <w:rFonts w:ascii="Symbol" w:hAnsi="Symbol"/>
      </w:rPr>
    </w:lvl>
    <w:lvl w:ilvl="5" w:tplc="FA36A0DC">
      <w:start w:val="1"/>
      <w:numFmt w:val="bullet"/>
      <w:lvlText w:val=""/>
      <w:lvlJc w:val="left"/>
      <w:pPr>
        <w:ind w:left="1020" w:hanging="360"/>
      </w:pPr>
      <w:rPr>
        <w:rFonts w:ascii="Symbol" w:hAnsi="Symbol"/>
      </w:rPr>
    </w:lvl>
    <w:lvl w:ilvl="6" w:tplc="C57CB05E">
      <w:start w:val="1"/>
      <w:numFmt w:val="bullet"/>
      <w:lvlText w:val=""/>
      <w:lvlJc w:val="left"/>
      <w:pPr>
        <w:ind w:left="1020" w:hanging="360"/>
      </w:pPr>
      <w:rPr>
        <w:rFonts w:ascii="Symbol" w:hAnsi="Symbol"/>
      </w:rPr>
    </w:lvl>
    <w:lvl w:ilvl="7" w:tplc="B1269EAA">
      <w:start w:val="1"/>
      <w:numFmt w:val="bullet"/>
      <w:lvlText w:val=""/>
      <w:lvlJc w:val="left"/>
      <w:pPr>
        <w:ind w:left="1020" w:hanging="360"/>
      </w:pPr>
      <w:rPr>
        <w:rFonts w:ascii="Symbol" w:hAnsi="Symbol"/>
      </w:rPr>
    </w:lvl>
    <w:lvl w:ilvl="8" w:tplc="5C1E4FB2">
      <w:start w:val="1"/>
      <w:numFmt w:val="bullet"/>
      <w:lvlText w:val=""/>
      <w:lvlJc w:val="left"/>
      <w:pPr>
        <w:ind w:left="1020" w:hanging="360"/>
      </w:pPr>
      <w:rPr>
        <w:rFonts w:ascii="Symbol" w:hAnsi="Symbol"/>
      </w:rPr>
    </w:lvl>
  </w:abstractNum>
  <w:abstractNum w:abstractNumId="13" w15:restartNumberingAfterBreak="0">
    <w:nsid w:val="1B902918"/>
    <w:multiLevelType w:val="multilevel"/>
    <w:tmpl w:val="963C2990"/>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4" w15:restartNumberingAfterBreak="0">
    <w:nsid w:val="1CD67F4B"/>
    <w:multiLevelType w:val="hybridMultilevel"/>
    <w:tmpl w:val="C2A26642"/>
    <w:lvl w:ilvl="0" w:tplc="7A988B5E">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1D4B03EF"/>
    <w:multiLevelType w:val="hybridMultilevel"/>
    <w:tmpl w:val="295AB0C4"/>
    <w:lvl w:ilvl="0" w:tplc="DB74B0DA">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D70038F"/>
    <w:multiLevelType w:val="multilevel"/>
    <w:tmpl w:val="3C526EDE"/>
    <w:numStyleLink w:val="Headings"/>
  </w:abstractNum>
  <w:abstractNum w:abstractNumId="17" w15:restartNumberingAfterBreak="0">
    <w:nsid w:val="1E2242C9"/>
    <w:multiLevelType w:val="multilevel"/>
    <w:tmpl w:val="3C526EDE"/>
    <w:numStyleLink w:val="Headings"/>
  </w:abstractNum>
  <w:abstractNum w:abstractNumId="18" w15:restartNumberingAfterBreak="0">
    <w:nsid w:val="1F8322A4"/>
    <w:multiLevelType w:val="multilevel"/>
    <w:tmpl w:val="39B07DB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9" w15:restartNumberingAfterBreak="0">
    <w:nsid w:val="212A1DE7"/>
    <w:multiLevelType w:val="hybridMultilevel"/>
    <w:tmpl w:val="24620A12"/>
    <w:lvl w:ilvl="0" w:tplc="9B7422A6">
      <w:start w:val="1"/>
      <w:numFmt w:val="bullet"/>
      <w:lvlText w:val=""/>
      <w:lvlJc w:val="left"/>
      <w:pPr>
        <w:ind w:left="720" w:hanging="360"/>
      </w:pPr>
      <w:rPr>
        <w:rFonts w:ascii="Symbol" w:hAnsi="Symbol" w:hint="default"/>
      </w:rPr>
    </w:lvl>
    <w:lvl w:ilvl="1" w:tplc="C1AEDE74">
      <w:start w:val="1"/>
      <w:numFmt w:val="bullet"/>
      <w:lvlText w:val="o"/>
      <w:lvlJc w:val="left"/>
      <w:pPr>
        <w:ind w:left="1440" w:hanging="360"/>
      </w:pPr>
      <w:rPr>
        <w:rFonts w:ascii="Courier New" w:hAnsi="Courier New" w:cs="Times New Roman" w:hint="default"/>
      </w:rPr>
    </w:lvl>
    <w:lvl w:ilvl="2" w:tplc="9E966A2C">
      <w:start w:val="1"/>
      <w:numFmt w:val="bullet"/>
      <w:lvlText w:val=""/>
      <w:lvlJc w:val="left"/>
      <w:pPr>
        <w:ind w:left="2160" w:hanging="360"/>
      </w:pPr>
      <w:rPr>
        <w:rFonts w:ascii="Wingdings" w:hAnsi="Wingdings" w:hint="default"/>
      </w:rPr>
    </w:lvl>
    <w:lvl w:ilvl="3" w:tplc="BA42FAD2">
      <w:start w:val="1"/>
      <w:numFmt w:val="bullet"/>
      <w:lvlText w:val=""/>
      <w:lvlJc w:val="left"/>
      <w:pPr>
        <w:ind w:left="2880" w:hanging="360"/>
      </w:pPr>
      <w:rPr>
        <w:rFonts w:ascii="Symbol" w:hAnsi="Symbol" w:hint="default"/>
      </w:rPr>
    </w:lvl>
    <w:lvl w:ilvl="4" w:tplc="020CED80">
      <w:start w:val="1"/>
      <w:numFmt w:val="bullet"/>
      <w:lvlText w:val="o"/>
      <w:lvlJc w:val="left"/>
      <w:pPr>
        <w:ind w:left="3600" w:hanging="360"/>
      </w:pPr>
      <w:rPr>
        <w:rFonts w:ascii="Courier New" w:hAnsi="Courier New" w:cs="Times New Roman" w:hint="default"/>
      </w:rPr>
    </w:lvl>
    <w:lvl w:ilvl="5" w:tplc="051C5F02">
      <w:start w:val="1"/>
      <w:numFmt w:val="bullet"/>
      <w:lvlText w:val=""/>
      <w:lvlJc w:val="left"/>
      <w:pPr>
        <w:ind w:left="4320" w:hanging="360"/>
      </w:pPr>
      <w:rPr>
        <w:rFonts w:ascii="Wingdings" w:hAnsi="Wingdings" w:hint="default"/>
      </w:rPr>
    </w:lvl>
    <w:lvl w:ilvl="6" w:tplc="56044736">
      <w:start w:val="1"/>
      <w:numFmt w:val="bullet"/>
      <w:lvlText w:val=""/>
      <w:lvlJc w:val="left"/>
      <w:pPr>
        <w:ind w:left="5040" w:hanging="360"/>
      </w:pPr>
      <w:rPr>
        <w:rFonts w:ascii="Symbol" w:hAnsi="Symbol" w:hint="default"/>
      </w:rPr>
    </w:lvl>
    <w:lvl w:ilvl="7" w:tplc="5EE4D88A">
      <w:start w:val="1"/>
      <w:numFmt w:val="bullet"/>
      <w:lvlText w:val="o"/>
      <w:lvlJc w:val="left"/>
      <w:pPr>
        <w:ind w:left="5760" w:hanging="360"/>
      </w:pPr>
      <w:rPr>
        <w:rFonts w:ascii="Courier New" w:hAnsi="Courier New" w:cs="Times New Roman" w:hint="default"/>
      </w:rPr>
    </w:lvl>
    <w:lvl w:ilvl="8" w:tplc="A04869E6">
      <w:start w:val="1"/>
      <w:numFmt w:val="bullet"/>
      <w:lvlText w:val=""/>
      <w:lvlJc w:val="left"/>
      <w:pPr>
        <w:ind w:left="6480" w:hanging="360"/>
      </w:pPr>
      <w:rPr>
        <w:rFonts w:ascii="Wingdings" w:hAnsi="Wingdings" w:hint="default"/>
      </w:rPr>
    </w:lvl>
  </w:abstractNum>
  <w:abstractNum w:abstractNumId="20" w15:restartNumberingAfterBreak="0">
    <w:nsid w:val="21FB58FE"/>
    <w:multiLevelType w:val="multilevel"/>
    <w:tmpl w:val="3C526EDE"/>
    <w:numStyleLink w:val="Headings"/>
  </w:abstractNum>
  <w:abstractNum w:abstractNumId="21" w15:restartNumberingAfterBreak="0">
    <w:nsid w:val="22780ECE"/>
    <w:multiLevelType w:val="multilevel"/>
    <w:tmpl w:val="43E8A8D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2" w15:restartNumberingAfterBreak="0">
    <w:nsid w:val="22C21E13"/>
    <w:multiLevelType w:val="multilevel"/>
    <w:tmpl w:val="DFF8B3D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3" w15:restartNumberingAfterBreak="0">
    <w:nsid w:val="243663A0"/>
    <w:multiLevelType w:val="multilevel"/>
    <w:tmpl w:val="3C526EDE"/>
    <w:numStyleLink w:val="Headings"/>
  </w:abstractNum>
  <w:abstractNum w:abstractNumId="24" w15:restartNumberingAfterBreak="0">
    <w:nsid w:val="25C93EEB"/>
    <w:multiLevelType w:val="hybridMultilevel"/>
    <w:tmpl w:val="D722D35C"/>
    <w:lvl w:ilvl="0" w:tplc="B784D528">
      <w:numFmt w:val="bullet"/>
      <w:lvlText w:val=""/>
      <w:lvlJc w:val="left"/>
      <w:pPr>
        <w:ind w:left="1080" w:hanging="360"/>
      </w:pPr>
      <w:rPr>
        <w:rFonts w:ascii="Symbol" w:eastAsiaTheme="minorHAnsi" w:hAnsi="Symbol" w:cstheme="minorBidi"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267760DA"/>
    <w:multiLevelType w:val="multilevel"/>
    <w:tmpl w:val="A1244A0C"/>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6" w15:restartNumberingAfterBreak="0">
    <w:nsid w:val="27954137"/>
    <w:multiLevelType w:val="multilevel"/>
    <w:tmpl w:val="412EDA7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27CF7032"/>
    <w:multiLevelType w:val="multilevel"/>
    <w:tmpl w:val="05CCE076"/>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8" w15:restartNumberingAfterBreak="0">
    <w:nsid w:val="2A2163B4"/>
    <w:multiLevelType w:val="hybridMultilevel"/>
    <w:tmpl w:val="68EEEB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2B8124D7"/>
    <w:multiLevelType w:val="multilevel"/>
    <w:tmpl w:val="3C526EDE"/>
    <w:numStyleLink w:val="Headings"/>
  </w:abstractNum>
  <w:abstractNum w:abstractNumId="30" w15:restartNumberingAfterBreak="0">
    <w:nsid w:val="2B8D6F1E"/>
    <w:multiLevelType w:val="hybridMultilevel"/>
    <w:tmpl w:val="27926D0C"/>
    <w:lvl w:ilvl="0" w:tplc="F5C2DC80">
      <w:start w:val="1"/>
      <w:numFmt w:val="bullet"/>
      <w:lvlText w:val=""/>
      <w:lvlJc w:val="left"/>
      <w:pPr>
        <w:ind w:left="720" w:hanging="360"/>
      </w:pPr>
      <w:rPr>
        <w:rFonts w:ascii="Symbol" w:hAnsi="Symbol"/>
      </w:rPr>
    </w:lvl>
    <w:lvl w:ilvl="1" w:tplc="BA609796">
      <w:start w:val="1"/>
      <w:numFmt w:val="bullet"/>
      <w:lvlText w:val=""/>
      <w:lvlJc w:val="left"/>
      <w:pPr>
        <w:ind w:left="720" w:hanging="360"/>
      </w:pPr>
      <w:rPr>
        <w:rFonts w:ascii="Symbol" w:hAnsi="Symbol"/>
      </w:rPr>
    </w:lvl>
    <w:lvl w:ilvl="2" w:tplc="BEF079F0">
      <w:start w:val="1"/>
      <w:numFmt w:val="bullet"/>
      <w:lvlText w:val=""/>
      <w:lvlJc w:val="left"/>
      <w:pPr>
        <w:ind w:left="720" w:hanging="360"/>
      </w:pPr>
      <w:rPr>
        <w:rFonts w:ascii="Symbol" w:hAnsi="Symbol"/>
      </w:rPr>
    </w:lvl>
    <w:lvl w:ilvl="3" w:tplc="54B6642C">
      <w:start w:val="1"/>
      <w:numFmt w:val="bullet"/>
      <w:lvlText w:val=""/>
      <w:lvlJc w:val="left"/>
      <w:pPr>
        <w:ind w:left="720" w:hanging="360"/>
      </w:pPr>
      <w:rPr>
        <w:rFonts w:ascii="Symbol" w:hAnsi="Symbol"/>
      </w:rPr>
    </w:lvl>
    <w:lvl w:ilvl="4" w:tplc="41F81142">
      <w:start w:val="1"/>
      <w:numFmt w:val="bullet"/>
      <w:lvlText w:val=""/>
      <w:lvlJc w:val="left"/>
      <w:pPr>
        <w:ind w:left="720" w:hanging="360"/>
      </w:pPr>
      <w:rPr>
        <w:rFonts w:ascii="Symbol" w:hAnsi="Symbol"/>
      </w:rPr>
    </w:lvl>
    <w:lvl w:ilvl="5" w:tplc="80945420">
      <w:start w:val="1"/>
      <w:numFmt w:val="bullet"/>
      <w:lvlText w:val=""/>
      <w:lvlJc w:val="left"/>
      <w:pPr>
        <w:ind w:left="720" w:hanging="360"/>
      </w:pPr>
      <w:rPr>
        <w:rFonts w:ascii="Symbol" w:hAnsi="Symbol"/>
      </w:rPr>
    </w:lvl>
    <w:lvl w:ilvl="6" w:tplc="C9C40DCE">
      <w:start w:val="1"/>
      <w:numFmt w:val="bullet"/>
      <w:lvlText w:val=""/>
      <w:lvlJc w:val="left"/>
      <w:pPr>
        <w:ind w:left="720" w:hanging="360"/>
      </w:pPr>
      <w:rPr>
        <w:rFonts w:ascii="Symbol" w:hAnsi="Symbol"/>
      </w:rPr>
    </w:lvl>
    <w:lvl w:ilvl="7" w:tplc="DD00D806">
      <w:start w:val="1"/>
      <w:numFmt w:val="bullet"/>
      <w:lvlText w:val=""/>
      <w:lvlJc w:val="left"/>
      <w:pPr>
        <w:ind w:left="720" w:hanging="360"/>
      </w:pPr>
      <w:rPr>
        <w:rFonts w:ascii="Symbol" w:hAnsi="Symbol"/>
      </w:rPr>
    </w:lvl>
    <w:lvl w:ilvl="8" w:tplc="08C6ED9C">
      <w:start w:val="1"/>
      <w:numFmt w:val="bullet"/>
      <w:lvlText w:val=""/>
      <w:lvlJc w:val="left"/>
      <w:pPr>
        <w:ind w:left="720" w:hanging="360"/>
      </w:pPr>
      <w:rPr>
        <w:rFonts w:ascii="Symbol" w:hAnsi="Symbol"/>
      </w:rPr>
    </w:lvl>
  </w:abstractNum>
  <w:abstractNum w:abstractNumId="31" w15:restartNumberingAfterBreak="0">
    <w:nsid w:val="2C3C47BB"/>
    <w:multiLevelType w:val="multilevel"/>
    <w:tmpl w:val="CCD6CF4E"/>
    <w:lvl w:ilvl="0">
      <w:start w:val="1"/>
      <w:numFmt w:val="decimal"/>
      <w:lvlText w:val="%1."/>
      <w:lvlJc w:val="right"/>
      <w:pPr>
        <w:ind w:left="0" w:firstLine="540"/>
      </w:pPr>
      <w:rPr>
        <w:rFonts w:hint="default"/>
      </w:rPr>
    </w:lvl>
    <w:lvl w:ilvl="1">
      <w:start w:val="1"/>
      <w:numFmt w:val="lowerLetter"/>
      <w:lvlText w:val="%2."/>
      <w:lvlJc w:val="left"/>
      <w:pPr>
        <w:ind w:left="1440" w:hanging="360"/>
      </w:pPr>
    </w:lvl>
    <w:lvl w:ilvl="2">
      <w:start w:val="1"/>
      <w:numFmt w:val="none"/>
      <w:lvlText w:val=""/>
      <w:lvlJc w:val="left"/>
      <w:pPr>
        <w:ind w:left="720" w:firstLine="0"/>
      </w:pPr>
      <w:rPr>
        <w:rFonts w:hint="default"/>
      </w:rPr>
    </w:lvl>
    <w:lvl w:ilvl="3">
      <w:start w:val="1"/>
      <w:numFmt w:val="none"/>
      <w:lvlText w:val=""/>
      <w:lvlJc w:val="left"/>
      <w:pPr>
        <w:ind w:left="720" w:firstLine="0"/>
      </w:pPr>
      <w:rPr>
        <w:rFonts w:hint="default"/>
      </w:rPr>
    </w:lvl>
    <w:lvl w:ilvl="4">
      <w:start w:val="1"/>
      <w:numFmt w:val="none"/>
      <w:lvlText w:val=""/>
      <w:lvlJc w:val="left"/>
      <w:pPr>
        <w:ind w:left="720" w:firstLine="0"/>
      </w:pPr>
      <w:rPr>
        <w:rFonts w:hint="default"/>
      </w:rPr>
    </w:lvl>
    <w:lvl w:ilvl="5">
      <w:start w:val="1"/>
      <w:numFmt w:val="none"/>
      <w:lvlText w:val=""/>
      <w:lvlJc w:val="left"/>
      <w:pPr>
        <w:ind w:left="720" w:firstLine="0"/>
      </w:pPr>
      <w:rPr>
        <w:rFonts w:hint="default"/>
      </w:rPr>
    </w:lvl>
    <w:lvl w:ilvl="6">
      <w:start w:val="1"/>
      <w:numFmt w:val="none"/>
      <w:lvlText w:val=""/>
      <w:lvlJc w:val="left"/>
      <w:pPr>
        <w:ind w:left="720" w:firstLine="0"/>
      </w:pPr>
      <w:rPr>
        <w:rFonts w:hint="default"/>
      </w:rPr>
    </w:lvl>
    <w:lvl w:ilvl="7">
      <w:start w:val="1"/>
      <w:numFmt w:val="none"/>
      <w:lvlText w:val=""/>
      <w:lvlJc w:val="left"/>
      <w:pPr>
        <w:ind w:left="720" w:firstLine="0"/>
      </w:pPr>
      <w:rPr>
        <w:rFonts w:hint="default"/>
      </w:rPr>
    </w:lvl>
    <w:lvl w:ilvl="8">
      <w:start w:val="1"/>
      <w:numFmt w:val="none"/>
      <w:lvlText w:val=""/>
      <w:lvlJc w:val="left"/>
      <w:pPr>
        <w:ind w:left="720" w:firstLine="0"/>
      </w:pPr>
      <w:rPr>
        <w:rFonts w:hint="default"/>
      </w:rPr>
    </w:lvl>
  </w:abstractNum>
  <w:abstractNum w:abstractNumId="32" w15:restartNumberingAfterBreak="0">
    <w:nsid w:val="2E2A2FAF"/>
    <w:multiLevelType w:val="hybridMultilevel"/>
    <w:tmpl w:val="A33CBAA6"/>
    <w:lvl w:ilvl="0" w:tplc="73E0C106">
      <w:numFmt w:val="bullet"/>
      <w:lvlText w:val=""/>
      <w:lvlJc w:val="left"/>
      <w:pPr>
        <w:ind w:left="1440" w:hanging="360"/>
      </w:pPr>
      <w:rPr>
        <w:rFonts w:ascii="Symbol" w:eastAsiaTheme="minorHAnsi" w:hAnsi="Symbol" w:cstheme="minorBid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2F0FAB7B"/>
    <w:multiLevelType w:val="hybridMultilevel"/>
    <w:tmpl w:val="CB6ED892"/>
    <w:lvl w:ilvl="0" w:tplc="16A88F58">
      <w:start w:val="1"/>
      <w:numFmt w:val="decimal"/>
      <w:lvlText w:val="%1."/>
      <w:lvlJc w:val="left"/>
      <w:pPr>
        <w:ind w:left="720" w:hanging="360"/>
      </w:pPr>
    </w:lvl>
    <w:lvl w:ilvl="1" w:tplc="9902842A">
      <w:start w:val="1"/>
      <w:numFmt w:val="lowerLetter"/>
      <w:lvlText w:val="%2."/>
      <w:lvlJc w:val="left"/>
      <w:pPr>
        <w:ind w:left="1440" w:hanging="360"/>
      </w:pPr>
    </w:lvl>
    <w:lvl w:ilvl="2" w:tplc="AF48EDFC">
      <w:start w:val="1"/>
      <w:numFmt w:val="lowerRoman"/>
      <w:lvlText w:val="%3."/>
      <w:lvlJc w:val="right"/>
      <w:pPr>
        <w:ind w:left="2160" w:hanging="180"/>
      </w:pPr>
    </w:lvl>
    <w:lvl w:ilvl="3" w:tplc="A5C0521E">
      <w:start w:val="1"/>
      <w:numFmt w:val="decimal"/>
      <w:lvlText w:val="%4."/>
      <w:lvlJc w:val="left"/>
      <w:pPr>
        <w:ind w:left="2880" w:hanging="360"/>
      </w:pPr>
    </w:lvl>
    <w:lvl w:ilvl="4" w:tplc="DAA23162">
      <w:start w:val="1"/>
      <w:numFmt w:val="lowerLetter"/>
      <w:lvlText w:val="%5."/>
      <w:lvlJc w:val="left"/>
      <w:pPr>
        <w:ind w:left="3600" w:hanging="360"/>
      </w:pPr>
    </w:lvl>
    <w:lvl w:ilvl="5" w:tplc="E116A4F6">
      <w:start w:val="1"/>
      <w:numFmt w:val="lowerRoman"/>
      <w:lvlText w:val="%6."/>
      <w:lvlJc w:val="right"/>
      <w:pPr>
        <w:ind w:left="4320" w:hanging="180"/>
      </w:pPr>
    </w:lvl>
    <w:lvl w:ilvl="6" w:tplc="E7AE974E">
      <w:start w:val="1"/>
      <w:numFmt w:val="decimal"/>
      <w:lvlText w:val="%7."/>
      <w:lvlJc w:val="left"/>
      <w:pPr>
        <w:ind w:left="5040" w:hanging="360"/>
      </w:pPr>
    </w:lvl>
    <w:lvl w:ilvl="7" w:tplc="08D299EA">
      <w:start w:val="1"/>
      <w:numFmt w:val="lowerLetter"/>
      <w:lvlText w:val="%8."/>
      <w:lvlJc w:val="left"/>
      <w:pPr>
        <w:ind w:left="5760" w:hanging="360"/>
      </w:pPr>
    </w:lvl>
    <w:lvl w:ilvl="8" w:tplc="31980EAA">
      <w:start w:val="1"/>
      <w:numFmt w:val="lowerRoman"/>
      <w:lvlText w:val="%9."/>
      <w:lvlJc w:val="right"/>
      <w:pPr>
        <w:ind w:left="6480" w:hanging="180"/>
      </w:pPr>
    </w:lvl>
  </w:abstractNum>
  <w:abstractNum w:abstractNumId="34" w15:restartNumberingAfterBreak="0">
    <w:nsid w:val="32B16635"/>
    <w:multiLevelType w:val="hybridMultilevel"/>
    <w:tmpl w:val="976CB644"/>
    <w:lvl w:ilvl="0" w:tplc="35B25B30">
      <w:numFmt w:val="bullet"/>
      <w:lvlText w:val=""/>
      <w:lvlJc w:val="left"/>
      <w:pPr>
        <w:ind w:left="1080" w:hanging="360"/>
      </w:pPr>
      <w:rPr>
        <w:rFonts w:ascii="Symbol" w:eastAsiaTheme="minorHAnsi" w:hAnsi="Symbol" w:cstheme="minorBidi"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15:restartNumberingAfterBreak="0">
    <w:nsid w:val="331F6D42"/>
    <w:multiLevelType w:val="multilevel"/>
    <w:tmpl w:val="3C526EDE"/>
    <w:styleLink w:val="Headings"/>
    <w:lvl w:ilvl="0">
      <w:start w:val="1"/>
      <w:numFmt w:val="decimal"/>
      <w:pStyle w:val="Heading1"/>
      <w:lvlText w:val="%1."/>
      <w:lvlJc w:val="left"/>
      <w:pPr>
        <w:ind w:left="720" w:hanging="720"/>
      </w:pPr>
      <w:rPr>
        <w:rFonts w:ascii="Arial" w:hAnsi="Arial" w:hint="default"/>
        <w:b/>
        <w:i w:val="0"/>
        <w:caps w:val="0"/>
        <w:strike w:val="0"/>
        <w:dstrike w:val="0"/>
        <w:vanish w:val="0"/>
        <w:color w:val="auto"/>
        <w:kern w:val="0"/>
        <w:position w:val="0"/>
        <w:sz w:val="26"/>
        <w:u w:val="none"/>
        <w:vertAlign w:val="baseline"/>
        <w14:ligatures w14:val="none"/>
        <w14:numSpacing w14:val="default"/>
        <w14:cntxtAlts w14:val="0"/>
      </w:rPr>
    </w:lvl>
    <w:lvl w:ilvl="1">
      <w:start w:val="1"/>
      <w:numFmt w:val="decimal"/>
      <w:pStyle w:val="Heading2"/>
      <w:lvlText w:val="%1.%2."/>
      <w:lvlJc w:val="left"/>
      <w:pPr>
        <w:tabs>
          <w:tab w:val="num" w:pos="1080"/>
        </w:tabs>
        <w:ind w:left="1080" w:hanging="720"/>
      </w:pPr>
      <w:rPr>
        <w:rFonts w:ascii="Arial" w:hAnsi="Arial" w:hint="default"/>
        <w:b/>
        <w:i w:val="0"/>
        <w:caps w:val="0"/>
        <w:strike w:val="0"/>
        <w:dstrike w:val="0"/>
        <w:vanish w:val="0"/>
        <w:color w:val="auto"/>
        <w:kern w:val="0"/>
        <w:sz w:val="26"/>
        <w:u w:val="none"/>
        <w:vertAlign w:val="baseline"/>
        <w14:cntxtAlts w14:val="0"/>
      </w:rPr>
    </w:lvl>
    <w:lvl w:ilvl="2">
      <w:start w:val="1"/>
      <w:numFmt w:val="decimal"/>
      <w:pStyle w:val="Heading3"/>
      <w:lvlText w:val="%1.%2.%3."/>
      <w:lvlJc w:val="left"/>
      <w:pPr>
        <w:tabs>
          <w:tab w:val="num" w:pos="1656"/>
        </w:tabs>
        <w:ind w:left="1656" w:hanging="936"/>
      </w:pPr>
      <w:rPr>
        <w:rFonts w:ascii="Arial" w:hAnsi="Arial" w:hint="default"/>
        <w:b/>
        <w:i w:val="0"/>
        <w:caps w:val="0"/>
        <w:strike w:val="0"/>
        <w:dstrike w:val="0"/>
        <w:vanish w:val="0"/>
        <w:color w:val="auto"/>
        <w:kern w:val="0"/>
        <w:sz w:val="26"/>
        <w:u w:val="none"/>
        <w:vertAlign w:val="baseline"/>
        <w14:cntxtAlts w14:val="0"/>
      </w:rPr>
    </w:lvl>
    <w:lvl w:ilvl="3">
      <w:start w:val="1"/>
      <w:numFmt w:val="decimal"/>
      <w:pStyle w:val="Heading4"/>
      <w:lvlText w:val="%1.%2.%3.%4."/>
      <w:lvlJc w:val="left"/>
      <w:pPr>
        <w:tabs>
          <w:tab w:val="num" w:pos="2232"/>
        </w:tabs>
        <w:ind w:left="2232" w:hanging="1152"/>
      </w:pPr>
      <w:rPr>
        <w:rFonts w:ascii="Arial" w:hAnsi="Arial" w:hint="default"/>
        <w:b/>
        <w:i w:val="0"/>
        <w:caps w:val="0"/>
        <w:strike w:val="0"/>
        <w:dstrike w:val="0"/>
        <w:vanish w:val="0"/>
        <w:kern w:val="0"/>
        <w:sz w:val="26"/>
        <w:vertAlign w:val="baseline"/>
        <w14:cntxtAlts w14:val="0"/>
      </w:rPr>
    </w:lvl>
    <w:lvl w:ilvl="4">
      <w:start w:val="1"/>
      <w:numFmt w:val="decimal"/>
      <w:pStyle w:val="Heading5"/>
      <w:lvlText w:val="%1.%2.%3.%4.%5."/>
      <w:lvlJc w:val="left"/>
      <w:pPr>
        <w:tabs>
          <w:tab w:val="num" w:pos="2880"/>
        </w:tabs>
        <w:ind w:left="2880" w:hanging="1440"/>
      </w:pPr>
      <w:rPr>
        <w:rFonts w:ascii="Arial" w:hAnsi="Arial" w:hint="default"/>
        <w:b/>
        <w:i w:val="0"/>
        <w:sz w:val="26"/>
      </w:rPr>
    </w:lvl>
    <w:lvl w:ilvl="5">
      <w:start w:val="1"/>
      <w:numFmt w:val="decimal"/>
      <w:pStyle w:val="Heading6"/>
      <w:lvlText w:val="%1.%2.%3.%4.%5.%6."/>
      <w:lvlJc w:val="left"/>
      <w:pPr>
        <w:tabs>
          <w:tab w:val="num" w:pos="3528"/>
        </w:tabs>
        <w:ind w:left="3528" w:hanging="1728"/>
      </w:pPr>
      <w:rPr>
        <w:rFonts w:ascii="Arial" w:hAnsi="Arial" w:hint="default"/>
        <w:b/>
        <w:i w:val="0"/>
        <w:sz w:val="26"/>
      </w:rPr>
    </w:lvl>
    <w:lvl w:ilvl="6">
      <w:start w:val="1"/>
      <w:numFmt w:val="decimal"/>
      <w:pStyle w:val="ListNum"/>
      <w:lvlText w:val="%7."/>
      <w:lvlJc w:val="left"/>
      <w:pPr>
        <w:tabs>
          <w:tab w:val="num" w:pos="1080"/>
        </w:tabs>
        <w:ind w:left="1080" w:hanging="360"/>
      </w:pPr>
      <w:rPr>
        <w:rFonts w:ascii="Book Antiqua" w:hAnsi="Book Antiqua" w:hint="default"/>
        <w:b w:val="0"/>
        <w:i w:val="0"/>
        <w:sz w:val="26"/>
      </w:rPr>
    </w:lvl>
    <w:lvl w:ilvl="7">
      <w:start w:val="1"/>
      <w:numFmt w:val="lowerLetter"/>
      <w:pStyle w:val="ListAlpha"/>
      <w:lvlText w:val="%8."/>
      <w:lvlJc w:val="left"/>
      <w:pPr>
        <w:ind w:left="1080" w:hanging="360"/>
      </w:pPr>
      <w:rPr>
        <w:rFonts w:ascii="Book Antiqua" w:hAnsi="Book Antiqua" w:hint="default"/>
        <w:sz w:val="26"/>
      </w:rPr>
    </w:lvl>
    <w:lvl w:ilvl="8">
      <w:start w:val="1"/>
      <w:numFmt w:val="none"/>
      <w:lvlText w:val=""/>
      <w:lvlJc w:val="left"/>
      <w:pPr>
        <w:ind w:left="3240" w:hanging="360"/>
      </w:pPr>
      <w:rPr>
        <w:rFonts w:hint="default"/>
      </w:rPr>
    </w:lvl>
  </w:abstractNum>
  <w:abstractNum w:abstractNumId="36" w15:restartNumberingAfterBreak="0">
    <w:nsid w:val="34E0F0F8"/>
    <w:multiLevelType w:val="hybridMultilevel"/>
    <w:tmpl w:val="83468408"/>
    <w:lvl w:ilvl="0" w:tplc="A2FAE3FE">
      <w:start w:val="1"/>
      <w:numFmt w:val="bullet"/>
      <w:lvlText w:val=""/>
      <w:lvlJc w:val="left"/>
      <w:pPr>
        <w:ind w:left="720" w:hanging="360"/>
      </w:pPr>
      <w:rPr>
        <w:rFonts w:ascii="Symbol" w:hAnsi="Symbol" w:hint="default"/>
      </w:rPr>
    </w:lvl>
    <w:lvl w:ilvl="1" w:tplc="3A6ED894">
      <w:start w:val="1"/>
      <w:numFmt w:val="bullet"/>
      <w:lvlText w:val="o"/>
      <w:lvlJc w:val="left"/>
      <w:pPr>
        <w:ind w:left="1440" w:hanging="360"/>
      </w:pPr>
      <w:rPr>
        <w:rFonts w:ascii="Courier New" w:hAnsi="Courier New" w:cs="Times New Roman" w:hint="default"/>
      </w:rPr>
    </w:lvl>
    <w:lvl w:ilvl="2" w:tplc="2A10FBD6">
      <w:start w:val="1"/>
      <w:numFmt w:val="bullet"/>
      <w:lvlText w:val=""/>
      <w:lvlJc w:val="left"/>
      <w:pPr>
        <w:ind w:left="2160" w:hanging="360"/>
      </w:pPr>
      <w:rPr>
        <w:rFonts w:ascii="Wingdings" w:hAnsi="Wingdings" w:hint="default"/>
      </w:rPr>
    </w:lvl>
    <w:lvl w:ilvl="3" w:tplc="C98CB7A0">
      <w:start w:val="1"/>
      <w:numFmt w:val="bullet"/>
      <w:lvlText w:val=""/>
      <w:lvlJc w:val="left"/>
      <w:pPr>
        <w:ind w:left="2880" w:hanging="360"/>
      </w:pPr>
      <w:rPr>
        <w:rFonts w:ascii="Symbol" w:hAnsi="Symbol" w:hint="default"/>
      </w:rPr>
    </w:lvl>
    <w:lvl w:ilvl="4" w:tplc="1952D1A4">
      <w:start w:val="1"/>
      <w:numFmt w:val="bullet"/>
      <w:lvlText w:val="o"/>
      <w:lvlJc w:val="left"/>
      <w:pPr>
        <w:ind w:left="3600" w:hanging="360"/>
      </w:pPr>
      <w:rPr>
        <w:rFonts w:ascii="Courier New" w:hAnsi="Courier New" w:cs="Times New Roman" w:hint="default"/>
      </w:rPr>
    </w:lvl>
    <w:lvl w:ilvl="5" w:tplc="0E88FDD2">
      <w:start w:val="1"/>
      <w:numFmt w:val="bullet"/>
      <w:lvlText w:val=""/>
      <w:lvlJc w:val="left"/>
      <w:pPr>
        <w:ind w:left="4320" w:hanging="360"/>
      </w:pPr>
      <w:rPr>
        <w:rFonts w:ascii="Wingdings" w:hAnsi="Wingdings" w:hint="default"/>
      </w:rPr>
    </w:lvl>
    <w:lvl w:ilvl="6" w:tplc="0004F802">
      <w:start w:val="1"/>
      <w:numFmt w:val="bullet"/>
      <w:lvlText w:val=""/>
      <w:lvlJc w:val="left"/>
      <w:pPr>
        <w:ind w:left="5040" w:hanging="360"/>
      </w:pPr>
      <w:rPr>
        <w:rFonts w:ascii="Symbol" w:hAnsi="Symbol" w:hint="default"/>
      </w:rPr>
    </w:lvl>
    <w:lvl w:ilvl="7" w:tplc="FE7C6AB2">
      <w:start w:val="1"/>
      <w:numFmt w:val="bullet"/>
      <w:lvlText w:val="o"/>
      <w:lvlJc w:val="left"/>
      <w:pPr>
        <w:ind w:left="5760" w:hanging="360"/>
      </w:pPr>
      <w:rPr>
        <w:rFonts w:ascii="Courier New" w:hAnsi="Courier New" w:cs="Times New Roman" w:hint="default"/>
      </w:rPr>
    </w:lvl>
    <w:lvl w:ilvl="8" w:tplc="89B68814">
      <w:start w:val="1"/>
      <w:numFmt w:val="bullet"/>
      <w:lvlText w:val=""/>
      <w:lvlJc w:val="left"/>
      <w:pPr>
        <w:ind w:left="6480" w:hanging="360"/>
      </w:pPr>
      <w:rPr>
        <w:rFonts w:ascii="Wingdings" w:hAnsi="Wingdings" w:hint="default"/>
      </w:rPr>
    </w:lvl>
  </w:abstractNum>
  <w:abstractNum w:abstractNumId="37" w15:restartNumberingAfterBreak="0">
    <w:nsid w:val="350C53BC"/>
    <w:multiLevelType w:val="hybridMultilevel"/>
    <w:tmpl w:val="1A826994"/>
    <w:lvl w:ilvl="0" w:tplc="C608D53C">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15:restartNumberingAfterBreak="0">
    <w:nsid w:val="351F28A4"/>
    <w:multiLevelType w:val="multilevel"/>
    <w:tmpl w:val="9E5A4D8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9" w15:restartNumberingAfterBreak="0">
    <w:nsid w:val="36CB5525"/>
    <w:multiLevelType w:val="hybridMultilevel"/>
    <w:tmpl w:val="82CA148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15:restartNumberingAfterBreak="0">
    <w:nsid w:val="38903003"/>
    <w:multiLevelType w:val="hybridMultilevel"/>
    <w:tmpl w:val="1F766A0A"/>
    <w:lvl w:ilvl="0" w:tplc="4A7A91DC">
      <w:start w:val="1"/>
      <w:numFmt w:val="decimal"/>
      <w:lvlText w:val="%1)"/>
      <w:lvlJc w:val="left"/>
      <w:pPr>
        <w:ind w:left="720" w:hanging="360"/>
      </w:pPr>
      <w:rPr>
        <w:b/>
        <w:bCs/>
      </w:rPr>
    </w:lvl>
    <w:lvl w:ilvl="1" w:tplc="9D843D34">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38D15CCC"/>
    <w:multiLevelType w:val="multilevel"/>
    <w:tmpl w:val="6E564A4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2" w15:restartNumberingAfterBreak="0">
    <w:nsid w:val="39867E96"/>
    <w:multiLevelType w:val="multilevel"/>
    <w:tmpl w:val="061CA75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3" w15:restartNumberingAfterBreak="0">
    <w:nsid w:val="39D554D1"/>
    <w:multiLevelType w:val="hybridMultilevel"/>
    <w:tmpl w:val="0F04492E"/>
    <w:lvl w:ilvl="0" w:tplc="04090001">
      <w:start w:val="1"/>
      <w:numFmt w:val="bullet"/>
      <w:lvlText w:val=""/>
      <w:lvlJc w:val="left"/>
      <w:pPr>
        <w:ind w:left="720" w:hanging="360"/>
      </w:pPr>
      <w:rPr>
        <w:rFonts w:ascii="Symbol" w:hAnsi="Symbol" w:hint="default"/>
        <w:b/>
        <w:bCs/>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3C1C3765"/>
    <w:multiLevelType w:val="hybridMultilevel"/>
    <w:tmpl w:val="DDC0BEC8"/>
    <w:lvl w:ilvl="0" w:tplc="04090001">
      <w:start w:val="1"/>
      <w:numFmt w:val="bullet"/>
      <w:lvlText w:val=""/>
      <w:lvlJc w:val="left"/>
      <w:pPr>
        <w:ind w:left="1267" w:hanging="360"/>
      </w:pPr>
      <w:rPr>
        <w:rFonts w:ascii="Symbol" w:hAnsi="Symbol" w:hint="default"/>
      </w:rPr>
    </w:lvl>
    <w:lvl w:ilvl="1" w:tplc="04090003" w:tentative="1">
      <w:start w:val="1"/>
      <w:numFmt w:val="bullet"/>
      <w:lvlText w:val="o"/>
      <w:lvlJc w:val="left"/>
      <w:pPr>
        <w:ind w:left="1987" w:hanging="360"/>
      </w:pPr>
      <w:rPr>
        <w:rFonts w:ascii="Courier New" w:hAnsi="Courier New" w:cs="Courier New" w:hint="default"/>
      </w:rPr>
    </w:lvl>
    <w:lvl w:ilvl="2" w:tplc="04090005" w:tentative="1">
      <w:start w:val="1"/>
      <w:numFmt w:val="bullet"/>
      <w:lvlText w:val=""/>
      <w:lvlJc w:val="left"/>
      <w:pPr>
        <w:ind w:left="2707" w:hanging="360"/>
      </w:pPr>
      <w:rPr>
        <w:rFonts w:ascii="Wingdings" w:hAnsi="Wingdings" w:hint="default"/>
      </w:rPr>
    </w:lvl>
    <w:lvl w:ilvl="3" w:tplc="04090001" w:tentative="1">
      <w:start w:val="1"/>
      <w:numFmt w:val="bullet"/>
      <w:lvlText w:val=""/>
      <w:lvlJc w:val="left"/>
      <w:pPr>
        <w:ind w:left="3427" w:hanging="360"/>
      </w:pPr>
      <w:rPr>
        <w:rFonts w:ascii="Symbol" w:hAnsi="Symbol" w:hint="default"/>
      </w:rPr>
    </w:lvl>
    <w:lvl w:ilvl="4" w:tplc="04090003" w:tentative="1">
      <w:start w:val="1"/>
      <w:numFmt w:val="bullet"/>
      <w:lvlText w:val="o"/>
      <w:lvlJc w:val="left"/>
      <w:pPr>
        <w:ind w:left="4147" w:hanging="360"/>
      </w:pPr>
      <w:rPr>
        <w:rFonts w:ascii="Courier New" w:hAnsi="Courier New" w:cs="Courier New" w:hint="default"/>
      </w:rPr>
    </w:lvl>
    <w:lvl w:ilvl="5" w:tplc="04090005" w:tentative="1">
      <w:start w:val="1"/>
      <w:numFmt w:val="bullet"/>
      <w:lvlText w:val=""/>
      <w:lvlJc w:val="left"/>
      <w:pPr>
        <w:ind w:left="4867" w:hanging="360"/>
      </w:pPr>
      <w:rPr>
        <w:rFonts w:ascii="Wingdings" w:hAnsi="Wingdings" w:hint="default"/>
      </w:rPr>
    </w:lvl>
    <w:lvl w:ilvl="6" w:tplc="04090001" w:tentative="1">
      <w:start w:val="1"/>
      <w:numFmt w:val="bullet"/>
      <w:lvlText w:val=""/>
      <w:lvlJc w:val="left"/>
      <w:pPr>
        <w:ind w:left="5587" w:hanging="360"/>
      </w:pPr>
      <w:rPr>
        <w:rFonts w:ascii="Symbol" w:hAnsi="Symbol" w:hint="default"/>
      </w:rPr>
    </w:lvl>
    <w:lvl w:ilvl="7" w:tplc="04090003" w:tentative="1">
      <w:start w:val="1"/>
      <w:numFmt w:val="bullet"/>
      <w:lvlText w:val="o"/>
      <w:lvlJc w:val="left"/>
      <w:pPr>
        <w:ind w:left="6307" w:hanging="360"/>
      </w:pPr>
      <w:rPr>
        <w:rFonts w:ascii="Courier New" w:hAnsi="Courier New" w:cs="Courier New" w:hint="default"/>
      </w:rPr>
    </w:lvl>
    <w:lvl w:ilvl="8" w:tplc="04090005" w:tentative="1">
      <w:start w:val="1"/>
      <w:numFmt w:val="bullet"/>
      <w:lvlText w:val=""/>
      <w:lvlJc w:val="left"/>
      <w:pPr>
        <w:ind w:left="7027" w:hanging="360"/>
      </w:pPr>
      <w:rPr>
        <w:rFonts w:ascii="Wingdings" w:hAnsi="Wingdings" w:hint="default"/>
      </w:rPr>
    </w:lvl>
  </w:abstractNum>
  <w:abstractNum w:abstractNumId="45" w15:restartNumberingAfterBreak="0">
    <w:nsid w:val="3DBA4C67"/>
    <w:multiLevelType w:val="multilevel"/>
    <w:tmpl w:val="9F20FE1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6" w15:restartNumberingAfterBreak="0">
    <w:nsid w:val="42A7529A"/>
    <w:multiLevelType w:val="multilevel"/>
    <w:tmpl w:val="3F24D5D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7" w15:restartNumberingAfterBreak="0">
    <w:nsid w:val="49EF1EDF"/>
    <w:multiLevelType w:val="hybridMultilevel"/>
    <w:tmpl w:val="0B62F71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8" w15:restartNumberingAfterBreak="0">
    <w:nsid w:val="49FD34E6"/>
    <w:multiLevelType w:val="multilevel"/>
    <w:tmpl w:val="4ED2233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9" w15:restartNumberingAfterBreak="0">
    <w:nsid w:val="4BAB5D5A"/>
    <w:multiLevelType w:val="multilevel"/>
    <w:tmpl w:val="63E80FF2"/>
    <w:lvl w:ilvl="0">
      <w:numFmt w:val="none"/>
      <w:lvlText w:val=""/>
      <w:lvlJc w:val="left"/>
      <w:pPr>
        <w:tabs>
          <w:tab w:val="num" w:pos="360"/>
        </w:tabs>
      </w:p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50" w15:restartNumberingAfterBreak="0">
    <w:nsid w:val="4D02120B"/>
    <w:multiLevelType w:val="hybridMultilevel"/>
    <w:tmpl w:val="A1281A0C"/>
    <w:lvl w:ilvl="0" w:tplc="7E66B54C">
      <w:start w:val="1"/>
      <w:numFmt w:val="decimal"/>
      <w:lvlText w:val="%1)"/>
      <w:lvlJc w:val="left"/>
      <w:pPr>
        <w:ind w:left="1020" w:hanging="360"/>
      </w:pPr>
    </w:lvl>
    <w:lvl w:ilvl="1" w:tplc="BA888AF8">
      <w:start w:val="1"/>
      <w:numFmt w:val="decimal"/>
      <w:lvlText w:val="%2)"/>
      <w:lvlJc w:val="left"/>
      <w:pPr>
        <w:ind w:left="1020" w:hanging="360"/>
      </w:pPr>
    </w:lvl>
    <w:lvl w:ilvl="2" w:tplc="F2683FBC">
      <w:start w:val="1"/>
      <w:numFmt w:val="decimal"/>
      <w:lvlText w:val="%3)"/>
      <w:lvlJc w:val="left"/>
      <w:pPr>
        <w:ind w:left="1020" w:hanging="360"/>
      </w:pPr>
    </w:lvl>
    <w:lvl w:ilvl="3" w:tplc="9EDA7A32">
      <w:start w:val="1"/>
      <w:numFmt w:val="decimal"/>
      <w:lvlText w:val="%4)"/>
      <w:lvlJc w:val="left"/>
      <w:pPr>
        <w:ind w:left="1020" w:hanging="360"/>
      </w:pPr>
    </w:lvl>
    <w:lvl w:ilvl="4" w:tplc="321A9D2A">
      <w:start w:val="1"/>
      <w:numFmt w:val="decimal"/>
      <w:lvlText w:val="%5)"/>
      <w:lvlJc w:val="left"/>
      <w:pPr>
        <w:ind w:left="1020" w:hanging="360"/>
      </w:pPr>
    </w:lvl>
    <w:lvl w:ilvl="5" w:tplc="03BA7718">
      <w:start w:val="1"/>
      <w:numFmt w:val="decimal"/>
      <w:lvlText w:val="%6)"/>
      <w:lvlJc w:val="left"/>
      <w:pPr>
        <w:ind w:left="1020" w:hanging="360"/>
      </w:pPr>
    </w:lvl>
    <w:lvl w:ilvl="6" w:tplc="4B22E886">
      <w:start w:val="1"/>
      <w:numFmt w:val="decimal"/>
      <w:lvlText w:val="%7)"/>
      <w:lvlJc w:val="left"/>
      <w:pPr>
        <w:ind w:left="1020" w:hanging="360"/>
      </w:pPr>
    </w:lvl>
    <w:lvl w:ilvl="7" w:tplc="F90CF4E0">
      <w:start w:val="1"/>
      <w:numFmt w:val="decimal"/>
      <w:lvlText w:val="%8)"/>
      <w:lvlJc w:val="left"/>
      <w:pPr>
        <w:ind w:left="1020" w:hanging="360"/>
      </w:pPr>
    </w:lvl>
    <w:lvl w:ilvl="8" w:tplc="D5F0198E">
      <w:start w:val="1"/>
      <w:numFmt w:val="decimal"/>
      <w:lvlText w:val="%9)"/>
      <w:lvlJc w:val="left"/>
      <w:pPr>
        <w:ind w:left="1020" w:hanging="360"/>
      </w:pPr>
    </w:lvl>
  </w:abstractNum>
  <w:abstractNum w:abstractNumId="51" w15:restartNumberingAfterBreak="0">
    <w:nsid w:val="4E4F0335"/>
    <w:multiLevelType w:val="multilevel"/>
    <w:tmpl w:val="6B12F14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2" w15:restartNumberingAfterBreak="0">
    <w:nsid w:val="4EF730A2"/>
    <w:multiLevelType w:val="hybridMultilevel"/>
    <w:tmpl w:val="FAA2C182"/>
    <w:lvl w:ilvl="0" w:tplc="F6C81E66">
      <w:start w:val="1"/>
      <w:numFmt w:val="bullet"/>
      <w:lvlText w:val=""/>
      <w:lvlJc w:val="left"/>
      <w:pPr>
        <w:ind w:left="1080" w:hanging="360"/>
      </w:pPr>
      <w:rPr>
        <w:rFonts w:ascii="Symbol" w:hAnsi="Symbol"/>
      </w:rPr>
    </w:lvl>
    <w:lvl w:ilvl="1" w:tplc="77EC203A">
      <w:start w:val="1"/>
      <w:numFmt w:val="bullet"/>
      <w:lvlText w:val=""/>
      <w:lvlJc w:val="left"/>
      <w:pPr>
        <w:ind w:left="1080" w:hanging="360"/>
      </w:pPr>
      <w:rPr>
        <w:rFonts w:ascii="Symbol" w:hAnsi="Symbol"/>
      </w:rPr>
    </w:lvl>
    <w:lvl w:ilvl="2" w:tplc="135ACC5A">
      <w:start w:val="1"/>
      <w:numFmt w:val="bullet"/>
      <w:lvlText w:val=""/>
      <w:lvlJc w:val="left"/>
      <w:pPr>
        <w:ind w:left="1080" w:hanging="360"/>
      </w:pPr>
      <w:rPr>
        <w:rFonts w:ascii="Symbol" w:hAnsi="Symbol"/>
      </w:rPr>
    </w:lvl>
    <w:lvl w:ilvl="3" w:tplc="201062AA">
      <w:start w:val="1"/>
      <w:numFmt w:val="bullet"/>
      <w:lvlText w:val=""/>
      <w:lvlJc w:val="left"/>
      <w:pPr>
        <w:ind w:left="2160" w:hanging="360"/>
      </w:pPr>
      <w:rPr>
        <w:rFonts w:ascii="Symbol" w:hAnsi="Symbol"/>
      </w:rPr>
    </w:lvl>
    <w:lvl w:ilvl="4" w:tplc="5B960038">
      <w:start w:val="1"/>
      <w:numFmt w:val="bullet"/>
      <w:lvlText w:val=""/>
      <w:lvlJc w:val="left"/>
      <w:pPr>
        <w:ind w:left="1080" w:hanging="360"/>
      </w:pPr>
      <w:rPr>
        <w:rFonts w:ascii="Symbol" w:hAnsi="Symbol"/>
      </w:rPr>
    </w:lvl>
    <w:lvl w:ilvl="5" w:tplc="C5584110">
      <w:start w:val="1"/>
      <w:numFmt w:val="bullet"/>
      <w:lvlText w:val=""/>
      <w:lvlJc w:val="left"/>
      <w:pPr>
        <w:ind w:left="1080" w:hanging="360"/>
      </w:pPr>
      <w:rPr>
        <w:rFonts w:ascii="Symbol" w:hAnsi="Symbol"/>
      </w:rPr>
    </w:lvl>
    <w:lvl w:ilvl="6" w:tplc="7CA8A82A">
      <w:start w:val="1"/>
      <w:numFmt w:val="bullet"/>
      <w:lvlText w:val=""/>
      <w:lvlJc w:val="left"/>
      <w:pPr>
        <w:ind w:left="1080" w:hanging="360"/>
      </w:pPr>
      <w:rPr>
        <w:rFonts w:ascii="Symbol" w:hAnsi="Symbol"/>
      </w:rPr>
    </w:lvl>
    <w:lvl w:ilvl="7" w:tplc="F0E07F22">
      <w:start w:val="1"/>
      <w:numFmt w:val="bullet"/>
      <w:lvlText w:val=""/>
      <w:lvlJc w:val="left"/>
      <w:pPr>
        <w:ind w:left="1080" w:hanging="360"/>
      </w:pPr>
      <w:rPr>
        <w:rFonts w:ascii="Symbol" w:hAnsi="Symbol"/>
      </w:rPr>
    </w:lvl>
    <w:lvl w:ilvl="8" w:tplc="BE06A54E">
      <w:start w:val="1"/>
      <w:numFmt w:val="bullet"/>
      <w:lvlText w:val=""/>
      <w:lvlJc w:val="left"/>
      <w:pPr>
        <w:ind w:left="1080" w:hanging="360"/>
      </w:pPr>
      <w:rPr>
        <w:rFonts w:ascii="Symbol" w:hAnsi="Symbol"/>
      </w:rPr>
    </w:lvl>
  </w:abstractNum>
  <w:abstractNum w:abstractNumId="53" w15:restartNumberingAfterBreak="0">
    <w:nsid w:val="4FDA19E2"/>
    <w:multiLevelType w:val="hybridMultilevel"/>
    <w:tmpl w:val="59C8B6B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4" w15:restartNumberingAfterBreak="0">
    <w:nsid w:val="52EA170C"/>
    <w:multiLevelType w:val="hybridMultilevel"/>
    <w:tmpl w:val="D910D59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5" w15:restartNumberingAfterBreak="0">
    <w:nsid w:val="536177F6"/>
    <w:multiLevelType w:val="multilevel"/>
    <w:tmpl w:val="EFCAD88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6" w15:restartNumberingAfterBreak="0">
    <w:nsid w:val="540126A1"/>
    <w:multiLevelType w:val="hybridMultilevel"/>
    <w:tmpl w:val="FFFFFFFF"/>
    <w:lvl w:ilvl="0" w:tplc="74C2A42A">
      <w:start w:val="1"/>
      <w:numFmt w:val="bullet"/>
      <w:lvlText w:val=""/>
      <w:lvlJc w:val="left"/>
      <w:pPr>
        <w:ind w:left="1080" w:hanging="360"/>
      </w:pPr>
      <w:rPr>
        <w:rFonts w:ascii="Symbol" w:hAnsi="Symbol" w:hint="default"/>
      </w:rPr>
    </w:lvl>
    <w:lvl w:ilvl="1" w:tplc="5C7A3B74">
      <w:start w:val="1"/>
      <w:numFmt w:val="bullet"/>
      <w:lvlText w:val="o"/>
      <w:lvlJc w:val="left"/>
      <w:pPr>
        <w:ind w:left="1800" w:hanging="360"/>
      </w:pPr>
      <w:rPr>
        <w:rFonts w:ascii="Courier New" w:hAnsi="Courier New" w:hint="default"/>
      </w:rPr>
    </w:lvl>
    <w:lvl w:ilvl="2" w:tplc="61BCDD0E">
      <w:start w:val="1"/>
      <w:numFmt w:val="bullet"/>
      <w:lvlText w:val=""/>
      <w:lvlJc w:val="left"/>
      <w:pPr>
        <w:ind w:left="2520" w:hanging="360"/>
      </w:pPr>
      <w:rPr>
        <w:rFonts w:ascii="Wingdings" w:hAnsi="Wingdings" w:hint="default"/>
      </w:rPr>
    </w:lvl>
    <w:lvl w:ilvl="3" w:tplc="DD00F2EC">
      <w:start w:val="1"/>
      <w:numFmt w:val="bullet"/>
      <w:lvlText w:val=""/>
      <w:lvlJc w:val="left"/>
      <w:pPr>
        <w:ind w:left="3240" w:hanging="360"/>
      </w:pPr>
      <w:rPr>
        <w:rFonts w:ascii="Symbol" w:hAnsi="Symbol" w:hint="default"/>
      </w:rPr>
    </w:lvl>
    <w:lvl w:ilvl="4" w:tplc="CFA0CE0E">
      <w:start w:val="1"/>
      <w:numFmt w:val="bullet"/>
      <w:lvlText w:val="o"/>
      <w:lvlJc w:val="left"/>
      <w:pPr>
        <w:ind w:left="3960" w:hanging="360"/>
      </w:pPr>
      <w:rPr>
        <w:rFonts w:ascii="Courier New" w:hAnsi="Courier New" w:hint="default"/>
      </w:rPr>
    </w:lvl>
    <w:lvl w:ilvl="5" w:tplc="AC966A80">
      <w:start w:val="1"/>
      <w:numFmt w:val="bullet"/>
      <w:lvlText w:val=""/>
      <w:lvlJc w:val="left"/>
      <w:pPr>
        <w:ind w:left="4680" w:hanging="360"/>
      </w:pPr>
      <w:rPr>
        <w:rFonts w:ascii="Wingdings" w:hAnsi="Wingdings" w:hint="default"/>
      </w:rPr>
    </w:lvl>
    <w:lvl w:ilvl="6" w:tplc="3C8C549C">
      <w:start w:val="1"/>
      <w:numFmt w:val="bullet"/>
      <w:lvlText w:val=""/>
      <w:lvlJc w:val="left"/>
      <w:pPr>
        <w:ind w:left="5400" w:hanging="360"/>
      </w:pPr>
      <w:rPr>
        <w:rFonts w:ascii="Symbol" w:hAnsi="Symbol" w:hint="default"/>
      </w:rPr>
    </w:lvl>
    <w:lvl w:ilvl="7" w:tplc="5B5685DA">
      <w:start w:val="1"/>
      <w:numFmt w:val="bullet"/>
      <w:lvlText w:val="o"/>
      <w:lvlJc w:val="left"/>
      <w:pPr>
        <w:ind w:left="6120" w:hanging="360"/>
      </w:pPr>
      <w:rPr>
        <w:rFonts w:ascii="Courier New" w:hAnsi="Courier New" w:hint="default"/>
      </w:rPr>
    </w:lvl>
    <w:lvl w:ilvl="8" w:tplc="A60E0284">
      <w:start w:val="1"/>
      <w:numFmt w:val="bullet"/>
      <w:lvlText w:val=""/>
      <w:lvlJc w:val="left"/>
      <w:pPr>
        <w:ind w:left="6840" w:hanging="360"/>
      </w:pPr>
      <w:rPr>
        <w:rFonts w:ascii="Wingdings" w:hAnsi="Wingdings" w:hint="default"/>
      </w:rPr>
    </w:lvl>
  </w:abstractNum>
  <w:abstractNum w:abstractNumId="57" w15:restartNumberingAfterBreak="0">
    <w:nsid w:val="545B6E68"/>
    <w:multiLevelType w:val="hybridMultilevel"/>
    <w:tmpl w:val="21D418B0"/>
    <w:lvl w:ilvl="0" w:tplc="C01A5C02">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8" w15:restartNumberingAfterBreak="0">
    <w:nsid w:val="55AA27C1"/>
    <w:multiLevelType w:val="hybridMultilevel"/>
    <w:tmpl w:val="831AF352"/>
    <w:lvl w:ilvl="0" w:tplc="407E9CEE">
      <w:start w:val="1"/>
      <w:numFmt w:val="decimal"/>
      <w:lvlText w:val="%1."/>
      <w:lvlJc w:val="left"/>
      <w:pPr>
        <w:ind w:left="1020" w:hanging="360"/>
      </w:pPr>
    </w:lvl>
    <w:lvl w:ilvl="1" w:tplc="CB422FC0">
      <w:start w:val="1"/>
      <w:numFmt w:val="decimal"/>
      <w:lvlText w:val="%2."/>
      <w:lvlJc w:val="left"/>
      <w:pPr>
        <w:ind w:left="1020" w:hanging="360"/>
      </w:pPr>
    </w:lvl>
    <w:lvl w:ilvl="2" w:tplc="690A3256">
      <w:start w:val="1"/>
      <w:numFmt w:val="decimal"/>
      <w:lvlText w:val="%3."/>
      <w:lvlJc w:val="left"/>
      <w:pPr>
        <w:ind w:left="1020" w:hanging="360"/>
      </w:pPr>
    </w:lvl>
    <w:lvl w:ilvl="3" w:tplc="99D0700A">
      <w:start w:val="1"/>
      <w:numFmt w:val="decimal"/>
      <w:lvlText w:val="%4."/>
      <w:lvlJc w:val="left"/>
      <w:pPr>
        <w:ind w:left="1020" w:hanging="360"/>
      </w:pPr>
    </w:lvl>
    <w:lvl w:ilvl="4" w:tplc="9AC4B5D6">
      <w:start w:val="1"/>
      <w:numFmt w:val="decimal"/>
      <w:lvlText w:val="%5."/>
      <w:lvlJc w:val="left"/>
      <w:pPr>
        <w:ind w:left="1020" w:hanging="360"/>
      </w:pPr>
    </w:lvl>
    <w:lvl w:ilvl="5" w:tplc="73145808">
      <w:start w:val="1"/>
      <w:numFmt w:val="decimal"/>
      <w:lvlText w:val="%6."/>
      <w:lvlJc w:val="left"/>
      <w:pPr>
        <w:ind w:left="1020" w:hanging="360"/>
      </w:pPr>
    </w:lvl>
    <w:lvl w:ilvl="6" w:tplc="B4BC2FFA">
      <w:start w:val="1"/>
      <w:numFmt w:val="decimal"/>
      <w:lvlText w:val="%7."/>
      <w:lvlJc w:val="left"/>
      <w:pPr>
        <w:ind w:left="1020" w:hanging="360"/>
      </w:pPr>
    </w:lvl>
    <w:lvl w:ilvl="7" w:tplc="15EA3AC8">
      <w:start w:val="1"/>
      <w:numFmt w:val="decimal"/>
      <w:lvlText w:val="%8."/>
      <w:lvlJc w:val="left"/>
      <w:pPr>
        <w:ind w:left="1020" w:hanging="360"/>
      </w:pPr>
    </w:lvl>
    <w:lvl w:ilvl="8" w:tplc="81C85228">
      <w:start w:val="1"/>
      <w:numFmt w:val="decimal"/>
      <w:lvlText w:val="%9."/>
      <w:lvlJc w:val="left"/>
      <w:pPr>
        <w:ind w:left="1020" w:hanging="360"/>
      </w:pPr>
    </w:lvl>
  </w:abstractNum>
  <w:abstractNum w:abstractNumId="59" w15:restartNumberingAfterBreak="0">
    <w:nsid w:val="59D042D7"/>
    <w:multiLevelType w:val="multilevel"/>
    <w:tmpl w:val="18F4A5AC"/>
    <w:numStyleLink w:val="FoFCoLOP"/>
  </w:abstractNum>
  <w:abstractNum w:abstractNumId="60" w15:restartNumberingAfterBreak="0">
    <w:nsid w:val="59DFFA37"/>
    <w:multiLevelType w:val="hybridMultilevel"/>
    <w:tmpl w:val="EE04A5D2"/>
    <w:lvl w:ilvl="0" w:tplc="E14CB02C">
      <w:start w:val="1"/>
      <w:numFmt w:val="bullet"/>
      <w:lvlText w:val=""/>
      <w:lvlJc w:val="left"/>
      <w:pPr>
        <w:ind w:left="1080" w:hanging="360"/>
      </w:pPr>
      <w:rPr>
        <w:rFonts w:ascii="Symbol" w:hAnsi="Symbol" w:hint="default"/>
      </w:rPr>
    </w:lvl>
    <w:lvl w:ilvl="1" w:tplc="25F226C8">
      <w:start w:val="1"/>
      <w:numFmt w:val="bullet"/>
      <w:lvlText w:val="o"/>
      <w:lvlJc w:val="left"/>
      <w:pPr>
        <w:ind w:left="1800" w:hanging="360"/>
      </w:pPr>
      <w:rPr>
        <w:rFonts w:ascii="Courier New" w:hAnsi="Courier New" w:cs="Times New Roman" w:hint="default"/>
      </w:rPr>
    </w:lvl>
    <w:lvl w:ilvl="2" w:tplc="40C662C0">
      <w:start w:val="1"/>
      <w:numFmt w:val="bullet"/>
      <w:lvlText w:val=""/>
      <w:lvlJc w:val="left"/>
      <w:pPr>
        <w:ind w:left="2520" w:hanging="360"/>
      </w:pPr>
      <w:rPr>
        <w:rFonts w:ascii="Wingdings" w:hAnsi="Wingdings" w:hint="default"/>
      </w:rPr>
    </w:lvl>
    <w:lvl w:ilvl="3" w:tplc="B3E60E28">
      <w:start w:val="1"/>
      <w:numFmt w:val="bullet"/>
      <w:lvlText w:val=""/>
      <w:lvlJc w:val="left"/>
      <w:pPr>
        <w:ind w:left="3240" w:hanging="360"/>
      </w:pPr>
      <w:rPr>
        <w:rFonts w:ascii="Symbol" w:hAnsi="Symbol" w:hint="default"/>
      </w:rPr>
    </w:lvl>
    <w:lvl w:ilvl="4" w:tplc="915284C0">
      <w:start w:val="1"/>
      <w:numFmt w:val="bullet"/>
      <w:lvlText w:val="o"/>
      <w:lvlJc w:val="left"/>
      <w:pPr>
        <w:ind w:left="3960" w:hanging="360"/>
      </w:pPr>
      <w:rPr>
        <w:rFonts w:ascii="Courier New" w:hAnsi="Courier New" w:cs="Times New Roman" w:hint="default"/>
      </w:rPr>
    </w:lvl>
    <w:lvl w:ilvl="5" w:tplc="42C29562">
      <w:start w:val="1"/>
      <w:numFmt w:val="bullet"/>
      <w:lvlText w:val=""/>
      <w:lvlJc w:val="left"/>
      <w:pPr>
        <w:ind w:left="4680" w:hanging="360"/>
      </w:pPr>
      <w:rPr>
        <w:rFonts w:ascii="Wingdings" w:hAnsi="Wingdings" w:hint="default"/>
      </w:rPr>
    </w:lvl>
    <w:lvl w:ilvl="6" w:tplc="78D620BE">
      <w:start w:val="1"/>
      <w:numFmt w:val="bullet"/>
      <w:lvlText w:val=""/>
      <w:lvlJc w:val="left"/>
      <w:pPr>
        <w:ind w:left="5400" w:hanging="360"/>
      </w:pPr>
      <w:rPr>
        <w:rFonts w:ascii="Symbol" w:hAnsi="Symbol" w:hint="default"/>
      </w:rPr>
    </w:lvl>
    <w:lvl w:ilvl="7" w:tplc="8F5C2834">
      <w:start w:val="1"/>
      <w:numFmt w:val="bullet"/>
      <w:lvlText w:val="o"/>
      <w:lvlJc w:val="left"/>
      <w:pPr>
        <w:ind w:left="6120" w:hanging="360"/>
      </w:pPr>
      <w:rPr>
        <w:rFonts w:ascii="Courier New" w:hAnsi="Courier New" w:cs="Times New Roman" w:hint="default"/>
      </w:rPr>
    </w:lvl>
    <w:lvl w:ilvl="8" w:tplc="C4323C0E">
      <w:start w:val="1"/>
      <w:numFmt w:val="bullet"/>
      <w:lvlText w:val=""/>
      <w:lvlJc w:val="left"/>
      <w:pPr>
        <w:ind w:left="6840" w:hanging="360"/>
      </w:pPr>
      <w:rPr>
        <w:rFonts w:ascii="Wingdings" w:hAnsi="Wingdings" w:hint="default"/>
      </w:rPr>
    </w:lvl>
  </w:abstractNum>
  <w:abstractNum w:abstractNumId="61" w15:restartNumberingAfterBreak="0">
    <w:nsid w:val="5A554595"/>
    <w:multiLevelType w:val="hybridMultilevel"/>
    <w:tmpl w:val="18A84EEE"/>
    <w:lvl w:ilvl="0" w:tplc="049C387A">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2" w15:restartNumberingAfterBreak="0">
    <w:nsid w:val="5A9E2171"/>
    <w:multiLevelType w:val="multilevel"/>
    <w:tmpl w:val="3C526EDE"/>
    <w:numStyleLink w:val="Headings"/>
  </w:abstractNum>
  <w:abstractNum w:abstractNumId="63" w15:restartNumberingAfterBreak="0">
    <w:nsid w:val="5AAD66F9"/>
    <w:multiLevelType w:val="hybridMultilevel"/>
    <w:tmpl w:val="5AF84CD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4" w15:restartNumberingAfterBreak="0">
    <w:nsid w:val="5B2438F0"/>
    <w:multiLevelType w:val="hybridMultilevel"/>
    <w:tmpl w:val="52B67F58"/>
    <w:lvl w:ilvl="0" w:tplc="BC1ADBEA">
      <w:numFmt w:val="bullet"/>
      <w:lvlText w:val=""/>
      <w:lvlJc w:val="left"/>
      <w:pPr>
        <w:ind w:left="360" w:hanging="360"/>
      </w:pPr>
      <w:rPr>
        <w:rFonts w:ascii="Symbol" w:hAnsi="Symbol" w:hint="default"/>
      </w:rPr>
    </w:lvl>
    <w:lvl w:ilvl="1" w:tplc="5184A578">
      <w:start w:val="1"/>
      <w:numFmt w:val="bullet"/>
      <w:lvlText w:val="o"/>
      <w:lvlJc w:val="left"/>
      <w:pPr>
        <w:ind w:left="1080" w:hanging="360"/>
      </w:pPr>
      <w:rPr>
        <w:rFonts w:ascii="Courier New" w:hAnsi="Courier New" w:hint="default"/>
      </w:rPr>
    </w:lvl>
    <w:lvl w:ilvl="2" w:tplc="80D29FCE">
      <w:start w:val="1"/>
      <w:numFmt w:val="bullet"/>
      <w:lvlText w:val=""/>
      <w:lvlJc w:val="left"/>
      <w:pPr>
        <w:ind w:left="1800" w:hanging="360"/>
      </w:pPr>
      <w:rPr>
        <w:rFonts w:ascii="Wingdings" w:hAnsi="Wingdings" w:hint="default"/>
      </w:rPr>
    </w:lvl>
    <w:lvl w:ilvl="3" w:tplc="2FC610E0" w:tentative="1">
      <w:start w:val="1"/>
      <w:numFmt w:val="bullet"/>
      <w:lvlText w:val=""/>
      <w:lvlJc w:val="left"/>
      <w:pPr>
        <w:ind w:left="2520" w:hanging="360"/>
      </w:pPr>
      <w:rPr>
        <w:rFonts w:ascii="Symbol" w:hAnsi="Symbol" w:hint="default"/>
      </w:rPr>
    </w:lvl>
    <w:lvl w:ilvl="4" w:tplc="AA5AE72A" w:tentative="1">
      <w:start w:val="1"/>
      <w:numFmt w:val="bullet"/>
      <w:lvlText w:val="o"/>
      <w:lvlJc w:val="left"/>
      <w:pPr>
        <w:ind w:left="3240" w:hanging="360"/>
      </w:pPr>
      <w:rPr>
        <w:rFonts w:ascii="Courier New" w:hAnsi="Courier New" w:hint="default"/>
      </w:rPr>
    </w:lvl>
    <w:lvl w:ilvl="5" w:tplc="D88C35A0" w:tentative="1">
      <w:start w:val="1"/>
      <w:numFmt w:val="bullet"/>
      <w:lvlText w:val=""/>
      <w:lvlJc w:val="left"/>
      <w:pPr>
        <w:ind w:left="3960" w:hanging="360"/>
      </w:pPr>
      <w:rPr>
        <w:rFonts w:ascii="Wingdings" w:hAnsi="Wingdings" w:hint="default"/>
      </w:rPr>
    </w:lvl>
    <w:lvl w:ilvl="6" w:tplc="BD3E91C2" w:tentative="1">
      <w:start w:val="1"/>
      <w:numFmt w:val="bullet"/>
      <w:lvlText w:val=""/>
      <w:lvlJc w:val="left"/>
      <w:pPr>
        <w:ind w:left="4680" w:hanging="360"/>
      </w:pPr>
      <w:rPr>
        <w:rFonts w:ascii="Symbol" w:hAnsi="Symbol" w:hint="default"/>
      </w:rPr>
    </w:lvl>
    <w:lvl w:ilvl="7" w:tplc="35B49722" w:tentative="1">
      <w:start w:val="1"/>
      <w:numFmt w:val="bullet"/>
      <w:lvlText w:val="o"/>
      <w:lvlJc w:val="left"/>
      <w:pPr>
        <w:ind w:left="5400" w:hanging="360"/>
      </w:pPr>
      <w:rPr>
        <w:rFonts w:ascii="Courier New" w:hAnsi="Courier New" w:hint="default"/>
      </w:rPr>
    </w:lvl>
    <w:lvl w:ilvl="8" w:tplc="7802638A" w:tentative="1">
      <w:start w:val="1"/>
      <w:numFmt w:val="bullet"/>
      <w:lvlText w:val=""/>
      <w:lvlJc w:val="left"/>
      <w:pPr>
        <w:ind w:left="6120" w:hanging="360"/>
      </w:pPr>
      <w:rPr>
        <w:rFonts w:ascii="Wingdings" w:hAnsi="Wingdings" w:hint="default"/>
      </w:rPr>
    </w:lvl>
  </w:abstractNum>
  <w:abstractNum w:abstractNumId="65" w15:restartNumberingAfterBreak="0">
    <w:nsid w:val="5BFF6D57"/>
    <w:multiLevelType w:val="hybridMultilevel"/>
    <w:tmpl w:val="CD061BFC"/>
    <w:lvl w:ilvl="0" w:tplc="0A4C63F8">
      <w:start w:val="1"/>
      <w:numFmt w:val="bullet"/>
      <w:lvlText w:val=""/>
      <w:lvlJc w:val="left"/>
      <w:pPr>
        <w:ind w:left="1080" w:hanging="360"/>
      </w:pPr>
      <w:rPr>
        <w:rFonts w:ascii="Symbol" w:hAnsi="Symbol" w:hint="default"/>
      </w:rPr>
    </w:lvl>
    <w:lvl w:ilvl="1" w:tplc="9412F4B6">
      <w:start w:val="1"/>
      <w:numFmt w:val="bullet"/>
      <w:lvlText w:val="o"/>
      <w:lvlJc w:val="left"/>
      <w:pPr>
        <w:ind w:left="1800" w:hanging="360"/>
      </w:pPr>
      <w:rPr>
        <w:rFonts w:ascii="Courier New" w:hAnsi="Courier New" w:cs="Times New Roman" w:hint="default"/>
      </w:rPr>
    </w:lvl>
    <w:lvl w:ilvl="2" w:tplc="8C762A26">
      <w:start w:val="1"/>
      <w:numFmt w:val="bullet"/>
      <w:lvlText w:val=""/>
      <w:lvlJc w:val="left"/>
      <w:pPr>
        <w:ind w:left="2520" w:hanging="360"/>
      </w:pPr>
      <w:rPr>
        <w:rFonts w:ascii="Wingdings" w:hAnsi="Wingdings" w:hint="default"/>
      </w:rPr>
    </w:lvl>
    <w:lvl w:ilvl="3" w:tplc="602879B4">
      <w:start w:val="1"/>
      <w:numFmt w:val="bullet"/>
      <w:lvlText w:val=""/>
      <w:lvlJc w:val="left"/>
      <w:pPr>
        <w:ind w:left="3240" w:hanging="360"/>
      </w:pPr>
      <w:rPr>
        <w:rFonts w:ascii="Symbol" w:hAnsi="Symbol" w:hint="default"/>
      </w:rPr>
    </w:lvl>
    <w:lvl w:ilvl="4" w:tplc="569057D0">
      <w:start w:val="1"/>
      <w:numFmt w:val="bullet"/>
      <w:lvlText w:val="o"/>
      <w:lvlJc w:val="left"/>
      <w:pPr>
        <w:ind w:left="3960" w:hanging="360"/>
      </w:pPr>
      <w:rPr>
        <w:rFonts w:ascii="Courier New" w:hAnsi="Courier New" w:cs="Times New Roman" w:hint="default"/>
      </w:rPr>
    </w:lvl>
    <w:lvl w:ilvl="5" w:tplc="6038A728">
      <w:start w:val="1"/>
      <w:numFmt w:val="bullet"/>
      <w:lvlText w:val=""/>
      <w:lvlJc w:val="left"/>
      <w:pPr>
        <w:ind w:left="4680" w:hanging="360"/>
      </w:pPr>
      <w:rPr>
        <w:rFonts w:ascii="Wingdings" w:hAnsi="Wingdings" w:hint="default"/>
      </w:rPr>
    </w:lvl>
    <w:lvl w:ilvl="6" w:tplc="49048430">
      <w:start w:val="1"/>
      <w:numFmt w:val="bullet"/>
      <w:lvlText w:val=""/>
      <w:lvlJc w:val="left"/>
      <w:pPr>
        <w:ind w:left="5400" w:hanging="360"/>
      </w:pPr>
      <w:rPr>
        <w:rFonts w:ascii="Symbol" w:hAnsi="Symbol" w:hint="default"/>
      </w:rPr>
    </w:lvl>
    <w:lvl w:ilvl="7" w:tplc="CBF4076E">
      <w:start w:val="1"/>
      <w:numFmt w:val="bullet"/>
      <w:lvlText w:val="o"/>
      <w:lvlJc w:val="left"/>
      <w:pPr>
        <w:ind w:left="6120" w:hanging="360"/>
      </w:pPr>
      <w:rPr>
        <w:rFonts w:ascii="Courier New" w:hAnsi="Courier New" w:cs="Times New Roman" w:hint="default"/>
      </w:rPr>
    </w:lvl>
    <w:lvl w:ilvl="8" w:tplc="87C4F94C">
      <w:start w:val="1"/>
      <w:numFmt w:val="bullet"/>
      <w:lvlText w:val=""/>
      <w:lvlJc w:val="left"/>
      <w:pPr>
        <w:ind w:left="6840" w:hanging="360"/>
      </w:pPr>
      <w:rPr>
        <w:rFonts w:ascii="Wingdings" w:hAnsi="Wingdings" w:hint="default"/>
      </w:rPr>
    </w:lvl>
  </w:abstractNum>
  <w:abstractNum w:abstractNumId="66" w15:restartNumberingAfterBreak="0">
    <w:nsid w:val="5DE01D01"/>
    <w:multiLevelType w:val="hybridMultilevel"/>
    <w:tmpl w:val="C2D01890"/>
    <w:lvl w:ilvl="0" w:tplc="B5004AD2">
      <w:start w:val="1"/>
      <w:numFmt w:val="bullet"/>
      <w:lvlText w:val=""/>
      <w:lvlJc w:val="left"/>
      <w:pPr>
        <w:ind w:left="1020" w:hanging="360"/>
      </w:pPr>
      <w:rPr>
        <w:rFonts w:ascii="Symbol" w:hAnsi="Symbol"/>
      </w:rPr>
    </w:lvl>
    <w:lvl w:ilvl="1" w:tplc="F2F4076A">
      <w:start w:val="1"/>
      <w:numFmt w:val="bullet"/>
      <w:lvlText w:val=""/>
      <w:lvlJc w:val="left"/>
      <w:pPr>
        <w:ind w:left="1020" w:hanging="360"/>
      </w:pPr>
      <w:rPr>
        <w:rFonts w:ascii="Symbol" w:hAnsi="Symbol"/>
      </w:rPr>
    </w:lvl>
    <w:lvl w:ilvl="2" w:tplc="D40699A4">
      <w:start w:val="1"/>
      <w:numFmt w:val="bullet"/>
      <w:lvlText w:val=""/>
      <w:lvlJc w:val="left"/>
      <w:pPr>
        <w:ind w:left="1020" w:hanging="360"/>
      </w:pPr>
      <w:rPr>
        <w:rFonts w:ascii="Symbol" w:hAnsi="Symbol"/>
      </w:rPr>
    </w:lvl>
    <w:lvl w:ilvl="3" w:tplc="8FC29D32">
      <w:start w:val="1"/>
      <w:numFmt w:val="bullet"/>
      <w:lvlText w:val=""/>
      <w:lvlJc w:val="left"/>
      <w:pPr>
        <w:ind w:left="1020" w:hanging="360"/>
      </w:pPr>
      <w:rPr>
        <w:rFonts w:ascii="Symbol" w:hAnsi="Symbol"/>
      </w:rPr>
    </w:lvl>
    <w:lvl w:ilvl="4" w:tplc="1A6CF0B4">
      <w:start w:val="1"/>
      <w:numFmt w:val="bullet"/>
      <w:lvlText w:val=""/>
      <w:lvlJc w:val="left"/>
      <w:pPr>
        <w:ind w:left="1020" w:hanging="360"/>
      </w:pPr>
      <w:rPr>
        <w:rFonts w:ascii="Symbol" w:hAnsi="Symbol"/>
      </w:rPr>
    </w:lvl>
    <w:lvl w:ilvl="5" w:tplc="D466FA26">
      <w:start w:val="1"/>
      <w:numFmt w:val="bullet"/>
      <w:lvlText w:val=""/>
      <w:lvlJc w:val="left"/>
      <w:pPr>
        <w:ind w:left="1020" w:hanging="360"/>
      </w:pPr>
      <w:rPr>
        <w:rFonts w:ascii="Symbol" w:hAnsi="Symbol"/>
      </w:rPr>
    </w:lvl>
    <w:lvl w:ilvl="6" w:tplc="118C84D4">
      <w:start w:val="1"/>
      <w:numFmt w:val="bullet"/>
      <w:lvlText w:val=""/>
      <w:lvlJc w:val="left"/>
      <w:pPr>
        <w:ind w:left="1020" w:hanging="360"/>
      </w:pPr>
      <w:rPr>
        <w:rFonts w:ascii="Symbol" w:hAnsi="Symbol"/>
      </w:rPr>
    </w:lvl>
    <w:lvl w:ilvl="7" w:tplc="20E09AA0">
      <w:start w:val="1"/>
      <w:numFmt w:val="bullet"/>
      <w:lvlText w:val=""/>
      <w:lvlJc w:val="left"/>
      <w:pPr>
        <w:ind w:left="1020" w:hanging="360"/>
      </w:pPr>
      <w:rPr>
        <w:rFonts w:ascii="Symbol" w:hAnsi="Symbol"/>
      </w:rPr>
    </w:lvl>
    <w:lvl w:ilvl="8" w:tplc="800CDB84">
      <w:start w:val="1"/>
      <w:numFmt w:val="bullet"/>
      <w:lvlText w:val=""/>
      <w:lvlJc w:val="left"/>
      <w:pPr>
        <w:ind w:left="1020" w:hanging="360"/>
      </w:pPr>
      <w:rPr>
        <w:rFonts w:ascii="Symbol" w:hAnsi="Symbol"/>
      </w:rPr>
    </w:lvl>
  </w:abstractNum>
  <w:abstractNum w:abstractNumId="67" w15:restartNumberingAfterBreak="0">
    <w:nsid w:val="5E4715D7"/>
    <w:multiLevelType w:val="multilevel"/>
    <w:tmpl w:val="07049EAA"/>
    <w:lvl w:ilvl="0">
      <w:start w:val="3"/>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68" w15:restartNumberingAfterBreak="0">
    <w:nsid w:val="5EDF5BD2"/>
    <w:multiLevelType w:val="hybridMultilevel"/>
    <w:tmpl w:val="9D32F51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9" w15:restartNumberingAfterBreak="0">
    <w:nsid w:val="60752EBF"/>
    <w:multiLevelType w:val="multilevel"/>
    <w:tmpl w:val="E55228FA"/>
    <w:lvl w:ilvl="0">
      <w:start w:val="1"/>
      <w:numFmt w:val="decimal"/>
      <w:lvlText w:val="%1."/>
      <w:lvlJc w:val="right"/>
      <w:pPr>
        <w:ind w:left="0" w:firstLine="540"/>
      </w:pPr>
      <w:rPr>
        <w:rFonts w:hint="default"/>
      </w:rPr>
    </w:lvl>
    <w:lvl w:ilvl="1">
      <w:start w:val="1"/>
      <w:numFmt w:val="lowerLetter"/>
      <w:lvlText w:val="%2."/>
      <w:lvlJc w:val="left"/>
      <w:pPr>
        <w:ind w:left="1440" w:hanging="360"/>
      </w:pPr>
    </w:lvl>
    <w:lvl w:ilvl="2">
      <w:start w:val="1"/>
      <w:numFmt w:val="none"/>
      <w:lvlText w:val=""/>
      <w:lvlJc w:val="left"/>
      <w:pPr>
        <w:ind w:left="720" w:firstLine="0"/>
      </w:pPr>
      <w:rPr>
        <w:rFonts w:hint="default"/>
      </w:rPr>
    </w:lvl>
    <w:lvl w:ilvl="3">
      <w:start w:val="1"/>
      <w:numFmt w:val="none"/>
      <w:lvlText w:val=""/>
      <w:lvlJc w:val="left"/>
      <w:pPr>
        <w:ind w:left="720" w:firstLine="0"/>
      </w:pPr>
      <w:rPr>
        <w:rFonts w:hint="default"/>
      </w:rPr>
    </w:lvl>
    <w:lvl w:ilvl="4">
      <w:start w:val="1"/>
      <w:numFmt w:val="none"/>
      <w:lvlText w:val=""/>
      <w:lvlJc w:val="left"/>
      <w:pPr>
        <w:ind w:left="720" w:firstLine="0"/>
      </w:pPr>
      <w:rPr>
        <w:rFonts w:hint="default"/>
      </w:rPr>
    </w:lvl>
    <w:lvl w:ilvl="5">
      <w:start w:val="1"/>
      <w:numFmt w:val="none"/>
      <w:lvlText w:val=""/>
      <w:lvlJc w:val="left"/>
      <w:pPr>
        <w:ind w:left="720" w:firstLine="0"/>
      </w:pPr>
      <w:rPr>
        <w:rFonts w:hint="default"/>
      </w:rPr>
    </w:lvl>
    <w:lvl w:ilvl="6">
      <w:start w:val="1"/>
      <w:numFmt w:val="none"/>
      <w:lvlText w:val=""/>
      <w:lvlJc w:val="left"/>
      <w:pPr>
        <w:ind w:left="720" w:firstLine="0"/>
      </w:pPr>
      <w:rPr>
        <w:rFonts w:hint="default"/>
      </w:rPr>
    </w:lvl>
    <w:lvl w:ilvl="7">
      <w:start w:val="1"/>
      <w:numFmt w:val="none"/>
      <w:lvlText w:val=""/>
      <w:lvlJc w:val="left"/>
      <w:pPr>
        <w:ind w:left="720" w:firstLine="0"/>
      </w:pPr>
      <w:rPr>
        <w:rFonts w:hint="default"/>
      </w:rPr>
    </w:lvl>
    <w:lvl w:ilvl="8">
      <w:start w:val="1"/>
      <w:numFmt w:val="none"/>
      <w:lvlText w:val=""/>
      <w:lvlJc w:val="left"/>
      <w:pPr>
        <w:ind w:left="720" w:firstLine="0"/>
      </w:pPr>
      <w:rPr>
        <w:rFonts w:hint="default"/>
      </w:rPr>
    </w:lvl>
  </w:abstractNum>
  <w:abstractNum w:abstractNumId="70" w15:restartNumberingAfterBreak="0">
    <w:nsid w:val="61A25780"/>
    <w:multiLevelType w:val="multilevel"/>
    <w:tmpl w:val="3C526EDE"/>
    <w:numStyleLink w:val="Headings"/>
  </w:abstractNum>
  <w:abstractNum w:abstractNumId="71" w15:restartNumberingAfterBreak="0">
    <w:nsid w:val="64FB4FE9"/>
    <w:multiLevelType w:val="multilevel"/>
    <w:tmpl w:val="A56EF56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2" w15:restartNumberingAfterBreak="0">
    <w:nsid w:val="65536568"/>
    <w:multiLevelType w:val="hybridMultilevel"/>
    <w:tmpl w:val="2DE2B794"/>
    <w:lvl w:ilvl="0" w:tplc="432AFF30">
      <w:start w:val="1"/>
      <w:numFmt w:val="bullet"/>
      <w:lvlText w:val=""/>
      <w:lvlJc w:val="left"/>
      <w:pPr>
        <w:ind w:left="1440" w:hanging="360"/>
      </w:pPr>
      <w:rPr>
        <w:rFonts w:ascii="Symbol" w:hAnsi="Symbol"/>
      </w:rPr>
    </w:lvl>
    <w:lvl w:ilvl="1" w:tplc="63A4FD06">
      <w:start w:val="1"/>
      <w:numFmt w:val="bullet"/>
      <w:lvlText w:val=""/>
      <w:lvlJc w:val="left"/>
      <w:pPr>
        <w:ind w:left="1440" w:hanging="360"/>
      </w:pPr>
      <w:rPr>
        <w:rFonts w:ascii="Symbol" w:hAnsi="Symbol"/>
      </w:rPr>
    </w:lvl>
    <w:lvl w:ilvl="2" w:tplc="8DC2CAD4">
      <w:start w:val="1"/>
      <w:numFmt w:val="bullet"/>
      <w:lvlText w:val=""/>
      <w:lvlJc w:val="left"/>
      <w:pPr>
        <w:ind w:left="1440" w:hanging="360"/>
      </w:pPr>
      <w:rPr>
        <w:rFonts w:ascii="Symbol" w:hAnsi="Symbol"/>
      </w:rPr>
    </w:lvl>
    <w:lvl w:ilvl="3" w:tplc="B784D10E">
      <w:start w:val="1"/>
      <w:numFmt w:val="bullet"/>
      <w:lvlText w:val=""/>
      <w:lvlJc w:val="left"/>
      <w:pPr>
        <w:ind w:left="1440" w:hanging="360"/>
      </w:pPr>
      <w:rPr>
        <w:rFonts w:ascii="Symbol" w:hAnsi="Symbol"/>
      </w:rPr>
    </w:lvl>
    <w:lvl w:ilvl="4" w:tplc="9D567422">
      <w:start w:val="1"/>
      <w:numFmt w:val="bullet"/>
      <w:lvlText w:val=""/>
      <w:lvlJc w:val="left"/>
      <w:pPr>
        <w:ind w:left="1440" w:hanging="360"/>
      </w:pPr>
      <w:rPr>
        <w:rFonts w:ascii="Symbol" w:hAnsi="Symbol"/>
      </w:rPr>
    </w:lvl>
    <w:lvl w:ilvl="5" w:tplc="B732ABA6">
      <w:start w:val="1"/>
      <w:numFmt w:val="bullet"/>
      <w:lvlText w:val=""/>
      <w:lvlJc w:val="left"/>
      <w:pPr>
        <w:ind w:left="1440" w:hanging="360"/>
      </w:pPr>
      <w:rPr>
        <w:rFonts w:ascii="Symbol" w:hAnsi="Symbol"/>
      </w:rPr>
    </w:lvl>
    <w:lvl w:ilvl="6" w:tplc="A156FEF0">
      <w:start w:val="1"/>
      <w:numFmt w:val="bullet"/>
      <w:lvlText w:val=""/>
      <w:lvlJc w:val="left"/>
      <w:pPr>
        <w:ind w:left="1440" w:hanging="360"/>
      </w:pPr>
      <w:rPr>
        <w:rFonts w:ascii="Symbol" w:hAnsi="Symbol"/>
      </w:rPr>
    </w:lvl>
    <w:lvl w:ilvl="7" w:tplc="C0BCA84A">
      <w:start w:val="1"/>
      <w:numFmt w:val="bullet"/>
      <w:lvlText w:val=""/>
      <w:lvlJc w:val="left"/>
      <w:pPr>
        <w:ind w:left="1440" w:hanging="360"/>
      </w:pPr>
      <w:rPr>
        <w:rFonts w:ascii="Symbol" w:hAnsi="Symbol"/>
      </w:rPr>
    </w:lvl>
    <w:lvl w:ilvl="8" w:tplc="9CB41FE6">
      <w:start w:val="1"/>
      <w:numFmt w:val="bullet"/>
      <w:lvlText w:val=""/>
      <w:lvlJc w:val="left"/>
      <w:pPr>
        <w:ind w:left="1440" w:hanging="360"/>
      </w:pPr>
      <w:rPr>
        <w:rFonts w:ascii="Symbol" w:hAnsi="Symbol"/>
      </w:rPr>
    </w:lvl>
  </w:abstractNum>
  <w:abstractNum w:abstractNumId="73" w15:restartNumberingAfterBreak="0">
    <w:nsid w:val="66A34D62"/>
    <w:multiLevelType w:val="hybridMultilevel"/>
    <w:tmpl w:val="C9B243D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4" w15:restartNumberingAfterBreak="0">
    <w:nsid w:val="6A05196F"/>
    <w:multiLevelType w:val="hybridMultilevel"/>
    <w:tmpl w:val="4AB68DBC"/>
    <w:lvl w:ilvl="0" w:tplc="9D3A2C0C">
      <w:numFmt w:val="bullet"/>
      <w:lvlText w:val=""/>
      <w:lvlJc w:val="left"/>
      <w:pPr>
        <w:ind w:left="1080" w:hanging="360"/>
      </w:pPr>
      <w:rPr>
        <w:rFonts w:ascii="Wingdings" w:eastAsiaTheme="minorHAnsi" w:hAnsi="Wingdings"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5" w15:restartNumberingAfterBreak="0">
    <w:nsid w:val="6E6606EF"/>
    <w:multiLevelType w:val="hybridMultilevel"/>
    <w:tmpl w:val="FE860BB2"/>
    <w:lvl w:ilvl="0" w:tplc="52A638BC">
      <w:numFmt w:val="bullet"/>
      <w:lvlText w:val="-"/>
      <w:lvlJc w:val="left"/>
      <w:pPr>
        <w:ind w:left="1080" w:hanging="360"/>
      </w:pPr>
      <w:rPr>
        <w:rFonts w:ascii="Book Antiqua" w:eastAsia="Book Antiqua" w:hAnsi="Book Antiqua" w:cs="Book Antiqua"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6" w15:restartNumberingAfterBreak="0">
    <w:nsid w:val="6FDF7E1C"/>
    <w:multiLevelType w:val="hybridMultilevel"/>
    <w:tmpl w:val="2F5AD6F8"/>
    <w:lvl w:ilvl="0" w:tplc="721C3134">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7" w15:restartNumberingAfterBreak="0">
    <w:nsid w:val="721734A4"/>
    <w:multiLevelType w:val="hybridMultilevel"/>
    <w:tmpl w:val="FA926794"/>
    <w:lvl w:ilvl="0" w:tplc="D568B94E">
      <w:start w:val="1"/>
      <w:numFmt w:val="decimal"/>
      <w:lvlText w:val="%1."/>
      <w:lvlJc w:val="left"/>
      <w:pPr>
        <w:ind w:left="720" w:hanging="360"/>
      </w:pPr>
      <w:rPr>
        <w:rFonts w:hint="default"/>
      </w:rPr>
    </w:lvl>
    <w:lvl w:ilvl="1" w:tplc="FF2C024E">
      <w:numFmt w:val="bullet"/>
      <w:lvlText w:val="•"/>
      <w:lvlJc w:val="left"/>
      <w:pPr>
        <w:ind w:left="1440" w:hanging="360"/>
      </w:pPr>
      <w:rPr>
        <w:rFonts w:ascii="Book Antiqua" w:eastAsia="Calibri" w:hAnsi="Book Antiqua" w:cs="Aria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726DD95D"/>
    <w:multiLevelType w:val="hybridMultilevel"/>
    <w:tmpl w:val="EBEC7D2E"/>
    <w:lvl w:ilvl="0" w:tplc="CC1CD5B8">
      <w:start w:val="1"/>
      <w:numFmt w:val="bullet"/>
      <w:lvlText w:val="-"/>
      <w:lvlJc w:val="left"/>
      <w:pPr>
        <w:ind w:left="1080" w:hanging="360"/>
      </w:pPr>
      <w:rPr>
        <w:rFonts w:ascii="Aptos" w:hAnsi="Aptos" w:hint="default"/>
      </w:rPr>
    </w:lvl>
    <w:lvl w:ilvl="1" w:tplc="70862C90">
      <w:start w:val="1"/>
      <w:numFmt w:val="bullet"/>
      <w:lvlText w:val="o"/>
      <w:lvlJc w:val="left"/>
      <w:pPr>
        <w:ind w:left="1800" w:hanging="360"/>
      </w:pPr>
      <w:rPr>
        <w:rFonts w:ascii="Courier New" w:hAnsi="Courier New" w:hint="default"/>
      </w:rPr>
    </w:lvl>
    <w:lvl w:ilvl="2" w:tplc="1AEC2608">
      <w:start w:val="1"/>
      <w:numFmt w:val="bullet"/>
      <w:lvlText w:val=""/>
      <w:lvlJc w:val="left"/>
      <w:pPr>
        <w:ind w:left="2520" w:hanging="360"/>
      </w:pPr>
      <w:rPr>
        <w:rFonts w:ascii="Wingdings" w:hAnsi="Wingdings" w:hint="default"/>
      </w:rPr>
    </w:lvl>
    <w:lvl w:ilvl="3" w:tplc="44389A4E">
      <w:start w:val="1"/>
      <w:numFmt w:val="bullet"/>
      <w:lvlText w:val=""/>
      <w:lvlJc w:val="left"/>
      <w:pPr>
        <w:ind w:left="3240" w:hanging="360"/>
      </w:pPr>
      <w:rPr>
        <w:rFonts w:ascii="Symbol" w:hAnsi="Symbol" w:hint="default"/>
      </w:rPr>
    </w:lvl>
    <w:lvl w:ilvl="4" w:tplc="41C81E80">
      <w:start w:val="1"/>
      <w:numFmt w:val="bullet"/>
      <w:lvlText w:val="o"/>
      <w:lvlJc w:val="left"/>
      <w:pPr>
        <w:ind w:left="3960" w:hanging="360"/>
      </w:pPr>
      <w:rPr>
        <w:rFonts w:ascii="Courier New" w:hAnsi="Courier New" w:hint="default"/>
      </w:rPr>
    </w:lvl>
    <w:lvl w:ilvl="5" w:tplc="620CEE76">
      <w:start w:val="1"/>
      <w:numFmt w:val="bullet"/>
      <w:lvlText w:val=""/>
      <w:lvlJc w:val="left"/>
      <w:pPr>
        <w:ind w:left="4680" w:hanging="360"/>
      </w:pPr>
      <w:rPr>
        <w:rFonts w:ascii="Wingdings" w:hAnsi="Wingdings" w:hint="default"/>
      </w:rPr>
    </w:lvl>
    <w:lvl w:ilvl="6" w:tplc="DBF028D2">
      <w:start w:val="1"/>
      <w:numFmt w:val="bullet"/>
      <w:lvlText w:val=""/>
      <w:lvlJc w:val="left"/>
      <w:pPr>
        <w:ind w:left="5400" w:hanging="360"/>
      </w:pPr>
      <w:rPr>
        <w:rFonts w:ascii="Symbol" w:hAnsi="Symbol" w:hint="default"/>
      </w:rPr>
    </w:lvl>
    <w:lvl w:ilvl="7" w:tplc="74F691E2">
      <w:start w:val="1"/>
      <w:numFmt w:val="bullet"/>
      <w:lvlText w:val="o"/>
      <w:lvlJc w:val="left"/>
      <w:pPr>
        <w:ind w:left="6120" w:hanging="360"/>
      </w:pPr>
      <w:rPr>
        <w:rFonts w:ascii="Courier New" w:hAnsi="Courier New" w:hint="default"/>
      </w:rPr>
    </w:lvl>
    <w:lvl w:ilvl="8" w:tplc="143EE54E">
      <w:start w:val="1"/>
      <w:numFmt w:val="bullet"/>
      <w:lvlText w:val=""/>
      <w:lvlJc w:val="left"/>
      <w:pPr>
        <w:ind w:left="6840" w:hanging="360"/>
      </w:pPr>
      <w:rPr>
        <w:rFonts w:ascii="Wingdings" w:hAnsi="Wingdings" w:hint="default"/>
      </w:rPr>
    </w:lvl>
  </w:abstractNum>
  <w:abstractNum w:abstractNumId="79" w15:restartNumberingAfterBreak="0">
    <w:nsid w:val="742340C9"/>
    <w:multiLevelType w:val="hybridMultilevel"/>
    <w:tmpl w:val="53E83FD2"/>
    <w:lvl w:ilvl="0" w:tplc="C55C0A94">
      <w:start w:val="1"/>
      <w:numFmt w:val="bullet"/>
      <w:lvlText w:val=""/>
      <w:lvlJc w:val="left"/>
      <w:pPr>
        <w:ind w:left="1080" w:hanging="360"/>
      </w:pPr>
      <w:rPr>
        <w:rFonts w:ascii="Symbol" w:hAnsi="Symbol"/>
      </w:rPr>
    </w:lvl>
    <w:lvl w:ilvl="1" w:tplc="1C9A8958">
      <w:start w:val="1"/>
      <w:numFmt w:val="bullet"/>
      <w:lvlText w:val=""/>
      <w:lvlJc w:val="left"/>
      <w:pPr>
        <w:ind w:left="1080" w:hanging="360"/>
      </w:pPr>
      <w:rPr>
        <w:rFonts w:ascii="Symbol" w:hAnsi="Symbol"/>
      </w:rPr>
    </w:lvl>
    <w:lvl w:ilvl="2" w:tplc="7A44F22C">
      <w:start w:val="1"/>
      <w:numFmt w:val="bullet"/>
      <w:lvlText w:val=""/>
      <w:lvlJc w:val="left"/>
      <w:pPr>
        <w:ind w:left="1080" w:hanging="360"/>
      </w:pPr>
      <w:rPr>
        <w:rFonts w:ascii="Symbol" w:hAnsi="Symbol"/>
      </w:rPr>
    </w:lvl>
    <w:lvl w:ilvl="3" w:tplc="10E8F134">
      <w:start w:val="1"/>
      <w:numFmt w:val="bullet"/>
      <w:lvlText w:val=""/>
      <w:lvlJc w:val="left"/>
      <w:pPr>
        <w:ind w:left="1080" w:hanging="360"/>
      </w:pPr>
      <w:rPr>
        <w:rFonts w:ascii="Symbol" w:hAnsi="Symbol"/>
      </w:rPr>
    </w:lvl>
    <w:lvl w:ilvl="4" w:tplc="1FAEA84C">
      <w:start w:val="1"/>
      <w:numFmt w:val="bullet"/>
      <w:lvlText w:val=""/>
      <w:lvlJc w:val="left"/>
      <w:pPr>
        <w:ind w:left="1080" w:hanging="360"/>
      </w:pPr>
      <w:rPr>
        <w:rFonts w:ascii="Symbol" w:hAnsi="Symbol"/>
      </w:rPr>
    </w:lvl>
    <w:lvl w:ilvl="5" w:tplc="DB1A3522">
      <w:start w:val="1"/>
      <w:numFmt w:val="bullet"/>
      <w:lvlText w:val=""/>
      <w:lvlJc w:val="left"/>
      <w:pPr>
        <w:ind w:left="1080" w:hanging="360"/>
      </w:pPr>
      <w:rPr>
        <w:rFonts w:ascii="Symbol" w:hAnsi="Symbol"/>
      </w:rPr>
    </w:lvl>
    <w:lvl w:ilvl="6" w:tplc="D8FE2068">
      <w:start w:val="1"/>
      <w:numFmt w:val="bullet"/>
      <w:lvlText w:val=""/>
      <w:lvlJc w:val="left"/>
      <w:pPr>
        <w:ind w:left="1080" w:hanging="360"/>
      </w:pPr>
      <w:rPr>
        <w:rFonts w:ascii="Symbol" w:hAnsi="Symbol"/>
      </w:rPr>
    </w:lvl>
    <w:lvl w:ilvl="7" w:tplc="AE22E124">
      <w:start w:val="1"/>
      <w:numFmt w:val="bullet"/>
      <w:lvlText w:val=""/>
      <w:lvlJc w:val="left"/>
      <w:pPr>
        <w:ind w:left="1080" w:hanging="360"/>
      </w:pPr>
      <w:rPr>
        <w:rFonts w:ascii="Symbol" w:hAnsi="Symbol"/>
      </w:rPr>
    </w:lvl>
    <w:lvl w:ilvl="8" w:tplc="AB9AC17A">
      <w:start w:val="1"/>
      <w:numFmt w:val="bullet"/>
      <w:lvlText w:val=""/>
      <w:lvlJc w:val="left"/>
      <w:pPr>
        <w:ind w:left="1080" w:hanging="360"/>
      </w:pPr>
      <w:rPr>
        <w:rFonts w:ascii="Symbol" w:hAnsi="Symbol"/>
      </w:rPr>
    </w:lvl>
  </w:abstractNum>
  <w:abstractNum w:abstractNumId="80" w15:restartNumberingAfterBreak="0">
    <w:nsid w:val="75004102"/>
    <w:multiLevelType w:val="hybridMultilevel"/>
    <w:tmpl w:val="643A65E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1" w15:restartNumberingAfterBreak="0">
    <w:nsid w:val="785D52BE"/>
    <w:multiLevelType w:val="multilevel"/>
    <w:tmpl w:val="10002282"/>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82" w15:restartNumberingAfterBreak="0">
    <w:nsid w:val="789A0AFE"/>
    <w:multiLevelType w:val="multilevel"/>
    <w:tmpl w:val="18F4A5AC"/>
    <w:numStyleLink w:val="FoFCoLOP"/>
  </w:abstractNum>
  <w:abstractNum w:abstractNumId="83" w15:restartNumberingAfterBreak="0">
    <w:nsid w:val="7CEB22F5"/>
    <w:multiLevelType w:val="hybridMultilevel"/>
    <w:tmpl w:val="6E202A0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4" w15:restartNumberingAfterBreak="0">
    <w:nsid w:val="7DFF75B6"/>
    <w:multiLevelType w:val="hybridMultilevel"/>
    <w:tmpl w:val="4B14D4D8"/>
    <w:lvl w:ilvl="0" w:tplc="F4BED750">
      <w:start w:val="1"/>
      <w:numFmt w:val="bullet"/>
      <w:lvlText w:val=""/>
      <w:lvlJc w:val="left"/>
      <w:pPr>
        <w:ind w:left="1440" w:hanging="360"/>
      </w:pPr>
      <w:rPr>
        <w:rFonts w:ascii="Symbol" w:hAnsi="Symbol"/>
      </w:rPr>
    </w:lvl>
    <w:lvl w:ilvl="1" w:tplc="BF0A8A84">
      <w:start w:val="1"/>
      <w:numFmt w:val="bullet"/>
      <w:lvlText w:val=""/>
      <w:lvlJc w:val="left"/>
      <w:pPr>
        <w:ind w:left="1440" w:hanging="360"/>
      </w:pPr>
      <w:rPr>
        <w:rFonts w:ascii="Symbol" w:hAnsi="Symbol"/>
      </w:rPr>
    </w:lvl>
    <w:lvl w:ilvl="2" w:tplc="4FDE4BC8">
      <w:start w:val="1"/>
      <w:numFmt w:val="bullet"/>
      <w:lvlText w:val=""/>
      <w:lvlJc w:val="left"/>
      <w:pPr>
        <w:ind w:left="1440" w:hanging="360"/>
      </w:pPr>
      <w:rPr>
        <w:rFonts w:ascii="Symbol" w:hAnsi="Symbol"/>
      </w:rPr>
    </w:lvl>
    <w:lvl w:ilvl="3" w:tplc="A50EBE38">
      <w:start w:val="1"/>
      <w:numFmt w:val="bullet"/>
      <w:lvlText w:val=""/>
      <w:lvlJc w:val="left"/>
      <w:pPr>
        <w:ind w:left="1440" w:hanging="360"/>
      </w:pPr>
      <w:rPr>
        <w:rFonts w:ascii="Symbol" w:hAnsi="Symbol"/>
      </w:rPr>
    </w:lvl>
    <w:lvl w:ilvl="4" w:tplc="DE6A1B9E">
      <w:start w:val="1"/>
      <w:numFmt w:val="bullet"/>
      <w:lvlText w:val=""/>
      <w:lvlJc w:val="left"/>
      <w:pPr>
        <w:ind w:left="1440" w:hanging="360"/>
      </w:pPr>
      <w:rPr>
        <w:rFonts w:ascii="Symbol" w:hAnsi="Symbol"/>
      </w:rPr>
    </w:lvl>
    <w:lvl w:ilvl="5" w:tplc="C9904BB2">
      <w:start w:val="1"/>
      <w:numFmt w:val="bullet"/>
      <w:lvlText w:val=""/>
      <w:lvlJc w:val="left"/>
      <w:pPr>
        <w:ind w:left="1440" w:hanging="360"/>
      </w:pPr>
      <w:rPr>
        <w:rFonts w:ascii="Symbol" w:hAnsi="Symbol"/>
      </w:rPr>
    </w:lvl>
    <w:lvl w:ilvl="6" w:tplc="55D8BD20">
      <w:start w:val="1"/>
      <w:numFmt w:val="bullet"/>
      <w:lvlText w:val=""/>
      <w:lvlJc w:val="left"/>
      <w:pPr>
        <w:ind w:left="1440" w:hanging="360"/>
      </w:pPr>
      <w:rPr>
        <w:rFonts w:ascii="Symbol" w:hAnsi="Symbol"/>
      </w:rPr>
    </w:lvl>
    <w:lvl w:ilvl="7" w:tplc="0C08E44A">
      <w:start w:val="1"/>
      <w:numFmt w:val="bullet"/>
      <w:lvlText w:val=""/>
      <w:lvlJc w:val="left"/>
      <w:pPr>
        <w:ind w:left="1440" w:hanging="360"/>
      </w:pPr>
      <w:rPr>
        <w:rFonts w:ascii="Symbol" w:hAnsi="Symbol"/>
      </w:rPr>
    </w:lvl>
    <w:lvl w:ilvl="8" w:tplc="783E5CE0">
      <w:start w:val="1"/>
      <w:numFmt w:val="bullet"/>
      <w:lvlText w:val=""/>
      <w:lvlJc w:val="left"/>
      <w:pPr>
        <w:ind w:left="1440" w:hanging="360"/>
      </w:pPr>
      <w:rPr>
        <w:rFonts w:ascii="Symbol" w:hAnsi="Symbol"/>
      </w:rPr>
    </w:lvl>
  </w:abstractNum>
  <w:abstractNum w:abstractNumId="85" w15:restartNumberingAfterBreak="0">
    <w:nsid w:val="7FF644A6"/>
    <w:multiLevelType w:val="hybridMultilevel"/>
    <w:tmpl w:val="B962763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354526949">
    <w:abstractNumId w:val="62"/>
  </w:num>
  <w:num w:numId="2" w16cid:durableId="140774137">
    <w:abstractNumId w:val="8"/>
  </w:num>
  <w:num w:numId="3" w16cid:durableId="1898543446">
    <w:abstractNumId w:val="59"/>
  </w:num>
  <w:num w:numId="4" w16cid:durableId="701521005">
    <w:abstractNumId w:val="10"/>
    <w:lvlOverride w:ilvl="0">
      <w:lvl w:ilvl="0">
        <w:start w:val="1"/>
        <w:numFmt w:val="decimal"/>
        <w:pStyle w:val="CoL"/>
        <w:lvlText w:val="%1."/>
        <w:lvlJc w:val="right"/>
        <w:pPr>
          <w:ind w:left="0" w:firstLine="540"/>
        </w:pPr>
        <w:rPr>
          <w:rFonts w:hint="default"/>
          <w:b w:val="0"/>
          <w:bCs w:val="0"/>
        </w:rPr>
      </w:lvl>
    </w:lvlOverride>
  </w:num>
  <w:num w:numId="5" w16cid:durableId="2017029027">
    <w:abstractNumId w:val="82"/>
  </w:num>
  <w:num w:numId="6" w16cid:durableId="973756952">
    <w:abstractNumId w:val="35"/>
  </w:num>
  <w:num w:numId="7" w16cid:durableId="827667741">
    <w:abstractNumId w:val="17"/>
  </w:num>
  <w:num w:numId="8" w16cid:durableId="1760327020">
    <w:abstractNumId w:val="76"/>
  </w:num>
  <w:num w:numId="9" w16cid:durableId="816924040">
    <w:abstractNumId w:val="0"/>
  </w:num>
  <w:num w:numId="10" w16cid:durableId="1817916489">
    <w:abstractNumId w:val="16"/>
  </w:num>
  <w:num w:numId="11" w16cid:durableId="291985460">
    <w:abstractNumId w:val="20"/>
  </w:num>
  <w:num w:numId="12" w16cid:durableId="467941983">
    <w:abstractNumId w:val="14"/>
  </w:num>
  <w:num w:numId="13" w16cid:durableId="712996464">
    <w:abstractNumId w:val="23"/>
  </w:num>
  <w:num w:numId="14" w16cid:durableId="1303778653">
    <w:abstractNumId w:val="29"/>
  </w:num>
  <w:num w:numId="15" w16cid:durableId="1714382259">
    <w:abstractNumId w:val="70"/>
  </w:num>
  <w:num w:numId="16" w16cid:durableId="548107688">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114637577">
    <w:abstractNumId w:val="70"/>
  </w:num>
  <w:num w:numId="18" w16cid:durableId="613292606">
    <w:abstractNumId w:val="15"/>
  </w:num>
  <w:num w:numId="19" w16cid:durableId="2081629961">
    <w:abstractNumId w:val="1"/>
  </w:num>
  <w:num w:numId="20" w16cid:durableId="868417949">
    <w:abstractNumId w:val="11"/>
  </w:num>
  <w:num w:numId="21" w16cid:durableId="912010726">
    <w:abstractNumId w:val="34"/>
  </w:num>
  <w:num w:numId="22" w16cid:durableId="2073307156">
    <w:abstractNumId w:val="79"/>
  </w:num>
  <w:num w:numId="23" w16cid:durableId="873347592">
    <w:abstractNumId w:val="84"/>
  </w:num>
  <w:num w:numId="24" w16cid:durableId="450982276">
    <w:abstractNumId w:val="30"/>
  </w:num>
  <w:num w:numId="25" w16cid:durableId="554703179">
    <w:abstractNumId w:val="72"/>
  </w:num>
  <w:num w:numId="26" w16cid:durableId="5375759">
    <w:abstractNumId w:val="66"/>
  </w:num>
  <w:num w:numId="27" w16cid:durableId="1765540626">
    <w:abstractNumId w:val="78"/>
  </w:num>
  <w:num w:numId="28" w16cid:durableId="987174219">
    <w:abstractNumId w:val="33"/>
  </w:num>
  <w:num w:numId="29" w16cid:durableId="2086293693">
    <w:abstractNumId w:val="49"/>
  </w:num>
  <w:num w:numId="30" w16cid:durableId="1827086714">
    <w:abstractNumId w:val="61"/>
  </w:num>
  <w:num w:numId="31" w16cid:durableId="2072463344">
    <w:abstractNumId w:val="64"/>
  </w:num>
  <w:num w:numId="32" w16cid:durableId="2138833384">
    <w:abstractNumId w:val="37"/>
  </w:num>
  <w:num w:numId="33" w16cid:durableId="1715083475">
    <w:abstractNumId w:val="9"/>
  </w:num>
  <w:num w:numId="34" w16cid:durableId="1555654011">
    <w:abstractNumId w:val="57"/>
  </w:num>
  <w:num w:numId="35" w16cid:durableId="1630698302">
    <w:abstractNumId w:val="24"/>
  </w:num>
  <w:num w:numId="36" w16cid:durableId="1561861167">
    <w:abstractNumId w:val="5"/>
  </w:num>
  <w:num w:numId="37" w16cid:durableId="1322349687">
    <w:abstractNumId w:val="32"/>
  </w:num>
  <w:num w:numId="38" w16cid:durableId="100733303">
    <w:abstractNumId w:val="52"/>
  </w:num>
  <w:num w:numId="39" w16cid:durableId="816385436">
    <w:abstractNumId w:val="74"/>
  </w:num>
  <w:num w:numId="40" w16cid:durableId="973749967">
    <w:abstractNumId w:val="54"/>
  </w:num>
  <w:num w:numId="41" w16cid:durableId="356079672">
    <w:abstractNumId w:val="41"/>
  </w:num>
  <w:num w:numId="42" w16cid:durableId="1850637692">
    <w:abstractNumId w:val="22"/>
  </w:num>
  <w:num w:numId="43" w16cid:durableId="700783745">
    <w:abstractNumId w:val="46"/>
  </w:num>
  <w:num w:numId="44" w16cid:durableId="463889833">
    <w:abstractNumId w:val="42"/>
  </w:num>
  <w:num w:numId="45" w16cid:durableId="607205147">
    <w:abstractNumId w:val="38"/>
  </w:num>
  <w:num w:numId="46" w16cid:durableId="892348814">
    <w:abstractNumId w:val="55"/>
  </w:num>
  <w:num w:numId="47" w16cid:durableId="923536656">
    <w:abstractNumId w:val="18"/>
  </w:num>
  <w:num w:numId="48" w16cid:durableId="1275864361">
    <w:abstractNumId w:val="48"/>
  </w:num>
  <w:num w:numId="49" w16cid:durableId="1044410070">
    <w:abstractNumId w:val="45"/>
  </w:num>
  <w:num w:numId="50" w16cid:durableId="1738429151">
    <w:abstractNumId w:val="71"/>
  </w:num>
  <w:num w:numId="51" w16cid:durableId="1015838508">
    <w:abstractNumId w:val="6"/>
  </w:num>
  <w:num w:numId="52" w16cid:durableId="2144807563">
    <w:abstractNumId w:val="21"/>
  </w:num>
  <w:num w:numId="53" w16cid:durableId="1959945599">
    <w:abstractNumId w:val="3"/>
  </w:num>
  <w:num w:numId="54" w16cid:durableId="1936591459">
    <w:abstractNumId w:val="2"/>
  </w:num>
  <w:num w:numId="55" w16cid:durableId="1967275220">
    <w:abstractNumId w:val="53"/>
  </w:num>
  <w:num w:numId="56" w16cid:durableId="322319484">
    <w:abstractNumId w:val="28"/>
  </w:num>
  <w:num w:numId="57" w16cid:durableId="135336510">
    <w:abstractNumId w:val="51"/>
  </w:num>
  <w:num w:numId="58" w16cid:durableId="491458444">
    <w:abstractNumId w:val="81"/>
  </w:num>
  <w:num w:numId="59" w16cid:durableId="1836529376">
    <w:abstractNumId w:val="13"/>
  </w:num>
  <w:num w:numId="60" w16cid:durableId="935676750">
    <w:abstractNumId w:val="67"/>
  </w:num>
  <w:num w:numId="61" w16cid:durableId="1696617124">
    <w:abstractNumId w:val="27"/>
  </w:num>
  <w:num w:numId="62" w16cid:durableId="384720315">
    <w:abstractNumId w:val="25"/>
  </w:num>
  <w:num w:numId="63" w16cid:durableId="565334107">
    <w:abstractNumId w:val="7"/>
  </w:num>
  <w:num w:numId="64" w16cid:durableId="2035956968">
    <w:abstractNumId w:val="26"/>
  </w:num>
  <w:num w:numId="65" w16cid:durableId="511578296">
    <w:abstractNumId w:val="43"/>
  </w:num>
  <w:num w:numId="66" w16cid:durableId="1993870567">
    <w:abstractNumId w:val="40"/>
  </w:num>
  <w:num w:numId="67" w16cid:durableId="2109541678">
    <w:abstractNumId w:val="68"/>
  </w:num>
  <w:num w:numId="68" w16cid:durableId="2020812156">
    <w:abstractNumId w:val="39"/>
  </w:num>
  <w:num w:numId="69" w16cid:durableId="1289168907">
    <w:abstractNumId w:val="77"/>
  </w:num>
  <w:num w:numId="70" w16cid:durableId="1578783704">
    <w:abstractNumId w:val="65"/>
  </w:num>
  <w:num w:numId="71" w16cid:durableId="1285388595">
    <w:abstractNumId w:val="19"/>
  </w:num>
  <w:num w:numId="72" w16cid:durableId="923690054">
    <w:abstractNumId w:val="4"/>
  </w:num>
  <w:num w:numId="73" w16cid:durableId="1681350989">
    <w:abstractNumId w:val="36"/>
  </w:num>
  <w:num w:numId="74" w16cid:durableId="1402867218">
    <w:abstractNumId w:val="60"/>
  </w:num>
  <w:num w:numId="75" w16cid:durableId="1126583903">
    <w:abstractNumId w:val="73"/>
  </w:num>
  <w:num w:numId="76" w16cid:durableId="1308783740">
    <w:abstractNumId w:val="85"/>
  </w:num>
  <w:num w:numId="77" w16cid:durableId="371805508">
    <w:abstractNumId w:val="80"/>
  </w:num>
  <w:num w:numId="78" w16cid:durableId="1772359617">
    <w:abstractNumId w:val="50"/>
  </w:num>
  <w:num w:numId="79" w16cid:durableId="1633749525">
    <w:abstractNumId w:val="56"/>
  </w:num>
  <w:num w:numId="80" w16cid:durableId="2019845556">
    <w:abstractNumId w:val="12"/>
  </w:num>
  <w:num w:numId="81" w16cid:durableId="646207438">
    <w:abstractNumId w:val="44"/>
  </w:num>
  <w:num w:numId="82" w16cid:durableId="965160490">
    <w:abstractNumId w:val="47"/>
  </w:num>
  <w:num w:numId="83" w16cid:durableId="455562902">
    <w:abstractNumId w:val="83"/>
  </w:num>
  <w:num w:numId="84" w16cid:durableId="1027951703">
    <w:abstractNumId w:val="63"/>
  </w:num>
  <w:num w:numId="85" w16cid:durableId="274991599">
    <w:abstractNumId w:val="58"/>
  </w:num>
  <w:num w:numId="86" w16cid:durableId="1488283392">
    <w:abstractNumId w:val="75"/>
  </w:num>
  <w:num w:numId="87" w16cid:durableId="2133941640">
    <w:abstractNumId w:val="69"/>
  </w:num>
  <w:num w:numId="88" w16cid:durableId="285548568">
    <w:abstractNumId w:val="31"/>
  </w:num>
  <w:numIdMacAtCleanup w:val="7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6C13"/>
    <w:rsid w:val="00000141"/>
    <w:rsid w:val="000001BD"/>
    <w:rsid w:val="000001C9"/>
    <w:rsid w:val="000005B4"/>
    <w:rsid w:val="000008BF"/>
    <w:rsid w:val="00000B5F"/>
    <w:rsid w:val="00000F6A"/>
    <w:rsid w:val="0000109D"/>
    <w:rsid w:val="000011C1"/>
    <w:rsid w:val="000013FC"/>
    <w:rsid w:val="00001467"/>
    <w:rsid w:val="000014EE"/>
    <w:rsid w:val="000015E1"/>
    <w:rsid w:val="00001638"/>
    <w:rsid w:val="0000167A"/>
    <w:rsid w:val="00001753"/>
    <w:rsid w:val="000017F0"/>
    <w:rsid w:val="00001A08"/>
    <w:rsid w:val="00001AF1"/>
    <w:rsid w:val="000020CD"/>
    <w:rsid w:val="00002298"/>
    <w:rsid w:val="000022AB"/>
    <w:rsid w:val="000023DB"/>
    <w:rsid w:val="00002615"/>
    <w:rsid w:val="0000269D"/>
    <w:rsid w:val="00002C37"/>
    <w:rsid w:val="00002D38"/>
    <w:rsid w:val="00002D40"/>
    <w:rsid w:val="00002D94"/>
    <w:rsid w:val="00003009"/>
    <w:rsid w:val="000030F2"/>
    <w:rsid w:val="00003129"/>
    <w:rsid w:val="000033A0"/>
    <w:rsid w:val="000036BE"/>
    <w:rsid w:val="00003B53"/>
    <w:rsid w:val="00003E82"/>
    <w:rsid w:val="000040D9"/>
    <w:rsid w:val="000042F0"/>
    <w:rsid w:val="000042FD"/>
    <w:rsid w:val="0000447F"/>
    <w:rsid w:val="000045A8"/>
    <w:rsid w:val="00004653"/>
    <w:rsid w:val="00004C9E"/>
    <w:rsid w:val="00004D45"/>
    <w:rsid w:val="00005234"/>
    <w:rsid w:val="00005614"/>
    <w:rsid w:val="0000585C"/>
    <w:rsid w:val="00005A5D"/>
    <w:rsid w:val="00005BFF"/>
    <w:rsid w:val="00005C49"/>
    <w:rsid w:val="00005C7A"/>
    <w:rsid w:val="00005CF5"/>
    <w:rsid w:val="00005F73"/>
    <w:rsid w:val="00005FE1"/>
    <w:rsid w:val="000060F6"/>
    <w:rsid w:val="00006283"/>
    <w:rsid w:val="00006698"/>
    <w:rsid w:val="00006DCC"/>
    <w:rsid w:val="00007218"/>
    <w:rsid w:val="00007332"/>
    <w:rsid w:val="00007447"/>
    <w:rsid w:val="00007663"/>
    <w:rsid w:val="000076B5"/>
    <w:rsid w:val="00007827"/>
    <w:rsid w:val="0000784C"/>
    <w:rsid w:val="00007ACD"/>
    <w:rsid w:val="00007B7E"/>
    <w:rsid w:val="00007C68"/>
    <w:rsid w:val="00007E1A"/>
    <w:rsid w:val="00010610"/>
    <w:rsid w:val="0001083A"/>
    <w:rsid w:val="000109CB"/>
    <w:rsid w:val="00010A3E"/>
    <w:rsid w:val="00010C11"/>
    <w:rsid w:val="00010C92"/>
    <w:rsid w:val="00010DD3"/>
    <w:rsid w:val="00010E51"/>
    <w:rsid w:val="00010F7F"/>
    <w:rsid w:val="0001108F"/>
    <w:rsid w:val="00011781"/>
    <w:rsid w:val="000117DF"/>
    <w:rsid w:val="0001193B"/>
    <w:rsid w:val="00011976"/>
    <w:rsid w:val="00011981"/>
    <w:rsid w:val="00011B46"/>
    <w:rsid w:val="00011BAF"/>
    <w:rsid w:val="00011BE2"/>
    <w:rsid w:val="00011D17"/>
    <w:rsid w:val="00012157"/>
    <w:rsid w:val="00012432"/>
    <w:rsid w:val="00012C47"/>
    <w:rsid w:val="00012D1C"/>
    <w:rsid w:val="000130BA"/>
    <w:rsid w:val="000133FB"/>
    <w:rsid w:val="00013481"/>
    <w:rsid w:val="000137EB"/>
    <w:rsid w:val="00013960"/>
    <w:rsid w:val="00013A59"/>
    <w:rsid w:val="00013A76"/>
    <w:rsid w:val="00013A83"/>
    <w:rsid w:val="00013BFC"/>
    <w:rsid w:val="0001431C"/>
    <w:rsid w:val="0001441F"/>
    <w:rsid w:val="000146F9"/>
    <w:rsid w:val="0001498A"/>
    <w:rsid w:val="000149A6"/>
    <w:rsid w:val="00014BBE"/>
    <w:rsid w:val="00014C74"/>
    <w:rsid w:val="00014D44"/>
    <w:rsid w:val="00014DEC"/>
    <w:rsid w:val="0001512F"/>
    <w:rsid w:val="0001527B"/>
    <w:rsid w:val="000152BE"/>
    <w:rsid w:val="0001544B"/>
    <w:rsid w:val="000154EB"/>
    <w:rsid w:val="00015603"/>
    <w:rsid w:val="000156C1"/>
    <w:rsid w:val="0001578E"/>
    <w:rsid w:val="000157A2"/>
    <w:rsid w:val="00015834"/>
    <w:rsid w:val="00015951"/>
    <w:rsid w:val="00015DDF"/>
    <w:rsid w:val="00015EE4"/>
    <w:rsid w:val="0001645C"/>
    <w:rsid w:val="000164E5"/>
    <w:rsid w:val="000165B5"/>
    <w:rsid w:val="00016A03"/>
    <w:rsid w:val="00016A3C"/>
    <w:rsid w:val="00016AE2"/>
    <w:rsid w:val="00016F2C"/>
    <w:rsid w:val="000170BC"/>
    <w:rsid w:val="0001724C"/>
    <w:rsid w:val="0001735E"/>
    <w:rsid w:val="000174F1"/>
    <w:rsid w:val="0001773F"/>
    <w:rsid w:val="000177D0"/>
    <w:rsid w:val="00017AFE"/>
    <w:rsid w:val="00017B20"/>
    <w:rsid w:val="00017BC7"/>
    <w:rsid w:val="00017BFB"/>
    <w:rsid w:val="00017CD6"/>
    <w:rsid w:val="00017E5B"/>
    <w:rsid w:val="00017EBC"/>
    <w:rsid w:val="00017EC3"/>
    <w:rsid w:val="00017EFC"/>
    <w:rsid w:val="00020137"/>
    <w:rsid w:val="000201C3"/>
    <w:rsid w:val="0002020B"/>
    <w:rsid w:val="00020302"/>
    <w:rsid w:val="00020597"/>
    <w:rsid w:val="00020705"/>
    <w:rsid w:val="0002074C"/>
    <w:rsid w:val="00020993"/>
    <w:rsid w:val="00020C85"/>
    <w:rsid w:val="00020E35"/>
    <w:rsid w:val="0002102C"/>
    <w:rsid w:val="00021091"/>
    <w:rsid w:val="000211E5"/>
    <w:rsid w:val="000214BE"/>
    <w:rsid w:val="000216D7"/>
    <w:rsid w:val="00021708"/>
    <w:rsid w:val="00021739"/>
    <w:rsid w:val="00021B54"/>
    <w:rsid w:val="00021C56"/>
    <w:rsid w:val="00021F8F"/>
    <w:rsid w:val="000225E5"/>
    <w:rsid w:val="000226ED"/>
    <w:rsid w:val="0002274F"/>
    <w:rsid w:val="00022AB6"/>
    <w:rsid w:val="00022B24"/>
    <w:rsid w:val="00022D2D"/>
    <w:rsid w:val="00022DBD"/>
    <w:rsid w:val="00022E17"/>
    <w:rsid w:val="0002317E"/>
    <w:rsid w:val="000232FF"/>
    <w:rsid w:val="00023379"/>
    <w:rsid w:val="000237D0"/>
    <w:rsid w:val="000237DD"/>
    <w:rsid w:val="00023894"/>
    <w:rsid w:val="000239B5"/>
    <w:rsid w:val="00023D6F"/>
    <w:rsid w:val="00023D71"/>
    <w:rsid w:val="00023F20"/>
    <w:rsid w:val="0002447F"/>
    <w:rsid w:val="000244FE"/>
    <w:rsid w:val="00024639"/>
    <w:rsid w:val="000246D1"/>
    <w:rsid w:val="00024F19"/>
    <w:rsid w:val="00025108"/>
    <w:rsid w:val="00025118"/>
    <w:rsid w:val="000252A8"/>
    <w:rsid w:val="0002530E"/>
    <w:rsid w:val="0002566F"/>
    <w:rsid w:val="000256CE"/>
    <w:rsid w:val="00025857"/>
    <w:rsid w:val="00025B17"/>
    <w:rsid w:val="00025CAC"/>
    <w:rsid w:val="00026199"/>
    <w:rsid w:val="000263EC"/>
    <w:rsid w:val="00026402"/>
    <w:rsid w:val="0002675C"/>
    <w:rsid w:val="0002676D"/>
    <w:rsid w:val="00026C1B"/>
    <w:rsid w:val="00026D6A"/>
    <w:rsid w:val="00026EE2"/>
    <w:rsid w:val="00026FA7"/>
    <w:rsid w:val="00027155"/>
    <w:rsid w:val="00027356"/>
    <w:rsid w:val="00027803"/>
    <w:rsid w:val="00027D1B"/>
    <w:rsid w:val="00027F75"/>
    <w:rsid w:val="00030092"/>
    <w:rsid w:val="000300CF"/>
    <w:rsid w:val="000302C3"/>
    <w:rsid w:val="00030412"/>
    <w:rsid w:val="00030522"/>
    <w:rsid w:val="0003054E"/>
    <w:rsid w:val="000308AF"/>
    <w:rsid w:val="00030B0F"/>
    <w:rsid w:val="00030B49"/>
    <w:rsid w:val="0003100C"/>
    <w:rsid w:val="0003102D"/>
    <w:rsid w:val="00031170"/>
    <w:rsid w:val="0003117E"/>
    <w:rsid w:val="00031227"/>
    <w:rsid w:val="00031304"/>
    <w:rsid w:val="0003173A"/>
    <w:rsid w:val="00031B46"/>
    <w:rsid w:val="00031BCA"/>
    <w:rsid w:val="00031EA6"/>
    <w:rsid w:val="00031FEC"/>
    <w:rsid w:val="000320C2"/>
    <w:rsid w:val="000320D6"/>
    <w:rsid w:val="000321DA"/>
    <w:rsid w:val="000322AE"/>
    <w:rsid w:val="000323F9"/>
    <w:rsid w:val="00032775"/>
    <w:rsid w:val="00032827"/>
    <w:rsid w:val="000328D8"/>
    <w:rsid w:val="000329DA"/>
    <w:rsid w:val="00032F7A"/>
    <w:rsid w:val="00033062"/>
    <w:rsid w:val="0003308D"/>
    <w:rsid w:val="00033154"/>
    <w:rsid w:val="00033703"/>
    <w:rsid w:val="000337FE"/>
    <w:rsid w:val="00033964"/>
    <w:rsid w:val="00033A4C"/>
    <w:rsid w:val="00033A51"/>
    <w:rsid w:val="00033BF7"/>
    <w:rsid w:val="00033CD3"/>
    <w:rsid w:val="00033D57"/>
    <w:rsid w:val="00033D65"/>
    <w:rsid w:val="00033E2E"/>
    <w:rsid w:val="00033E95"/>
    <w:rsid w:val="00033EE1"/>
    <w:rsid w:val="00034230"/>
    <w:rsid w:val="00034506"/>
    <w:rsid w:val="0003453B"/>
    <w:rsid w:val="00034703"/>
    <w:rsid w:val="000348A5"/>
    <w:rsid w:val="0003496F"/>
    <w:rsid w:val="00034B21"/>
    <w:rsid w:val="00034BCD"/>
    <w:rsid w:val="00034C59"/>
    <w:rsid w:val="00034C6D"/>
    <w:rsid w:val="00034D75"/>
    <w:rsid w:val="00034D88"/>
    <w:rsid w:val="00034EDC"/>
    <w:rsid w:val="00034F3B"/>
    <w:rsid w:val="00035002"/>
    <w:rsid w:val="0003509A"/>
    <w:rsid w:val="00035276"/>
    <w:rsid w:val="000352C4"/>
    <w:rsid w:val="00035351"/>
    <w:rsid w:val="0003542C"/>
    <w:rsid w:val="0003550C"/>
    <w:rsid w:val="00035646"/>
    <w:rsid w:val="00035773"/>
    <w:rsid w:val="0003579E"/>
    <w:rsid w:val="000358B8"/>
    <w:rsid w:val="00035B77"/>
    <w:rsid w:val="00035E5D"/>
    <w:rsid w:val="00035F5E"/>
    <w:rsid w:val="00035F91"/>
    <w:rsid w:val="00035F99"/>
    <w:rsid w:val="0003603B"/>
    <w:rsid w:val="000361BE"/>
    <w:rsid w:val="0003627F"/>
    <w:rsid w:val="000366E1"/>
    <w:rsid w:val="000366EF"/>
    <w:rsid w:val="0003688E"/>
    <w:rsid w:val="00036A7B"/>
    <w:rsid w:val="00036FF4"/>
    <w:rsid w:val="00037282"/>
    <w:rsid w:val="00037364"/>
    <w:rsid w:val="0003737B"/>
    <w:rsid w:val="0003760C"/>
    <w:rsid w:val="00037C6B"/>
    <w:rsid w:val="00037D41"/>
    <w:rsid w:val="00040066"/>
    <w:rsid w:val="00040409"/>
    <w:rsid w:val="0004042E"/>
    <w:rsid w:val="000405CA"/>
    <w:rsid w:val="000407CF"/>
    <w:rsid w:val="00040A25"/>
    <w:rsid w:val="00040B3D"/>
    <w:rsid w:val="00040BCD"/>
    <w:rsid w:val="00040C80"/>
    <w:rsid w:val="00040CE8"/>
    <w:rsid w:val="00040F2A"/>
    <w:rsid w:val="00040F3F"/>
    <w:rsid w:val="000416F5"/>
    <w:rsid w:val="00041750"/>
    <w:rsid w:val="00041778"/>
    <w:rsid w:val="00041862"/>
    <w:rsid w:val="00041AC2"/>
    <w:rsid w:val="00042224"/>
    <w:rsid w:val="000424D0"/>
    <w:rsid w:val="00042CD2"/>
    <w:rsid w:val="00042CF3"/>
    <w:rsid w:val="00042D55"/>
    <w:rsid w:val="00042D8C"/>
    <w:rsid w:val="00043104"/>
    <w:rsid w:val="000431E6"/>
    <w:rsid w:val="00043254"/>
    <w:rsid w:val="00043732"/>
    <w:rsid w:val="00043788"/>
    <w:rsid w:val="000438D5"/>
    <w:rsid w:val="00043A29"/>
    <w:rsid w:val="00043B64"/>
    <w:rsid w:val="00043CF4"/>
    <w:rsid w:val="00043D44"/>
    <w:rsid w:val="00043ECD"/>
    <w:rsid w:val="00043F94"/>
    <w:rsid w:val="000441B6"/>
    <w:rsid w:val="0004442E"/>
    <w:rsid w:val="00044476"/>
    <w:rsid w:val="00044512"/>
    <w:rsid w:val="00044686"/>
    <w:rsid w:val="00044AC4"/>
    <w:rsid w:val="00044D3C"/>
    <w:rsid w:val="00044DB3"/>
    <w:rsid w:val="00044F57"/>
    <w:rsid w:val="00045115"/>
    <w:rsid w:val="0004529C"/>
    <w:rsid w:val="0004553C"/>
    <w:rsid w:val="0004574A"/>
    <w:rsid w:val="000459D2"/>
    <w:rsid w:val="00045B05"/>
    <w:rsid w:val="00045CE3"/>
    <w:rsid w:val="00045DD2"/>
    <w:rsid w:val="00045EB8"/>
    <w:rsid w:val="000462D3"/>
    <w:rsid w:val="000463F7"/>
    <w:rsid w:val="00046514"/>
    <w:rsid w:val="0004653C"/>
    <w:rsid w:val="000466D3"/>
    <w:rsid w:val="00046C97"/>
    <w:rsid w:val="00046E7F"/>
    <w:rsid w:val="00046F6D"/>
    <w:rsid w:val="00047099"/>
    <w:rsid w:val="00047242"/>
    <w:rsid w:val="00047326"/>
    <w:rsid w:val="0004778B"/>
    <w:rsid w:val="00047C21"/>
    <w:rsid w:val="00047DB4"/>
    <w:rsid w:val="0005004C"/>
    <w:rsid w:val="000504A0"/>
    <w:rsid w:val="00050722"/>
    <w:rsid w:val="00050AC1"/>
    <w:rsid w:val="00050BB1"/>
    <w:rsid w:val="00050F54"/>
    <w:rsid w:val="00051033"/>
    <w:rsid w:val="0005108F"/>
    <w:rsid w:val="00051743"/>
    <w:rsid w:val="0005182D"/>
    <w:rsid w:val="00051973"/>
    <w:rsid w:val="0005204C"/>
    <w:rsid w:val="0005234B"/>
    <w:rsid w:val="000523C2"/>
    <w:rsid w:val="00052464"/>
    <w:rsid w:val="00052479"/>
    <w:rsid w:val="000525CE"/>
    <w:rsid w:val="00052654"/>
    <w:rsid w:val="0005280C"/>
    <w:rsid w:val="00052B54"/>
    <w:rsid w:val="00052B81"/>
    <w:rsid w:val="00052D3F"/>
    <w:rsid w:val="00052E16"/>
    <w:rsid w:val="00052F9C"/>
    <w:rsid w:val="000530B1"/>
    <w:rsid w:val="000530DA"/>
    <w:rsid w:val="000532A1"/>
    <w:rsid w:val="0005335B"/>
    <w:rsid w:val="00053708"/>
    <w:rsid w:val="000537F5"/>
    <w:rsid w:val="0005398F"/>
    <w:rsid w:val="00053B26"/>
    <w:rsid w:val="00053CB8"/>
    <w:rsid w:val="00053CC4"/>
    <w:rsid w:val="00053D14"/>
    <w:rsid w:val="00053D9C"/>
    <w:rsid w:val="0005400F"/>
    <w:rsid w:val="0005454D"/>
    <w:rsid w:val="00054A97"/>
    <w:rsid w:val="00054CE5"/>
    <w:rsid w:val="00054EF4"/>
    <w:rsid w:val="0005532E"/>
    <w:rsid w:val="00055622"/>
    <w:rsid w:val="00055674"/>
    <w:rsid w:val="00055927"/>
    <w:rsid w:val="00055A86"/>
    <w:rsid w:val="00055FBF"/>
    <w:rsid w:val="0005633E"/>
    <w:rsid w:val="000563E8"/>
    <w:rsid w:val="0005646B"/>
    <w:rsid w:val="00056596"/>
    <w:rsid w:val="00056710"/>
    <w:rsid w:val="0005672B"/>
    <w:rsid w:val="000567E3"/>
    <w:rsid w:val="00056845"/>
    <w:rsid w:val="00056848"/>
    <w:rsid w:val="00056CAC"/>
    <w:rsid w:val="00056D57"/>
    <w:rsid w:val="0005703D"/>
    <w:rsid w:val="000572AC"/>
    <w:rsid w:val="0005755E"/>
    <w:rsid w:val="0005760B"/>
    <w:rsid w:val="00057752"/>
    <w:rsid w:val="00057F73"/>
    <w:rsid w:val="00060197"/>
    <w:rsid w:val="000602F9"/>
    <w:rsid w:val="00060A0E"/>
    <w:rsid w:val="00060DFA"/>
    <w:rsid w:val="00060E2B"/>
    <w:rsid w:val="00060E55"/>
    <w:rsid w:val="00060F7D"/>
    <w:rsid w:val="0006103A"/>
    <w:rsid w:val="00061053"/>
    <w:rsid w:val="000611D3"/>
    <w:rsid w:val="000612D2"/>
    <w:rsid w:val="000612F5"/>
    <w:rsid w:val="00061414"/>
    <w:rsid w:val="00061795"/>
    <w:rsid w:val="00061956"/>
    <w:rsid w:val="000619E0"/>
    <w:rsid w:val="000619E8"/>
    <w:rsid w:val="00061E60"/>
    <w:rsid w:val="00061FAD"/>
    <w:rsid w:val="00061FFB"/>
    <w:rsid w:val="000622BB"/>
    <w:rsid w:val="000622FB"/>
    <w:rsid w:val="000623C7"/>
    <w:rsid w:val="00062585"/>
    <w:rsid w:val="000626F0"/>
    <w:rsid w:val="0006310B"/>
    <w:rsid w:val="000635F4"/>
    <w:rsid w:val="0006379C"/>
    <w:rsid w:val="000637B8"/>
    <w:rsid w:val="0006393C"/>
    <w:rsid w:val="00063A1E"/>
    <w:rsid w:val="00063B35"/>
    <w:rsid w:val="00063EF6"/>
    <w:rsid w:val="00064077"/>
    <w:rsid w:val="0006408F"/>
    <w:rsid w:val="000641CC"/>
    <w:rsid w:val="000648E6"/>
    <w:rsid w:val="00064902"/>
    <w:rsid w:val="00064A18"/>
    <w:rsid w:val="00064B29"/>
    <w:rsid w:val="00064DBB"/>
    <w:rsid w:val="00064E4B"/>
    <w:rsid w:val="00064EC1"/>
    <w:rsid w:val="00064EF7"/>
    <w:rsid w:val="000653F3"/>
    <w:rsid w:val="00065869"/>
    <w:rsid w:val="000659E0"/>
    <w:rsid w:val="00065CE6"/>
    <w:rsid w:val="00065FBD"/>
    <w:rsid w:val="00066290"/>
    <w:rsid w:val="000663C4"/>
    <w:rsid w:val="000665D3"/>
    <w:rsid w:val="000665FE"/>
    <w:rsid w:val="00066620"/>
    <w:rsid w:val="00066707"/>
    <w:rsid w:val="00066760"/>
    <w:rsid w:val="000667E4"/>
    <w:rsid w:val="00066895"/>
    <w:rsid w:val="00066BDF"/>
    <w:rsid w:val="00066CC5"/>
    <w:rsid w:val="000673A2"/>
    <w:rsid w:val="000673EC"/>
    <w:rsid w:val="00067476"/>
    <w:rsid w:val="00067544"/>
    <w:rsid w:val="00067A09"/>
    <w:rsid w:val="00067BE3"/>
    <w:rsid w:val="00067D12"/>
    <w:rsid w:val="00067F59"/>
    <w:rsid w:val="00070160"/>
    <w:rsid w:val="000704BC"/>
    <w:rsid w:val="00070595"/>
    <w:rsid w:val="000707A8"/>
    <w:rsid w:val="000707BA"/>
    <w:rsid w:val="000708A8"/>
    <w:rsid w:val="00070A74"/>
    <w:rsid w:val="00070DC1"/>
    <w:rsid w:val="00070FB2"/>
    <w:rsid w:val="0007115A"/>
    <w:rsid w:val="0007130C"/>
    <w:rsid w:val="0007143B"/>
    <w:rsid w:val="00071570"/>
    <w:rsid w:val="0007165C"/>
    <w:rsid w:val="00071663"/>
    <w:rsid w:val="000718E4"/>
    <w:rsid w:val="00071C62"/>
    <w:rsid w:val="00071D22"/>
    <w:rsid w:val="00071DAA"/>
    <w:rsid w:val="000721C5"/>
    <w:rsid w:val="00072317"/>
    <w:rsid w:val="00072346"/>
    <w:rsid w:val="0007271E"/>
    <w:rsid w:val="0007279A"/>
    <w:rsid w:val="00072985"/>
    <w:rsid w:val="00072C77"/>
    <w:rsid w:val="00072D15"/>
    <w:rsid w:val="00072E58"/>
    <w:rsid w:val="000730B1"/>
    <w:rsid w:val="0007344B"/>
    <w:rsid w:val="00073570"/>
    <w:rsid w:val="00073733"/>
    <w:rsid w:val="000737CE"/>
    <w:rsid w:val="0007399D"/>
    <w:rsid w:val="00073A86"/>
    <w:rsid w:val="00073AC5"/>
    <w:rsid w:val="00073B1C"/>
    <w:rsid w:val="00073BA3"/>
    <w:rsid w:val="00073CAF"/>
    <w:rsid w:val="00073DCE"/>
    <w:rsid w:val="00073F8E"/>
    <w:rsid w:val="00073FBC"/>
    <w:rsid w:val="00074117"/>
    <w:rsid w:val="00074214"/>
    <w:rsid w:val="00074225"/>
    <w:rsid w:val="0007425D"/>
    <w:rsid w:val="0007469F"/>
    <w:rsid w:val="00074930"/>
    <w:rsid w:val="00074A85"/>
    <w:rsid w:val="00074C33"/>
    <w:rsid w:val="00074CC5"/>
    <w:rsid w:val="00074E3C"/>
    <w:rsid w:val="00074FB4"/>
    <w:rsid w:val="000750E9"/>
    <w:rsid w:val="00075214"/>
    <w:rsid w:val="00075464"/>
    <w:rsid w:val="000754A4"/>
    <w:rsid w:val="0007584F"/>
    <w:rsid w:val="00075866"/>
    <w:rsid w:val="00075B86"/>
    <w:rsid w:val="00075BB9"/>
    <w:rsid w:val="00075BBF"/>
    <w:rsid w:val="00075C9C"/>
    <w:rsid w:val="00075CDE"/>
    <w:rsid w:val="00075FAB"/>
    <w:rsid w:val="0007614E"/>
    <w:rsid w:val="000761E1"/>
    <w:rsid w:val="00076235"/>
    <w:rsid w:val="000763CC"/>
    <w:rsid w:val="00076436"/>
    <w:rsid w:val="000765D1"/>
    <w:rsid w:val="000765D9"/>
    <w:rsid w:val="00076677"/>
    <w:rsid w:val="000766A5"/>
    <w:rsid w:val="0007675A"/>
    <w:rsid w:val="0007689C"/>
    <w:rsid w:val="00076944"/>
    <w:rsid w:val="00076A52"/>
    <w:rsid w:val="00076AAC"/>
    <w:rsid w:val="00076C8C"/>
    <w:rsid w:val="00076E1D"/>
    <w:rsid w:val="00076F2D"/>
    <w:rsid w:val="00077269"/>
    <w:rsid w:val="00077724"/>
    <w:rsid w:val="0007772A"/>
    <w:rsid w:val="00077E96"/>
    <w:rsid w:val="00080468"/>
    <w:rsid w:val="0008054D"/>
    <w:rsid w:val="00080885"/>
    <w:rsid w:val="000809E3"/>
    <w:rsid w:val="00080D57"/>
    <w:rsid w:val="00081300"/>
    <w:rsid w:val="000814DB"/>
    <w:rsid w:val="00081736"/>
    <w:rsid w:val="00081819"/>
    <w:rsid w:val="00081CCE"/>
    <w:rsid w:val="0008204F"/>
    <w:rsid w:val="000821D6"/>
    <w:rsid w:val="00082383"/>
    <w:rsid w:val="00082428"/>
    <w:rsid w:val="000825E6"/>
    <w:rsid w:val="00082740"/>
    <w:rsid w:val="00082888"/>
    <w:rsid w:val="000828FF"/>
    <w:rsid w:val="00082998"/>
    <w:rsid w:val="00082E2A"/>
    <w:rsid w:val="00082E36"/>
    <w:rsid w:val="000832A7"/>
    <w:rsid w:val="00083533"/>
    <w:rsid w:val="0008384C"/>
    <w:rsid w:val="000838A6"/>
    <w:rsid w:val="0008415F"/>
    <w:rsid w:val="00084356"/>
    <w:rsid w:val="000845EE"/>
    <w:rsid w:val="00084967"/>
    <w:rsid w:val="00084BB5"/>
    <w:rsid w:val="00084C03"/>
    <w:rsid w:val="00084DF3"/>
    <w:rsid w:val="00084F7F"/>
    <w:rsid w:val="00084FD4"/>
    <w:rsid w:val="00085171"/>
    <w:rsid w:val="0008559A"/>
    <w:rsid w:val="00085640"/>
    <w:rsid w:val="00085818"/>
    <w:rsid w:val="00085855"/>
    <w:rsid w:val="000859C0"/>
    <w:rsid w:val="00085DCD"/>
    <w:rsid w:val="00085EA3"/>
    <w:rsid w:val="00085ED9"/>
    <w:rsid w:val="00086104"/>
    <w:rsid w:val="00086182"/>
    <w:rsid w:val="0008654A"/>
    <w:rsid w:val="0008669D"/>
    <w:rsid w:val="000866A0"/>
    <w:rsid w:val="00086716"/>
    <w:rsid w:val="00086C75"/>
    <w:rsid w:val="00086D91"/>
    <w:rsid w:val="00087033"/>
    <w:rsid w:val="000877DE"/>
    <w:rsid w:val="000878BB"/>
    <w:rsid w:val="00087B93"/>
    <w:rsid w:val="00087DB6"/>
    <w:rsid w:val="00087EB1"/>
    <w:rsid w:val="00087ED3"/>
    <w:rsid w:val="00087FFC"/>
    <w:rsid w:val="00090376"/>
    <w:rsid w:val="00090566"/>
    <w:rsid w:val="000907A8"/>
    <w:rsid w:val="000907DD"/>
    <w:rsid w:val="00090806"/>
    <w:rsid w:val="00090AED"/>
    <w:rsid w:val="00090B78"/>
    <w:rsid w:val="00090CEF"/>
    <w:rsid w:val="00090D59"/>
    <w:rsid w:val="00090D78"/>
    <w:rsid w:val="00090D85"/>
    <w:rsid w:val="00090E05"/>
    <w:rsid w:val="0009103B"/>
    <w:rsid w:val="00091075"/>
    <w:rsid w:val="000911E3"/>
    <w:rsid w:val="000913C9"/>
    <w:rsid w:val="0009156F"/>
    <w:rsid w:val="0009174E"/>
    <w:rsid w:val="00091D10"/>
    <w:rsid w:val="00091EEA"/>
    <w:rsid w:val="00092254"/>
    <w:rsid w:val="000922B8"/>
    <w:rsid w:val="0009230E"/>
    <w:rsid w:val="00092B24"/>
    <w:rsid w:val="00092C67"/>
    <w:rsid w:val="00093145"/>
    <w:rsid w:val="0009324B"/>
    <w:rsid w:val="00093290"/>
    <w:rsid w:val="000932CF"/>
    <w:rsid w:val="000937C4"/>
    <w:rsid w:val="000939C5"/>
    <w:rsid w:val="00093AB8"/>
    <w:rsid w:val="00093AFA"/>
    <w:rsid w:val="00093BDA"/>
    <w:rsid w:val="00093BF2"/>
    <w:rsid w:val="00093C8B"/>
    <w:rsid w:val="00093CE5"/>
    <w:rsid w:val="00093D23"/>
    <w:rsid w:val="00093F41"/>
    <w:rsid w:val="00093FED"/>
    <w:rsid w:val="00094280"/>
    <w:rsid w:val="000943EC"/>
    <w:rsid w:val="000947AB"/>
    <w:rsid w:val="00094BD0"/>
    <w:rsid w:val="00094C39"/>
    <w:rsid w:val="00094CD0"/>
    <w:rsid w:val="00094D61"/>
    <w:rsid w:val="000950D7"/>
    <w:rsid w:val="00095232"/>
    <w:rsid w:val="000952B1"/>
    <w:rsid w:val="00095348"/>
    <w:rsid w:val="000955EF"/>
    <w:rsid w:val="000955F8"/>
    <w:rsid w:val="000956BD"/>
    <w:rsid w:val="000957B5"/>
    <w:rsid w:val="00095965"/>
    <w:rsid w:val="00095A47"/>
    <w:rsid w:val="00095A50"/>
    <w:rsid w:val="00095CCC"/>
    <w:rsid w:val="00095E55"/>
    <w:rsid w:val="00095E97"/>
    <w:rsid w:val="00096077"/>
    <w:rsid w:val="0009674C"/>
    <w:rsid w:val="00096864"/>
    <w:rsid w:val="000969A1"/>
    <w:rsid w:val="00096AF9"/>
    <w:rsid w:val="000971B7"/>
    <w:rsid w:val="00097358"/>
    <w:rsid w:val="00097391"/>
    <w:rsid w:val="0009739D"/>
    <w:rsid w:val="000973C8"/>
    <w:rsid w:val="00097893"/>
    <w:rsid w:val="0009793D"/>
    <w:rsid w:val="00097A3A"/>
    <w:rsid w:val="00097AA7"/>
    <w:rsid w:val="00097B4E"/>
    <w:rsid w:val="00097BA7"/>
    <w:rsid w:val="00097C1D"/>
    <w:rsid w:val="000A0044"/>
    <w:rsid w:val="000A0154"/>
    <w:rsid w:val="000A0B6B"/>
    <w:rsid w:val="000A0BD6"/>
    <w:rsid w:val="000A0DA0"/>
    <w:rsid w:val="000A13B8"/>
    <w:rsid w:val="000A15F5"/>
    <w:rsid w:val="000A17DD"/>
    <w:rsid w:val="000A1995"/>
    <w:rsid w:val="000A1AC2"/>
    <w:rsid w:val="000A1D6F"/>
    <w:rsid w:val="000A2113"/>
    <w:rsid w:val="000A21FF"/>
    <w:rsid w:val="000A237C"/>
    <w:rsid w:val="000A2537"/>
    <w:rsid w:val="000A27C0"/>
    <w:rsid w:val="000A28DF"/>
    <w:rsid w:val="000A28EA"/>
    <w:rsid w:val="000A29A9"/>
    <w:rsid w:val="000A2AA9"/>
    <w:rsid w:val="000A2B2E"/>
    <w:rsid w:val="000A2DE4"/>
    <w:rsid w:val="000A312F"/>
    <w:rsid w:val="000A3255"/>
    <w:rsid w:val="000A347E"/>
    <w:rsid w:val="000A36A5"/>
    <w:rsid w:val="000A36C0"/>
    <w:rsid w:val="000A379C"/>
    <w:rsid w:val="000A3C9A"/>
    <w:rsid w:val="000A3E47"/>
    <w:rsid w:val="000A3F92"/>
    <w:rsid w:val="000A3FCE"/>
    <w:rsid w:val="000A45A6"/>
    <w:rsid w:val="000A45CC"/>
    <w:rsid w:val="000A4667"/>
    <w:rsid w:val="000A4778"/>
    <w:rsid w:val="000A47EB"/>
    <w:rsid w:val="000A4C0E"/>
    <w:rsid w:val="000A4C26"/>
    <w:rsid w:val="000A4E59"/>
    <w:rsid w:val="000A4F67"/>
    <w:rsid w:val="000A551D"/>
    <w:rsid w:val="000A56F2"/>
    <w:rsid w:val="000A5EBB"/>
    <w:rsid w:val="000A5F5F"/>
    <w:rsid w:val="000A618B"/>
    <w:rsid w:val="000A6681"/>
    <w:rsid w:val="000A6BBF"/>
    <w:rsid w:val="000A6D5E"/>
    <w:rsid w:val="000A6DCC"/>
    <w:rsid w:val="000A6E05"/>
    <w:rsid w:val="000A6E35"/>
    <w:rsid w:val="000A702D"/>
    <w:rsid w:val="000A70AA"/>
    <w:rsid w:val="000A73D8"/>
    <w:rsid w:val="000A75C8"/>
    <w:rsid w:val="000A78C5"/>
    <w:rsid w:val="000A7932"/>
    <w:rsid w:val="000A7CD7"/>
    <w:rsid w:val="000A7F31"/>
    <w:rsid w:val="000B0274"/>
    <w:rsid w:val="000B0497"/>
    <w:rsid w:val="000B07FD"/>
    <w:rsid w:val="000B0A15"/>
    <w:rsid w:val="000B0BB6"/>
    <w:rsid w:val="000B0C57"/>
    <w:rsid w:val="000B0FED"/>
    <w:rsid w:val="000B1054"/>
    <w:rsid w:val="000B106B"/>
    <w:rsid w:val="000B113A"/>
    <w:rsid w:val="000B12FA"/>
    <w:rsid w:val="000B132F"/>
    <w:rsid w:val="000B16A6"/>
    <w:rsid w:val="000B1749"/>
    <w:rsid w:val="000B17CB"/>
    <w:rsid w:val="000B181E"/>
    <w:rsid w:val="000B1BEB"/>
    <w:rsid w:val="000B1E1D"/>
    <w:rsid w:val="000B2015"/>
    <w:rsid w:val="000B234E"/>
    <w:rsid w:val="000B2352"/>
    <w:rsid w:val="000B2580"/>
    <w:rsid w:val="000B2800"/>
    <w:rsid w:val="000B281B"/>
    <w:rsid w:val="000B2943"/>
    <w:rsid w:val="000B2C13"/>
    <w:rsid w:val="000B2D54"/>
    <w:rsid w:val="000B2FFF"/>
    <w:rsid w:val="000B30BF"/>
    <w:rsid w:val="000B3A5F"/>
    <w:rsid w:val="000B3A71"/>
    <w:rsid w:val="000B3B53"/>
    <w:rsid w:val="000B3B9D"/>
    <w:rsid w:val="000B3CD5"/>
    <w:rsid w:val="000B3FCA"/>
    <w:rsid w:val="000B4237"/>
    <w:rsid w:val="000B4255"/>
    <w:rsid w:val="000B4335"/>
    <w:rsid w:val="000B4411"/>
    <w:rsid w:val="000B47C9"/>
    <w:rsid w:val="000B4E67"/>
    <w:rsid w:val="000B509E"/>
    <w:rsid w:val="000B51B4"/>
    <w:rsid w:val="000B52F3"/>
    <w:rsid w:val="000B54B0"/>
    <w:rsid w:val="000B556D"/>
    <w:rsid w:val="000B564E"/>
    <w:rsid w:val="000B5673"/>
    <w:rsid w:val="000B5692"/>
    <w:rsid w:val="000B582B"/>
    <w:rsid w:val="000B584B"/>
    <w:rsid w:val="000B5B0E"/>
    <w:rsid w:val="000B5B79"/>
    <w:rsid w:val="000B5BA6"/>
    <w:rsid w:val="000B5FD5"/>
    <w:rsid w:val="000B60FE"/>
    <w:rsid w:val="000B636C"/>
    <w:rsid w:val="000B6682"/>
    <w:rsid w:val="000B669E"/>
    <w:rsid w:val="000B6709"/>
    <w:rsid w:val="000B6796"/>
    <w:rsid w:val="000B67C6"/>
    <w:rsid w:val="000B6C65"/>
    <w:rsid w:val="000B6E9D"/>
    <w:rsid w:val="000B6FB1"/>
    <w:rsid w:val="000B74D7"/>
    <w:rsid w:val="000B76B0"/>
    <w:rsid w:val="000B7799"/>
    <w:rsid w:val="000B78E5"/>
    <w:rsid w:val="000B7988"/>
    <w:rsid w:val="000B7D68"/>
    <w:rsid w:val="000B7F0C"/>
    <w:rsid w:val="000B7F9A"/>
    <w:rsid w:val="000B8857"/>
    <w:rsid w:val="000BC4E9"/>
    <w:rsid w:val="000C00DD"/>
    <w:rsid w:val="000C04BD"/>
    <w:rsid w:val="000C051D"/>
    <w:rsid w:val="000C05A3"/>
    <w:rsid w:val="000C08BF"/>
    <w:rsid w:val="000C0A6D"/>
    <w:rsid w:val="000C0C05"/>
    <w:rsid w:val="000C0ED9"/>
    <w:rsid w:val="000C0FC7"/>
    <w:rsid w:val="000C1074"/>
    <w:rsid w:val="000C10C4"/>
    <w:rsid w:val="000C1180"/>
    <w:rsid w:val="000C125A"/>
    <w:rsid w:val="000C1783"/>
    <w:rsid w:val="000C186F"/>
    <w:rsid w:val="000C1912"/>
    <w:rsid w:val="000C19C8"/>
    <w:rsid w:val="000C19E7"/>
    <w:rsid w:val="000C1B04"/>
    <w:rsid w:val="000C1EA1"/>
    <w:rsid w:val="000C2A23"/>
    <w:rsid w:val="000C2A3B"/>
    <w:rsid w:val="000C2B67"/>
    <w:rsid w:val="000C2BC4"/>
    <w:rsid w:val="000C2D81"/>
    <w:rsid w:val="000C2DE3"/>
    <w:rsid w:val="000C2FB3"/>
    <w:rsid w:val="000C2FD5"/>
    <w:rsid w:val="000C31B2"/>
    <w:rsid w:val="000C39A8"/>
    <w:rsid w:val="000C3B9A"/>
    <w:rsid w:val="000C3D99"/>
    <w:rsid w:val="000C3E89"/>
    <w:rsid w:val="000C4155"/>
    <w:rsid w:val="000C4282"/>
    <w:rsid w:val="000C433D"/>
    <w:rsid w:val="000C47C7"/>
    <w:rsid w:val="000C4832"/>
    <w:rsid w:val="000C48CA"/>
    <w:rsid w:val="000C491D"/>
    <w:rsid w:val="000C499F"/>
    <w:rsid w:val="000C4E22"/>
    <w:rsid w:val="000C51AE"/>
    <w:rsid w:val="000C56A9"/>
    <w:rsid w:val="000C595C"/>
    <w:rsid w:val="000C5A87"/>
    <w:rsid w:val="000C5DDD"/>
    <w:rsid w:val="000C5EA2"/>
    <w:rsid w:val="000C5EAA"/>
    <w:rsid w:val="000C5FAF"/>
    <w:rsid w:val="000C6314"/>
    <w:rsid w:val="000C64C9"/>
    <w:rsid w:val="000C6626"/>
    <w:rsid w:val="000C667C"/>
    <w:rsid w:val="000C66E2"/>
    <w:rsid w:val="000C690A"/>
    <w:rsid w:val="000C6B05"/>
    <w:rsid w:val="000C6CE5"/>
    <w:rsid w:val="000C6E1A"/>
    <w:rsid w:val="000C6E73"/>
    <w:rsid w:val="000C6ED7"/>
    <w:rsid w:val="000C6F97"/>
    <w:rsid w:val="000C6FE5"/>
    <w:rsid w:val="000C711E"/>
    <w:rsid w:val="000C724D"/>
    <w:rsid w:val="000C7365"/>
    <w:rsid w:val="000C74C2"/>
    <w:rsid w:val="000C796B"/>
    <w:rsid w:val="000C7B45"/>
    <w:rsid w:val="000C7BF5"/>
    <w:rsid w:val="000C7C90"/>
    <w:rsid w:val="000C7E66"/>
    <w:rsid w:val="000D024A"/>
    <w:rsid w:val="000D03F8"/>
    <w:rsid w:val="000D0405"/>
    <w:rsid w:val="000D06B8"/>
    <w:rsid w:val="000D0841"/>
    <w:rsid w:val="000D08A0"/>
    <w:rsid w:val="000D0BEF"/>
    <w:rsid w:val="000D0DAC"/>
    <w:rsid w:val="000D0DAD"/>
    <w:rsid w:val="000D0F3B"/>
    <w:rsid w:val="000D1883"/>
    <w:rsid w:val="000D1A3F"/>
    <w:rsid w:val="000D1C88"/>
    <w:rsid w:val="000D1CBF"/>
    <w:rsid w:val="000D1D34"/>
    <w:rsid w:val="000D23DC"/>
    <w:rsid w:val="000D25A8"/>
    <w:rsid w:val="000D2BA7"/>
    <w:rsid w:val="000D2CB2"/>
    <w:rsid w:val="000D2D22"/>
    <w:rsid w:val="000D2DD0"/>
    <w:rsid w:val="000D3063"/>
    <w:rsid w:val="000D3646"/>
    <w:rsid w:val="000D3685"/>
    <w:rsid w:val="000D3724"/>
    <w:rsid w:val="000D37E5"/>
    <w:rsid w:val="000D38FF"/>
    <w:rsid w:val="000D3E48"/>
    <w:rsid w:val="000D4053"/>
    <w:rsid w:val="000D42E9"/>
    <w:rsid w:val="000D4391"/>
    <w:rsid w:val="000D44C1"/>
    <w:rsid w:val="000D48BA"/>
    <w:rsid w:val="000D4A3E"/>
    <w:rsid w:val="000D4A5D"/>
    <w:rsid w:val="000D4ACF"/>
    <w:rsid w:val="000D4C1D"/>
    <w:rsid w:val="000D4F2E"/>
    <w:rsid w:val="000D4F78"/>
    <w:rsid w:val="000D4F89"/>
    <w:rsid w:val="000D5067"/>
    <w:rsid w:val="000D5309"/>
    <w:rsid w:val="000D53DC"/>
    <w:rsid w:val="000D55CF"/>
    <w:rsid w:val="000D56B0"/>
    <w:rsid w:val="000D5872"/>
    <w:rsid w:val="000D59E9"/>
    <w:rsid w:val="000D5B4C"/>
    <w:rsid w:val="000D5D89"/>
    <w:rsid w:val="000D5E12"/>
    <w:rsid w:val="000D5F98"/>
    <w:rsid w:val="000D6002"/>
    <w:rsid w:val="000D6129"/>
    <w:rsid w:val="000D61C7"/>
    <w:rsid w:val="000D633A"/>
    <w:rsid w:val="000D6347"/>
    <w:rsid w:val="000D6390"/>
    <w:rsid w:val="000D6445"/>
    <w:rsid w:val="000D664F"/>
    <w:rsid w:val="000D690D"/>
    <w:rsid w:val="000D6E32"/>
    <w:rsid w:val="000D6FDB"/>
    <w:rsid w:val="000D727D"/>
    <w:rsid w:val="000D728E"/>
    <w:rsid w:val="000D72CC"/>
    <w:rsid w:val="000D74B6"/>
    <w:rsid w:val="000D780D"/>
    <w:rsid w:val="000D7C66"/>
    <w:rsid w:val="000D7CCE"/>
    <w:rsid w:val="000D7D4C"/>
    <w:rsid w:val="000E00D9"/>
    <w:rsid w:val="000E0128"/>
    <w:rsid w:val="000E02D3"/>
    <w:rsid w:val="000E0643"/>
    <w:rsid w:val="000E0834"/>
    <w:rsid w:val="000E0B24"/>
    <w:rsid w:val="000E0B6C"/>
    <w:rsid w:val="000E0BB9"/>
    <w:rsid w:val="000E0CB1"/>
    <w:rsid w:val="000E1250"/>
    <w:rsid w:val="000E1381"/>
    <w:rsid w:val="000E13DE"/>
    <w:rsid w:val="000E16D3"/>
    <w:rsid w:val="000E1968"/>
    <w:rsid w:val="000E1A39"/>
    <w:rsid w:val="000E1E49"/>
    <w:rsid w:val="000E218A"/>
    <w:rsid w:val="000E2419"/>
    <w:rsid w:val="000E25EF"/>
    <w:rsid w:val="000E270A"/>
    <w:rsid w:val="000E27EC"/>
    <w:rsid w:val="000E29E5"/>
    <w:rsid w:val="000E30CF"/>
    <w:rsid w:val="000E3118"/>
    <w:rsid w:val="000E33F2"/>
    <w:rsid w:val="000E3498"/>
    <w:rsid w:val="000E3672"/>
    <w:rsid w:val="000E374F"/>
    <w:rsid w:val="000E3DBB"/>
    <w:rsid w:val="000E405E"/>
    <w:rsid w:val="000E426B"/>
    <w:rsid w:val="000E46B4"/>
    <w:rsid w:val="000E4AAE"/>
    <w:rsid w:val="000E4C53"/>
    <w:rsid w:val="000E4CFE"/>
    <w:rsid w:val="000E55E2"/>
    <w:rsid w:val="000E593F"/>
    <w:rsid w:val="000E5995"/>
    <w:rsid w:val="000E5B4A"/>
    <w:rsid w:val="000E5D33"/>
    <w:rsid w:val="000E5E32"/>
    <w:rsid w:val="000E6099"/>
    <w:rsid w:val="000E623B"/>
    <w:rsid w:val="000E6C7C"/>
    <w:rsid w:val="000E6C89"/>
    <w:rsid w:val="000E6D1B"/>
    <w:rsid w:val="000E6E07"/>
    <w:rsid w:val="000E6EED"/>
    <w:rsid w:val="000E6F65"/>
    <w:rsid w:val="000E6F88"/>
    <w:rsid w:val="000E6FC3"/>
    <w:rsid w:val="000E71B3"/>
    <w:rsid w:val="000E729F"/>
    <w:rsid w:val="000E72BA"/>
    <w:rsid w:val="000E72D3"/>
    <w:rsid w:val="000E72DF"/>
    <w:rsid w:val="000E7475"/>
    <w:rsid w:val="000E74E6"/>
    <w:rsid w:val="000E759C"/>
    <w:rsid w:val="000E77E6"/>
    <w:rsid w:val="000E78D2"/>
    <w:rsid w:val="000E7B3F"/>
    <w:rsid w:val="000E7E18"/>
    <w:rsid w:val="000F00BC"/>
    <w:rsid w:val="000F020D"/>
    <w:rsid w:val="000F0278"/>
    <w:rsid w:val="000F0294"/>
    <w:rsid w:val="000F0406"/>
    <w:rsid w:val="000F0531"/>
    <w:rsid w:val="000F0611"/>
    <w:rsid w:val="000F07B6"/>
    <w:rsid w:val="000F0855"/>
    <w:rsid w:val="000F0926"/>
    <w:rsid w:val="000F0BEE"/>
    <w:rsid w:val="000F0F07"/>
    <w:rsid w:val="000F124F"/>
    <w:rsid w:val="000F12E0"/>
    <w:rsid w:val="000F1408"/>
    <w:rsid w:val="000F15E3"/>
    <w:rsid w:val="000F162C"/>
    <w:rsid w:val="000F1783"/>
    <w:rsid w:val="000F17BD"/>
    <w:rsid w:val="000F1890"/>
    <w:rsid w:val="000F198D"/>
    <w:rsid w:val="000F1A7E"/>
    <w:rsid w:val="000F1CD9"/>
    <w:rsid w:val="000F1F78"/>
    <w:rsid w:val="000F1F80"/>
    <w:rsid w:val="000F23E2"/>
    <w:rsid w:val="000F247C"/>
    <w:rsid w:val="000F269D"/>
    <w:rsid w:val="000F2804"/>
    <w:rsid w:val="000F2A86"/>
    <w:rsid w:val="000F2D38"/>
    <w:rsid w:val="000F2F27"/>
    <w:rsid w:val="000F3093"/>
    <w:rsid w:val="000F33CF"/>
    <w:rsid w:val="000F3495"/>
    <w:rsid w:val="000F34D6"/>
    <w:rsid w:val="000F353C"/>
    <w:rsid w:val="000F3672"/>
    <w:rsid w:val="000F38A2"/>
    <w:rsid w:val="000F393F"/>
    <w:rsid w:val="000F3AC4"/>
    <w:rsid w:val="000F3B12"/>
    <w:rsid w:val="000F3C7A"/>
    <w:rsid w:val="000F3CDD"/>
    <w:rsid w:val="000F3F3B"/>
    <w:rsid w:val="000F40EF"/>
    <w:rsid w:val="000F40F7"/>
    <w:rsid w:val="000F4278"/>
    <w:rsid w:val="000F4373"/>
    <w:rsid w:val="000F437F"/>
    <w:rsid w:val="000F441B"/>
    <w:rsid w:val="000F468F"/>
    <w:rsid w:val="000F472B"/>
    <w:rsid w:val="000F48C6"/>
    <w:rsid w:val="000F4A12"/>
    <w:rsid w:val="000F4A37"/>
    <w:rsid w:val="000F4EE2"/>
    <w:rsid w:val="000F4F3A"/>
    <w:rsid w:val="000F538A"/>
    <w:rsid w:val="000F546B"/>
    <w:rsid w:val="000F56DE"/>
    <w:rsid w:val="000F57B3"/>
    <w:rsid w:val="000F596A"/>
    <w:rsid w:val="000F5A62"/>
    <w:rsid w:val="000F5B3F"/>
    <w:rsid w:val="000F5C73"/>
    <w:rsid w:val="000F5D24"/>
    <w:rsid w:val="000F5FD5"/>
    <w:rsid w:val="000F6023"/>
    <w:rsid w:val="000F6740"/>
    <w:rsid w:val="000F67EC"/>
    <w:rsid w:val="000F693A"/>
    <w:rsid w:val="000F6CD2"/>
    <w:rsid w:val="000F6D5E"/>
    <w:rsid w:val="000F6F9D"/>
    <w:rsid w:val="000F718B"/>
    <w:rsid w:val="000F72F5"/>
    <w:rsid w:val="000F7C92"/>
    <w:rsid w:val="000F7EA6"/>
    <w:rsid w:val="00100757"/>
    <w:rsid w:val="0010078B"/>
    <w:rsid w:val="00100857"/>
    <w:rsid w:val="00100F5D"/>
    <w:rsid w:val="001012D5"/>
    <w:rsid w:val="00101481"/>
    <w:rsid w:val="00101560"/>
    <w:rsid w:val="0010166A"/>
    <w:rsid w:val="00101979"/>
    <w:rsid w:val="00101AFB"/>
    <w:rsid w:val="00101B8F"/>
    <w:rsid w:val="00101BC2"/>
    <w:rsid w:val="00101D56"/>
    <w:rsid w:val="001022C0"/>
    <w:rsid w:val="001022D0"/>
    <w:rsid w:val="00102378"/>
    <w:rsid w:val="001029A8"/>
    <w:rsid w:val="00102C00"/>
    <w:rsid w:val="00102D7B"/>
    <w:rsid w:val="00102D80"/>
    <w:rsid w:val="00103165"/>
    <w:rsid w:val="001034E8"/>
    <w:rsid w:val="0010351D"/>
    <w:rsid w:val="00103793"/>
    <w:rsid w:val="0010384C"/>
    <w:rsid w:val="001039CB"/>
    <w:rsid w:val="00103BBB"/>
    <w:rsid w:val="00103BC4"/>
    <w:rsid w:val="00103BD4"/>
    <w:rsid w:val="00103C61"/>
    <w:rsid w:val="001040ED"/>
    <w:rsid w:val="0010435D"/>
    <w:rsid w:val="00104393"/>
    <w:rsid w:val="001045C4"/>
    <w:rsid w:val="001046D9"/>
    <w:rsid w:val="0010482B"/>
    <w:rsid w:val="00104A65"/>
    <w:rsid w:val="00104CCE"/>
    <w:rsid w:val="0010507C"/>
    <w:rsid w:val="00105160"/>
    <w:rsid w:val="00105298"/>
    <w:rsid w:val="0010551D"/>
    <w:rsid w:val="001055CD"/>
    <w:rsid w:val="00105634"/>
    <w:rsid w:val="00105670"/>
    <w:rsid w:val="001056C0"/>
    <w:rsid w:val="0010590B"/>
    <w:rsid w:val="00105AFD"/>
    <w:rsid w:val="00105BFD"/>
    <w:rsid w:val="001065FC"/>
    <w:rsid w:val="0010679A"/>
    <w:rsid w:val="0010679F"/>
    <w:rsid w:val="00106A69"/>
    <w:rsid w:val="00106B56"/>
    <w:rsid w:val="00106EBA"/>
    <w:rsid w:val="001073A8"/>
    <w:rsid w:val="0010759A"/>
    <w:rsid w:val="001075A2"/>
    <w:rsid w:val="00107628"/>
    <w:rsid w:val="00107666"/>
    <w:rsid w:val="00107727"/>
    <w:rsid w:val="001078ED"/>
    <w:rsid w:val="00107A11"/>
    <w:rsid w:val="00107A87"/>
    <w:rsid w:val="00107AAA"/>
    <w:rsid w:val="00107C0A"/>
    <w:rsid w:val="00107D50"/>
    <w:rsid w:val="00107FB4"/>
    <w:rsid w:val="001102BD"/>
    <w:rsid w:val="0011047F"/>
    <w:rsid w:val="001106C7"/>
    <w:rsid w:val="00110973"/>
    <w:rsid w:val="00110A60"/>
    <w:rsid w:val="00110AA3"/>
    <w:rsid w:val="00110B61"/>
    <w:rsid w:val="00110BA6"/>
    <w:rsid w:val="00110BFE"/>
    <w:rsid w:val="00110C48"/>
    <w:rsid w:val="00110CD0"/>
    <w:rsid w:val="001110FA"/>
    <w:rsid w:val="00111143"/>
    <w:rsid w:val="00111167"/>
    <w:rsid w:val="001111E0"/>
    <w:rsid w:val="001115A7"/>
    <w:rsid w:val="00111674"/>
    <w:rsid w:val="00111706"/>
    <w:rsid w:val="00111A43"/>
    <w:rsid w:val="00111A86"/>
    <w:rsid w:val="00111D03"/>
    <w:rsid w:val="00111EED"/>
    <w:rsid w:val="00112001"/>
    <w:rsid w:val="0011238E"/>
    <w:rsid w:val="001125CE"/>
    <w:rsid w:val="00112C17"/>
    <w:rsid w:val="00112DC0"/>
    <w:rsid w:val="00112E76"/>
    <w:rsid w:val="00113049"/>
    <w:rsid w:val="001131EF"/>
    <w:rsid w:val="0011322C"/>
    <w:rsid w:val="00113373"/>
    <w:rsid w:val="0011338F"/>
    <w:rsid w:val="001133A4"/>
    <w:rsid w:val="00113814"/>
    <w:rsid w:val="001139BB"/>
    <w:rsid w:val="00113AD3"/>
    <w:rsid w:val="00113C46"/>
    <w:rsid w:val="00113E56"/>
    <w:rsid w:val="00113E60"/>
    <w:rsid w:val="00114411"/>
    <w:rsid w:val="0011449C"/>
    <w:rsid w:val="00114964"/>
    <w:rsid w:val="0011496C"/>
    <w:rsid w:val="00114BFE"/>
    <w:rsid w:val="00114D20"/>
    <w:rsid w:val="00114E5D"/>
    <w:rsid w:val="00114F6E"/>
    <w:rsid w:val="00115034"/>
    <w:rsid w:val="001152F6"/>
    <w:rsid w:val="0011550A"/>
    <w:rsid w:val="00115882"/>
    <w:rsid w:val="0011596E"/>
    <w:rsid w:val="00115E1A"/>
    <w:rsid w:val="0011608C"/>
    <w:rsid w:val="001161AD"/>
    <w:rsid w:val="001163D5"/>
    <w:rsid w:val="00116454"/>
    <w:rsid w:val="001166D8"/>
    <w:rsid w:val="00116BC7"/>
    <w:rsid w:val="00116BFD"/>
    <w:rsid w:val="00116DAB"/>
    <w:rsid w:val="00116DD8"/>
    <w:rsid w:val="00116ED4"/>
    <w:rsid w:val="00116FF7"/>
    <w:rsid w:val="00117206"/>
    <w:rsid w:val="00117285"/>
    <w:rsid w:val="00117578"/>
    <w:rsid w:val="001175F6"/>
    <w:rsid w:val="00117656"/>
    <w:rsid w:val="00117905"/>
    <w:rsid w:val="00117B06"/>
    <w:rsid w:val="00117C55"/>
    <w:rsid w:val="00117C69"/>
    <w:rsid w:val="00117DDF"/>
    <w:rsid w:val="00117F3A"/>
    <w:rsid w:val="00120346"/>
    <w:rsid w:val="001206CB"/>
    <w:rsid w:val="0012082C"/>
    <w:rsid w:val="001209BD"/>
    <w:rsid w:val="00120C65"/>
    <w:rsid w:val="00120E8E"/>
    <w:rsid w:val="00120F33"/>
    <w:rsid w:val="00121089"/>
    <w:rsid w:val="001212CB"/>
    <w:rsid w:val="001213EC"/>
    <w:rsid w:val="00121A07"/>
    <w:rsid w:val="00121EF4"/>
    <w:rsid w:val="00121FC8"/>
    <w:rsid w:val="00121FE4"/>
    <w:rsid w:val="001222B4"/>
    <w:rsid w:val="00122324"/>
    <w:rsid w:val="0012250B"/>
    <w:rsid w:val="001225C9"/>
    <w:rsid w:val="0012283D"/>
    <w:rsid w:val="001229DE"/>
    <w:rsid w:val="00122AE3"/>
    <w:rsid w:val="00122EC0"/>
    <w:rsid w:val="00122ED8"/>
    <w:rsid w:val="00122F94"/>
    <w:rsid w:val="001237F5"/>
    <w:rsid w:val="00123B28"/>
    <w:rsid w:val="00123BBC"/>
    <w:rsid w:val="00123DDA"/>
    <w:rsid w:val="00123E91"/>
    <w:rsid w:val="00124303"/>
    <w:rsid w:val="001245EC"/>
    <w:rsid w:val="0012462B"/>
    <w:rsid w:val="001246B0"/>
    <w:rsid w:val="00124AF9"/>
    <w:rsid w:val="00124B35"/>
    <w:rsid w:val="00124CCD"/>
    <w:rsid w:val="00124E83"/>
    <w:rsid w:val="001252CF"/>
    <w:rsid w:val="001252F9"/>
    <w:rsid w:val="00125B5D"/>
    <w:rsid w:val="00125BAD"/>
    <w:rsid w:val="00125E46"/>
    <w:rsid w:val="00126176"/>
    <w:rsid w:val="001264C4"/>
    <w:rsid w:val="0012651B"/>
    <w:rsid w:val="0012652F"/>
    <w:rsid w:val="001265D5"/>
    <w:rsid w:val="001266AE"/>
    <w:rsid w:val="00126902"/>
    <w:rsid w:val="00126B39"/>
    <w:rsid w:val="00126C27"/>
    <w:rsid w:val="00126C2C"/>
    <w:rsid w:val="00126D53"/>
    <w:rsid w:val="00127106"/>
    <w:rsid w:val="0012746F"/>
    <w:rsid w:val="0012796B"/>
    <w:rsid w:val="00127DB8"/>
    <w:rsid w:val="00127E17"/>
    <w:rsid w:val="00130201"/>
    <w:rsid w:val="00130272"/>
    <w:rsid w:val="001302CC"/>
    <w:rsid w:val="001304EE"/>
    <w:rsid w:val="00130567"/>
    <w:rsid w:val="001306F3"/>
    <w:rsid w:val="0013081C"/>
    <w:rsid w:val="00130A0E"/>
    <w:rsid w:val="00130BA5"/>
    <w:rsid w:val="00130D47"/>
    <w:rsid w:val="00130EF6"/>
    <w:rsid w:val="00131040"/>
    <w:rsid w:val="00131151"/>
    <w:rsid w:val="001315C3"/>
    <w:rsid w:val="00131B81"/>
    <w:rsid w:val="001324A7"/>
    <w:rsid w:val="001326F7"/>
    <w:rsid w:val="00132E78"/>
    <w:rsid w:val="00132FEB"/>
    <w:rsid w:val="0013300A"/>
    <w:rsid w:val="00133262"/>
    <w:rsid w:val="00133355"/>
    <w:rsid w:val="0013336B"/>
    <w:rsid w:val="001334FC"/>
    <w:rsid w:val="00133779"/>
    <w:rsid w:val="00133C4B"/>
    <w:rsid w:val="00133CC5"/>
    <w:rsid w:val="00133F0C"/>
    <w:rsid w:val="00134152"/>
    <w:rsid w:val="001342FD"/>
    <w:rsid w:val="001343B6"/>
    <w:rsid w:val="001344E7"/>
    <w:rsid w:val="001344E8"/>
    <w:rsid w:val="001347A9"/>
    <w:rsid w:val="00134975"/>
    <w:rsid w:val="00134AC7"/>
    <w:rsid w:val="00134D07"/>
    <w:rsid w:val="0013503E"/>
    <w:rsid w:val="0013508E"/>
    <w:rsid w:val="0013510C"/>
    <w:rsid w:val="0013525C"/>
    <w:rsid w:val="00135B18"/>
    <w:rsid w:val="00135B9C"/>
    <w:rsid w:val="00135DBD"/>
    <w:rsid w:val="00136161"/>
    <w:rsid w:val="001362F6"/>
    <w:rsid w:val="001363FA"/>
    <w:rsid w:val="00136593"/>
    <w:rsid w:val="00136686"/>
    <w:rsid w:val="0013669D"/>
    <w:rsid w:val="0013671E"/>
    <w:rsid w:val="00136974"/>
    <w:rsid w:val="00136A24"/>
    <w:rsid w:val="00136BA1"/>
    <w:rsid w:val="00136F07"/>
    <w:rsid w:val="00137022"/>
    <w:rsid w:val="00137256"/>
    <w:rsid w:val="001372D0"/>
    <w:rsid w:val="0013736B"/>
    <w:rsid w:val="0013758B"/>
    <w:rsid w:val="00137675"/>
    <w:rsid w:val="001376CA"/>
    <w:rsid w:val="00137755"/>
    <w:rsid w:val="00137926"/>
    <w:rsid w:val="00137B60"/>
    <w:rsid w:val="00137B8E"/>
    <w:rsid w:val="00137F17"/>
    <w:rsid w:val="001401EB"/>
    <w:rsid w:val="00140454"/>
    <w:rsid w:val="001406F1"/>
    <w:rsid w:val="0014079B"/>
    <w:rsid w:val="00140B02"/>
    <w:rsid w:val="00140BB0"/>
    <w:rsid w:val="00140C79"/>
    <w:rsid w:val="00140E5C"/>
    <w:rsid w:val="00140F4A"/>
    <w:rsid w:val="0014129C"/>
    <w:rsid w:val="00141B48"/>
    <w:rsid w:val="00141D41"/>
    <w:rsid w:val="00142094"/>
    <w:rsid w:val="001421D0"/>
    <w:rsid w:val="00142307"/>
    <w:rsid w:val="0014247D"/>
    <w:rsid w:val="001424A3"/>
    <w:rsid w:val="00142629"/>
    <w:rsid w:val="001426B1"/>
    <w:rsid w:val="0014272F"/>
    <w:rsid w:val="00142920"/>
    <w:rsid w:val="00142AAD"/>
    <w:rsid w:val="00142B5A"/>
    <w:rsid w:val="00142BB8"/>
    <w:rsid w:val="00142D26"/>
    <w:rsid w:val="001430C0"/>
    <w:rsid w:val="00143237"/>
    <w:rsid w:val="00143247"/>
    <w:rsid w:val="0014356E"/>
    <w:rsid w:val="001435DF"/>
    <w:rsid w:val="00143611"/>
    <w:rsid w:val="001439DA"/>
    <w:rsid w:val="001439E4"/>
    <w:rsid w:val="00143ABA"/>
    <w:rsid w:val="00143DA1"/>
    <w:rsid w:val="0014407E"/>
    <w:rsid w:val="001440D9"/>
    <w:rsid w:val="00144411"/>
    <w:rsid w:val="00144456"/>
    <w:rsid w:val="001445FB"/>
    <w:rsid w:val="001445FF"/>
    <w:rsid w:val="0014470B"/>
    <w:rsid w:val="001447E2"/>
    <w:rsid w:val="001448C6"/>
    <w:rsid w:val="0014492C"/>
    <w:rsid w:val="001449E4"/>
    <w:rsid w:val="00144B30"/>
    <w:rsid w:val="00145299"/>
    <w:rsid w:val="0014551D"/>
    <w:rsid w:val="001455EA"/>
    <w:rsid w:val="00145B4B"/>
    <w:rsid w:val="00145FAD"/>
    <w:rsid w:val="001462CD"/>
    <w:rsid w:val="00146613"/>
    <w:rsid w:val="00146776"/>
    <w:rsid w:val="00146E58"/>
    <w:rsid w:val="00147283"/>
    <w:rsid w:val="00147633"/>
    <w:rsid w:val="001478AD"/>
    <w:rsid w:val="00147B3A"/>
    <w:rsid w:val="00147C91"/>
    <w:rsid w:val="00147CF8"/>
    <w:rsid w:val="00147D53"/>
    <w:rsid w:val="00147DE9"/>
    <w:rsid w:val="00147E8B"/>
    <w:rsid w:val="001501B9"/>
    <w:rsid w:val="00150301"/>
    <w:rsid w:val="00150454"/>
    <w:rsid w:val="001505AA"/>
    <w:rsid w:val="001507F3"/>
    <w:rsid w:val="0015089D"/>
    <w:rsid w:val="00150A7C"/>
    <w:rsid w:val="00150AB3"/>
    <w:rsid w:val="00150B9A"/>
    <w:rsid w:val="00150CED"/>
    <w:rsid w:val="00150D21"/>
    <w:rsid w:val="00150DA2"/>
    <w:rsid w:val="00150EBD"/>
    <w:rsid w:val="00150F1E"/>
    <w:rsid w:val="00151295"/>
    <w:rsid w:val="001514F0"/>
    <w:rsid w:val="00151506"/>
    <w:rsid w:val="001516A5"/>
    <w:rsid w:val="0015181B"/>
    <w:rsid w:val="0015186B"/>
    <w:rsid w:val="00151C3C"/>
    <w:rsid w:val="00151FEA"/>
    <w:rsid w:val="001522F8"/>
    <w:rsid w:val="00152335"/>
    <w:rsid w:val="00152425"/>
    <w:rsid w:val="00152459"/>
    <w:rsid w:val="00152850"/>
    <w:rsid w:val="0015293C"/>
    <w:rsid w:val="0015299B"/>
    <w:rsid w:val="001529B1"/>
    <w:rsid w:val="00152AF9"/>
    <w:rsid w:val="00152BA9"/>
    <w:rsid w:val="00152C3A"/>
    <w:rsid w:val="00152C7F"/>
    <w:rsid w:val="00152CD2"/>
    <w:rsid w:val="00152D27"/>
    <w:rsid w:val="00152E04"/>
    <w:rsid w:val="00152E81"/>
    <w:rsid w:val="00152EC8"/>
    <w:rsid w:val="00152FAC"/>
    <w:rsid w:val="001530BA"/>
    <w:rsid w:val="001531B5"/>
    <w:rsid w:val="0015323C"/>
    <w:rsid w:val="00153378"/>
    <w:rsid w:val="001534B1"/>
    <w:rsid w:val="0015358B"/>
    <w:rsid w:val="00153716"/>
    <w:rsid w:val="0015396C"/>
    <w:rsid w:val="00153A57"/>
    <w:rsid w:val="00153A5B"/>
    <w:rsid w:val="00153CE8"/>
    <w:rsid w:val="00154080"/>
    <w:rsid w:val="0015412C"/>
    <w:rsid w:val="00154156"/>
    <w:rsid w:val="001541BC"/>
    <w:rsid w:val="0015421F"/>
    <w:rsid w:val="00154378"/>
    <w:rsid w:val="001544AA"/>
    <w:rsid w:val="001545B3"/>
    <w:rsid w:val="001546D2"/>
    <w:rsid w:val="00154889"/>
    <w:rsid w:val="001548B2"/>
    <w:rsid w:val="00154C47"/>
    <w:rsid w:val="00154C79"/>
    <w:rsid w:val="00155077"/>
    <w:rsid w:val="001558CA"/>
    <w:rsid w:val="00155A4F"/>
    <w:rsid w:val="00155C9B"/>
    <w:rsid w:val="00156156"/>
    <w:rsid w:val="001562B3"/>
    <w:rsid w:val="0015647C"/>
    <w:rsid w:val="00156518"/>
    <w:rsid w:val="001565DD"/>
    <w:rsid w:val="0015670F"/>
    <w:rsid w:val="001568D9"/>
    <w:rsid w:val="00156A9A"/>
    <w:rsid w:val="00156F41"/>
    <w:rsid w:val="001570B2"/>
    <w:rsid w:val="001570CA"/>
    <w:rsid w:val="00157426"/>
    <w:rsid w:val="00157490"/>
    <w:rsid w:val="0015757D"/>
    <w:rsid w:val="0015783E"/>
    <w:rsid w:val="001578A7"/>
    <w:rsid w:val="001579CA"/>
    <w:rsid w:val="00157A5C"/>
    <w:rsid w:val="00157AF0"/>
    <w:rsid w:val="00157B74"/>
    <w:rsid w:val="0016000D"/>
    <w:rsid w:val="001602E9"/>
    <w:rsid w:val="00160BA0"/>
    <w:rsid w:val="00160D0D"/>
    <w:rsid w:val="001611E1"/>
    <w:rsid w:val="001614C9"/>
    <w:rsid w:val="00161554"/>
    <w:rsid w:val="001616C7"/>
    <w:rsid w:val="0016177B"/>
    <w:rsid w:val="0016178C"/>
    <w:rsid w:val="0016195E"/>
    <w:rsid w:val="00161D0D"/>
    <w:rsid w:val="001622CE"/>
    <w:rsid w:val="00162664"/>
    <w:rsid w:val="0016279D"/>
    <w:rsid w:val="0016287B"/>
    <w:rsid w:val="0016288E"/>
    <w:rsid w:val="001628DE"/>
    <w:rsid w:val="001629B9"/>
    <w:rsid w:val="00162A9C"/>
    <w:rsid w:val="00162B3D"/>
    <w:rsid w:val="00162BC6"/>
    <w:rsid w:val="00162D56"/>
    <w:rsid w:val="00163155"/>
    <w:rsid w:val="001631C0"/>
    <w:rsid w:val="00163832"/>
    <w:rsid w:val="001638CB"/>
    <w:rsid w:val="00163968"/>
    <w:rsid w:val="00163ACE"/>
    <w:rsid w:val="00163B12"/>
    <w:rsid w:val="00163C66"/>
    <w:rsid w:val="00163D1F"/>
    <w:rsid w:val="00164090"/>
    <w:rsid w:val="0016422F"/>
    <w:rsid w:val="001642F6"/>
    <w:rsid w:val="00164485"/>
    <w:rsid w:val="001647B1"/>
    <w:rsid w:val="00164C5A"/>
    <w:rsid w:val="00164F10"/>
    <w:rsid w:val="00164F80"/>
    <w:rsid w:val="00164FBB"/>
    <w:rsid w:val="001651A5"/>
    <w:rsid w:val="001652D1"/>
    <w:rsid w:val="00165326"/>
    <w:rsid w:val="001656FC"/>
    <w:rsid w:val="001659DF"/>
    <w:rsid w:val="00165A3E"/>
    <w:rsid w:val="00165AA0"/>
    <w:rsid w:val="00165C0E"/>
    <w:rsid w:val="00165D4E"/>
    <w:rsid w:val="00165DA2"/>
    <w:rsid w:val="001665CA"/>
    <w:rsid w:val="00166697"/>
    <w:rsid w:val="0016679D"/>
    <w:rsid w:val="001669AE"/>
    <w:rsid w:val="00166C65"/>
    <w:rsid w:val="00166C9F"/>
    <w:rsid w:val="00166EE2"/>
    <w:rsid w:val="0016735C"/>
    <w:rsid w:val="001673E1"/>
    <w:rsid w:val="00167594"/>
    <w:rsid w:val="0016759A"/>
    <w:rsid w:val="00167728"/>
    <w:rsid w:val="00167872"/>
    <w:rsid w:val="001678DE"/>
    <w:rsid w:val="001678F3"/>
    <w:rsid w:val="0016792B"/>
    <w:rsid w:val="00167947"/>
    <w:rsid w:val="00167B7F"/>
    <w:rsid w:val="00167C06"/>
    <w:rsid w:val="00167C3B"/>
    <w:rsid w:val="00167C6C"/>
    <w:rsid w:val="00167D0A"/>
    <w:rsid w:val="0017029C"/>
    <w:rsid w:val="0017043F"/>
    <w:rsid w:val="0017061D"/>
    <w:rsid w:val="001708B3"/>
    <w:rsid w:val="0017098D"/>
    <w:rsid w:val="00170A39"/>
    <w:rsid w:val="00170D01"/>
    <w:rsid w:val="00170E55"/>
    <w:rsid w:val="00170ECD"/>
    <w:rsid w:val="00170EDC"/>
    <w:rsid w:val="00171206"/>
    <w:rsid w:val="00171462"/>
    <w:rsid w:val="001718AC"/>
    <w:rsid w:val="00171A3C"/>
    <w:rsid w:val="00171CE7"/>
    <w:rsid w:val="001722ED"/>
    <w:rsid w:val="00172355"/>
    <w:rsid w:val="00172375"/>
    <w:rsid w:val="00172663"/>
    <w:rsid w:val="001727E8"/>
    <w:rsid w:val="00172D6C"/>
    <w:rsid w:val="0017340C"/>
    <w:rsid w:val="001737ED"/>
    <w:rsid w:val="0017386A"/>
    <w:rsid w:val="0017397B"/>
    <w:rsid w:val="00173A0B"/>
    <w:rsid w:val="00173C52"/>
    <w:rsid w:val="00173F06"/>
    <w:rsid w:val="001742C5"/>
    <w:rsid w:val="001744AA"/>
    <w:rsid w:val="0017485F"/>
    <w:rsid w:val="00174A07"/>
    <w:rsid w:val="00174DF8"/>
    <w:rsid w:val="0017506B"/>
    <w:rsid w:val="0017510B"/>
    <w:rsid w:val="001753DF"/>
    <w:rsid w:val="001754B0"/>
    <w:rsid w:val="001754F7"/>
    <w:rsid w:val="001755D3"/>
    <w:rsid w:val="001757CC"/>
    <w:rsid w:val="001758B6"/>
    <w:rsid w:val="00175BF8"/>
    <w:rsid w:val="00175D62"/>
    <w:rsid w:val="00176658"/>
    <w:rsid w:val="00176AAB"/>
    <w:rsid w:val="00176B56"/>
    <w:rsid w:val="00176C3D"/>
    <w:rsid w:val="00176C95"/>
    <w:rsid w:val="00177509"/>
    <w:rsid w:val="001776C1"/>
    <w:rsid w:val="0017784C"/>
    <w:rsid w:val="00177A02"/>
    <w:rsid w:val="00177BF2"/>
    <w:rsid w:val="00177DE4"/>
    <w:rsid w:val="00177E97"/>
    <w:rsid w:val="00177F1E"/>
    <w:rsid w:val="00177FAB"/>
    <w:rsid w:val="00180173"/>
    <w:rsid w:val="0018017A"/>
    <w:rsid w:val="001801AA"/>
    <w:rsid w:val="0018035C"/>
    <w:rsid w:val="001805F5"/>
    <w:rsid w:val="0018065F"/>
    <w:rsid w:val="001808B2"/>
    <w:rsid w:val="001808E7"/>
    <w:rsid w:val="00180925"/>
    <w:rsid w:val="00180994"/>
    <w:rsid w:val="001809CD"/>
    <w:rsid w:val="00180A61"/>
    <w:rsid w:val="00180ADD"/>
    <w:rsid w:val="00180F62"/>
    <w:rsid w:val="0018116A"/>
    <w:rsid w:val="00181390"/>
    <w:rsid w:val="00181980"/>
    <w:rsid w:val="00181B1A"/>
    <w:rsid w:val="00181B83"/>
    <w:rsid w:val="00181E44"/>
    <w:rsid w:val="00181F36"/>
    <w:rsid w:val="001820B1"/>
    <w:rsid w:val="00182442"/>
    <w:rsid w:val="001824F1"/>
    <w:rsid w:val="00182591"/>
    <w:rsid w:val="001825BD"/>
    <w:rsid w:val="00182B10"/>
    <w:rsid w:val="00182F70"/>
    <w:rsid w:val="0018302D"/>
    <w:rsid w:val="0018303A"/>
    <w:rsid w:val="00183542"/>
    <w:rsid w:val="0018378E"/>
    <w:rsid w:val="001838DD"/>
    <w:rsid w:val="00183A3E"/>
    <w:rsid w:val="00183B0D"/>
    <w:rsid w:val="00183BAC"/>
    <w:rsid w:val="00183C26"/>
    <w:rsid w:val="00183C8F"/>
    <w:rsid w:val="00183D08"/>
    <w:rsid w:val="00183E4C"/>
    <w:rsid w:val="00183F3A"/>
    <w:rsid w:val="00183FF8"/>
    <w:rsid w:val="00184208"/>
    <w:rsid w:val="00184236"/>
    <w:rsid w:val="00184355"/>
    <w:rsid w:val="0018441F"/>
    <w:rsid w:val="00184574"/>
    <w:rsid w:val="001846C6"/>
    <w:rsid w:val="00184A8F"/>
    <w:rsid w:val="001850FF"/>
    <w:rsid w:val="00185196"/>
    <w:rsid w:val="001853DB"/>
    <w:rsid w:val="0018547A"/>
    <w:rsid w:val="0018553A"/>
    <w:rsid w:val="00185563"/>
    <w:rsid w:val="001857AF"/>
    <w:rsid w:val="001858A6"/>
    <w:rsid w:val="00185B68"/>
    <w:rsid w:val="00185BC9"/>
    <w:rsid w:val="00185CFC"/>
    <w:rsid w:val="001860FB"/>
    <w:rsid w:val="0018613C"/>
    <w:rsid w:val="0018616F"/>
    <w:rsid w:val="00186180"/>
    <w:rsid w:val="001861DF"/>
    <w:rsid w:val="00186371"/>
    <w:rsid w:val="0018657E"/>
    <w:rsid w:val="0018695E"/>
    <w:rsid w:val="0018704D"/>
    <w:rsid w:val="001870E1"/>
    <w:rsid w:val="00187224"/>
    <w:rsid w:val="001875CC"/>
    <w:rsid w:val="001876AE"/>
    <w:rsid w:val="0018785C"/>
    <w:rsid w:val="001878BF"/>
    <w:rsid w:val="00187911"/>
    <w:rsid w:val="001879B5"/>
    <w:rsid w:val="001879C1"/>
    <w:rsid w:val="00187AF9"/>
    <w:rsid w:val="00187D99"/>
    <w:rsid w:val="00187E10"/>
    <w:rsid w:val="00187E66"/>
    <w:rsid w:val="00187EA8"/>
    <w:rsid w:val="0019005A"/>
    <w:rsid w:val="0019012C"/>
    <w:rsid w:val="00190158"/>
    <w:rsid w:val="00190178"/>
    <w:rsid w:val="00190622"/>
    <w:rsid w:val="00190707"/>
    <w:rsid w:val="001907FC"/>
    <w:rsid w:val="00190849"/>
    <w:rsid w:val="00190B6E"/>
    <w:rsid w:val="00190BDE"/>
    <w:rsid w:val="001911AC"/>
    <w:rsid w:val="00191269"/>
    <w:rsid w:val="00191385"/>
    <w:rsid w:val="0019147E"/>
    <w:rsid w:val="00191724"/>
    <w:rsid w:val="00191733"/>
    <w:rsid w:val="00191824"/>
    <w:rsid w:val="0019195C"/>
    <w:rsid w:val="00191B74"/>
    <w:rsid w:val="00191E7A"/>
    <w:rsid w:val="00191F2A"/>
    <w:rsid w:val="001921BA"/>
    <w:rsid w:val="001921F8"/>
    <w:rsid w:val="0019222D"/>
    <w:rsid w:val="00192300"/>
    <w:rsid w:val="0019285D"/>
    <w:rsid w:val="00192912"/>
    <w:rsid w:val="0019297B"/>
    <w:rsid w:val="001929F5"/>
    <w:rsid w:val="00192B01"/>
    <w:rsid w:val="00192CD7"/>
    <w:rsid w:val="00192E10"/>
    <w:rsid w:val="001933F9"/>
    <w:rsid w:val="0019348E"/>
    <w:rsid w:val="001938EA"/>
    <w:rsid w:val="00193DC6"/>
    <w:rsid w:val="00193FD2"/>
    <w:rsid w:val="0019411C"/>
    <w:rsid w:val="00194260"/>
    <w:rsid w:val="0019437E"/>
    <w:rsid w:val="0019441C"/>
    <w:rsid w:val="00194485"/>
    <w:rsid w:val="0019479A"/>
    <w:rsid w:val="001947E1"/>
    <w:rsid w:val="00194802"/>
    <w:rsid w:val="0019489F"/>
    <w:rsid w:val="00194C0A"/>
    <w:rsid w:val="00194C78"/>
    <w:rsid w:val="00194DA4"/>
    <w:rsid w:val="00195675"/>
    <w:rsid w:val="0019591C"/>
    <w:rsid w:val="001959F2"/>
    <w:rsid w:val="00195C27"/>
    <w:rsid w:val="00195D8C"/>
    <w:rsid w:val="00195EDE"/>
    <w:rsid w:val="00195FEE"/>
    <w:rsid w:val="0019631A"/>
    <w:rsid w:val="001963EF"/>
    <w:rsid w:val="00196510"/>
    <w:rsid w:val="001966A0"/>
    <w:rsid w:val="001968A9"/>
    <w:rsid w:val="00196D5A"/>
    <w:rsid w:val="00196E79"/>
    <w:rsid w:val="001973AC"/>
    <w:rsid w:val="0019777F"/>
    <w:rsid w:val="0019785B"/>
    <w:rsid w:val="001979D8"/>
    <w:rsid w:val="00197A7F"/>
    <w:rsid w:val="00197A98"/>
    <w:rsid w:val="00197C71"/>
    <w:rsid w:val="00197CC1"/>
    <w:rsid w:val="001A024B"/>
    <w:rsid w:val="001A03DE"/>
    <w:rsid w:val="001A0501"/>
    <w:rsid w:val="001A056F"/>
    <w:rsid w:val="001A0B93"/>
    <w:rsid w:val="001A0C4F"/>
    <w:rsid w:val="001A0C7B"/>
    <w:rsid w:val="001A0D8F"/>
    <w:rsid w:val="001A0F6E"/>
    <w:rsid w:val="001A108B"/>
    <w:rsid w:val="001A110E"/>
    <w:rsid w:val="001A126F"/>
    <w:rsid w:val="001A15C2"/>
    <w:rsid w:val="001A18CE"/>
    <w:rsid w:val="001A1ABA"/>
    <w:rsid w:val="001A1E03"/>
    <w:rsid w:val="001A20C3"/>
    <w:rsid w:val="001A2154"/>
    <w:rsid w:val="001A21B7"/>
    <w:rsid w:val="001A21DA"/>
    <w:rsid w:val="001A2232"/>
    <w:rsid w:val="001A2323"/>
    <w:rsid w:val="001A286D"/>
    <w:rsid w:val="001A2F78"/>
    <w:rsid w:val="001A304D"/>
    <w:rsid w:val="001A358B"/>
    <w:rsid w:val="001A35E9"/>
    <w:rsid w:val="001A3AB6"/>
    <w:rsid w:val="001A3AD1"/>
    <w:rsid w:val="001A3C8D"/>
    <w:rsid w:val="001A3CCD"/>
    <w:rsid w:val="001A3DCE"/>
    <w:rsid w:val="001A4072"/>
    <w:rsid w:val="001A5237"/>
    <w:rsid w:val="001A53DC"/>
    <w:rsid w:val="001A5480"/>
    <w:rsid w:val="001A554E"/>
    <w:rsid w:val="001A570A"/>
    <w:rsid w:val="001A57D5"/>
    <w:rsid w:val="001A59B4"/>
    <w:rsid w:val="001A5AA0"/>
    <w:rsid w:val="001A5BB3"/>
    <w:rsid w:val="001A5E7B"/>
    <w:rsid w:val="001A5E82"/>
    <w:rsid w:val="001A5F2C"/>
    <w:rsid w:val="001A5FC7"/>
    <w:rsid w:val="001A6110"/>
    <w:rsid w:val="001A61AD"/>
    <w:rsid w:val="001A62AC"/>
    <w:rsid w:val="001A67F4"/>
    <w:rsid w:val="001A683A"/>
    <w:rsid w:val="001A6A6A"/>
    <w:rsid w:val="001A6AFE"/>
    <w:rsid w:val="001A6E10"/>
    <w:rsid w:val="001A7377"/>
    <w:rsid w:val="001A74D4"/>
    <w:rsid w:val="001A7583"/>
    <w:rsid w:val="001A7643"/>
    <w:rsid w:val="001A7A85"/>
    <w:rsid w:val="001A7D72"/>
    <w:rsid w:val="001A7EB4"/>
    <w:rsid w:val="001A7EFD"/>
    <w:rsid w:val="001AE469"/>
    <w:rsid w:val="001B0051"/>
    <w:rsid w:val="001B043B"/>
    <w:rsid w:val="001B06D4"/>
    <w:rsid w:val="001B071D"/>
    <w:rsid w:val="001B0A58"/>
    <w:rsid w:val="001B0B37"/>
    <w:rsid w:val="001B0B43"/>
    <w:rsid w:val="001B0BB8"/>
    <w:rsid w:val="001B0BEF"/>
    <w:rsid w:val="001B0D02"/>
    <w:rsid w:val="001B0D37"/>
    <w:rsid w:val="001B0EDC"/>
    <w:rsid w:val="001B0F0E"/>
    <w:rsid w:val="001B0F66"/>
    <w:rsid w:val="001B0FB4"/>
    <w:rsid w:val="001B11AE"/>
    <w:rsid w:val="001B1354"/>
    <w:rsid w:val="001B13A8"/>
    <w:rsid w:val="001B1405"/>
    <w:rsid w:val="001B15A5"/>
    <w:rsid w:val="001B15EC"/>
    <w:rsid w:val="001B1865"/>
    <w:rsid w:val="001B18C8"/>
    <w:rsid w:val="001B22F6"/>
    <w:rsid w:val="001B2C08"/>
    <w:rsid w:val="001B2E75"/>
    <w:rsid w:val="001B30F7"/>
    <w:rsid w:val="001B3349"/>
    <w:rsid w:val="001B33DF"/>
    <w:rsid w:val="001B3593"/>
    <w:rsid w:val="001B3647"/>
    <w:rsid w:val="001B3723"/>
    <w:rsid w:val="001B3A96"/>
    <w:rsid w:val="001B3D82"/>
    <w:rsid w:val="001B3E44"/>
    <w:rsid w:val="001B420F"/>
    <w:rsid w:val="001B44A1"/>
    <w:rsid w:val="001B472A"/>
    <w:rsid w:val="001B4A49"/>
    <w:rsid w:val="001B4D03"/>
    <w:rsid w:val="001B4D63"/>
    <w:rsid w:val="001B4E57"/>
    <w:rsid w:val="001B515C"/>
    <w:rsid w:val="001B51C4"/>
    <w:rsid w:val="001B52C9"/>
    <w:rsid w:val="001B5321"/>
    <w:rsid w:val="001B558D"/>
    <w:rsid w:val="001B57CC"/>
    <w:rsid w:val="001B591A"/>
    <w:rsid w:val="001B5B15"/>
    <w:rsid w:val="001B5F3A"/>
    <w:rsid w:val="001B6426"/>
    <w:rsid w:val="001B648B"/>
    <w:rsid w:val="001B66E6"/>
    <w:rsid w:val="001B6705"/>
    <w:rsid w:val="001B6909"/>
    <w:rsid w:val="001B6C69"/>
    <w:rsid w:val="001B6D01"/>
    <w:rsid w:val="001B6E24"/>
    <w:rsid w:val="001B6FCE"/>
    <w:rsid w:val="001B7036"/>
    <w:rsid w:val="001B7046"/>
    <w:rsid w:val="001B7431"/>
    <w:rsid w:val="001B7460"/>
    <w:rsid w:val="001B76AD"/>
    <w:rsid w:val="001B76F2"/>
    <w:rsid w:val="001B77BB"/>
    <w:rsid w:val="001B791F"/>
    <w:rsid w:val="001B799B"/>
    <w:rsid w:val="001B7AB1"/>
    <w:rsid w:val="001B7BF9"/>
    <w:rsid w:val="001B7E37"/>
    <w:rsid w:val="001C0039"/>
    <w:rsid w:val="001C01C5"/>
    <w:rsid w:val="001C0250"/>
    <w:rsid w:val="001C0AB8"/>
    <w:rsid w:val="001C0F90"/>
    <w:rsid w:val="001C1111"/>
    <w:rsid w:val="001C12B7"/>
    <w:rsid w:val="001C1778"/>
    <w:rsid w:val="001C185D"/>
    <w:rsid w:val="001C1897"/>
    <w:rsid w:val="001C197D"/>
    <w:rsid w:val="001C19C2"/>
    <w:rsid w:val="001C1A24"/>
    <w:rsid w:val="001C1A91"/>
    <w:rsid w:val="001C1B5C"/>
    <w:rsid w:val="001C1C32"/>
    <w:rsid w:val="001C1C80"/>
    <w:rsid w:val="001C1DF4"/>
    <w:rsid w:val="001C1EBC"/>
    <w:rsid w:val="001C1FC7"/>
    <w:rsid w:val="001C21BC"/>
    <w:rsid w:val="001C267C"/>
    <w:rsid w:val="001C2773"/>
    <w:rsid w:val="001C297F"/>
    <w:rsid w:val="001C2AFB"/>
    <w:rsid w:val="001C2DD4"/>
    <w:rsid w:val="001C2E46"/>
    <w:rsid w:val="001C2E51"/>
    <w:rsid w:val="001C32F7"/>
    <w:rsid w:val="001C331F"/>
    <w:rsid w:val="001C35F8"/>
    <w:rsid w:val="001C3621"/>
    <w:rsid w:val="001C363F"/>
    <w:rsid w:val="001C373F"/>
    <w:rsid w:val="001C3910"/>
    <w:rsid w:val="001C396F"/>
    <w:rsid w:val="001C3FD8"/>
    <w:rsid w:val="001C40B6"/>
    <w:rsid w:val="001C424E"/>
    <w:rsid w:val="001C42D6"/>
    <w:rsid w:val="001C4416"/>
    <w:rsid w:val="001C448B"/>
    <w:rsid w:val="001C48DF"/>
    <w:rsid w:val="001C50BE"/>
    <w:rsid w:val="001C510E"/>
    <w:rsid w:val="001C525C"/>
    <w:rsid w:val="001C531D"/>
    <w:rsid w:val="001C57F0"/>
    <w:rsid w:val="001C5B70"/>
    <w:rsid w:val="001C5B86"/>
    <w:rsid w:val="001C5DA6"/>
    <w:rsid w:val="001C5E1B"/>
    <w:rsid w:val="001C5FA1"/>
    <w:rsid w:val="001C5FE0"/>
    <w:rsid w:val="001C6022"/>
    <w:rsid w:val="001C60AE"/>
    <w:rsid w:val="001C621E"/>
    <w:rsid w:val="001C694B"/>
    <w:rsid w:val="001C6997"/>
    <w:rsid w:val="001C69C3"/>
    <w:rsid w:val="001C6D56"/>
    <w:rsid w:val="001C6D66"/>
    <w:rsid w:val="001C6FF8"/>
    <w:rsid w:val="001C73E0"/>
    <w:rsid w:val="001C7552"/>
    <w:rsid w:val="001C76B0"/>
    <w:rsid w:val="001C7DEE"/>
    <w:rsid w:val="001C7E24"/>
    <w:rsid w:val="001C7FD1"/>
    <w:rsid w:val="001D01B7"/>
    <w:rsid w:val="001D01E0"/>
    <w:rsid w:val="001D02A8"/>
    <w:rsid w:val="001D04DD"/>
    <w:rsid w:val="001D05BB"/>
    <w:rsid w:val="001D0975"/>
    <w:rsid w:val="001D0AA7"/>
    <w:rsid w:val="001D0BF3"/>
    <w:rsid w:val="001D0DB1"/>
    <w:rsid w:val="001D10EB"/>
    <w:rsid w:val="001D1178"/>
    <w:rsid w:val="001D12FC"/>
    <w:rsid w:val="001D139A"/>
    <w:rsid w:val="001D14B9"/>
    <w:rsid w:val="001D14ED"/>
    <w:rsid w:val="001D1952"/>
    <w:rsid w:val="001D1A9E"/>
    <w:rsid w:val="001D206C"/>
    <w:rsid w:val="001D219C"/>
    <w:rsid w:val="001D24C4"/>
    <w:rsid w:val="001D274D"/>
    <w:rsid w:val="001D2A0A"/>
    <w:rsid w:val="001D2B05"/>
    <w:rsid w:val="001D2D7F"/>
    <w:rsid w:val="001D2F00"/>
    <w:rsid w:val="001D31ED"/>
    <w:rsid w:val="001D334A"/>
    <w:rsid w:val="001D35BC"/>
    <w:rsid w:val="001D397B"/>
    <w:rsid w:val="001D3A98"/>
    <w:rsid w:val="001D3AB1"/>
    <w:rsid w:val="001D3F0E"/>
    <w:rsid w:val="001D3FE2"/>
    <w:rsid w:val="001D44E3"/>
    <w:rsid w:val="001D4EEF"/>
    <w:rsid w:val="001D4F38"/>
    <w:rsid w:val="001D502C"/>
    <w:rsid w:val="001D506F"/>
    <w:rsid w:val="001D55C0"/>
    <w:rsid w:val="001D5B6E"/>
    <w:rsid w:val="001D5B74"/>
    <w:rsid w:val="001D5C69"/>
    <w:rsid w:val="001D5E44"/>
    <w:rsid w:val="001D654A"/>
    <w:rsid w:val="001D6605"/>
    <w:rsid w:val="001D66AE"/>
    <w:rsid w:val="001D66D1"/>
    <w:rsid w:val="001D677B"/>
    <w:rsid w:val="001D67DC"/>
    <w:rsid w:val="001D69EC"/>
    <w:rsid w:val="001D6A92"/>
    <w:rsid w:val="001D6AC6"/>
    <w:rsid w:val="001D6B36"/>
    <w:rsid w:val="001D6D51"/>
    <w:rsid w:val="001D6F04"/>
    <w:rsid w:val="001D6FBF"/>
    <w:rsid w:val="001D716B"/>
    <w:rsid w:val="001D7253"/>
    <w:rsid w:val="001D7527"/>
    <w:rsid w:val="001D76EA"/>
    <w:rsid w:val="001D7785"/>
    <w:rsid w:val="001D77B2"/>
    <w:rsid w:val="001D77F9"/>
    <w:rsid w:val="001D7A33"/>
    <w:rsid w:val="001D7A9A"/>
    <w:rsid w:val="001D7B3D"/>
    <w:rsid w:val="001D7C5B"/>
    <w:rsid w:val="001D7C67"/>
    <w:rsid w:val="001D7D75"/>
    <w:rsid w:val="001D7E0F"/>
    <w:rsid w:val="001E0012"/>
    <w:rsid w:val="001E0037"/>
    <w:rsid w:val="001E010F"/>
    <w:rsid w:val="001E01C4"/>
    <w:rsid w:val="001E02D3"/>
    <w:rsid w:val="001E053C"/>
    <w:rsid w:val="001E054D"/>
    <w:rsid w:val="001E0662"/>
    <w:rsid w:val="001E08D6"/>
    <w:rsid w:val="001E0A0B"/>
    <w:rsid w:val="001E0D72"/>
    <w:rsid w:val="001E0ED9"/>
    <w:rsid w:val="001E111C"/>
    <w:rsid w:val="001E1277"/>
    <w:rsid w:val="001E12AA"/>
    <w:rsid w:val="001E12E5"/>
    <w:rsid w:val="001E138D"/>
    <w:rsid w:val="001E150E"/>
    <w:rsid w:val="001E15C1"/>
    <w:rsid w:val="001E191B"/>
    <w:rsid w:val="001E1A2C"/>
    <w:rsid w:val="001E1ACF"/>
    <w:rsid w:val="001E1B6A"/>
    <w:rsid w:val="001E1C5B"/>
    <w:rsid w:val="001E1C6D"/>
    <w:rsid w:val="001E1D64"/>
    <w:rsid w:val="001E1F34"/>
    <w:rsid w:val="001E2156"/>
    <w:rsid w:val="001E2253"/>
    <w:rsid w:val="001E2375"/>
    <w:rsid w:val="001E23F8"/>
    <w:rsid w:val="001E2418"/>
    <w:rsid w:val="001E24A4"/>
    <w:rsid w:val="001E25B6"/>
    <w:rsid w:val="001E2836"/>
    <w:rsid w:val="001E2A62"/>
    <w:rsid w:val="001E2B85"/>
    <w:rsid w:val="001E2C5C"/>
    <w:rsid w:val="001E2F04"/>
    <w:rsid w:val="001E2F49"/>
    <w:rsid w:val="001E2FCD"/>
    <w:rsid w:val="001E31EB"/>
    <w:rsid w:val="001E3675"/>
    <w:rsid w:val="001E369D"/>
    <w:rsid w:val="001E370C"/>
    <w:rsid w:val="001E3B5E"/>
    <w:rsid w:val="001E3DEE"/>
    <w:rsid w:val="001E3ED0"/>
    <w:rsid w:val="001E40C0"/>
    <w:rsid w:val="001E440B"/>
    <w:rsid w:val="001E450B"/>
    <w:rsid w:val="001E4851"/>
    <w:rsid w:val="001E488F"/>
    <w:rsid w:val="001E4955"/>
    <w:rsid w:val="001E4A13"/>
    <w:rsid w:val="001E4AF7"/>
    <w:rsid w:val="001E4D47"/>
    <w:rsid w:val="001E4F47"/>
    <w:rsid w:val="001E504C"/>
    <w:rsid w:val="001E51EA"/>
    <w:rsid w:val="001E5335"/>
    <w:rsid w:val="001E5365"/>
    <w:rsid w:val="001E5448"/>
    <w:rsid w:val="001E54C9"/>
    <w:rsid w:val="001E54D9"/>
    <w:rsid w:val="001E554A"/>
    <w:rsid w:val="001E5852"/>
    <w:rsid w:val="001E5BB4"/>
    <w:rsid w:val="001E5DEA"/>
    <w:rsid w:val="001E5EA7"/>
    <w:rsid w:val="001E6697"/>
    <w:rsid w:val="001E695D"/>
    <w:rsid w:val="001E6C12"/>
    <w:rsid w:val="001E6CFA"/>
    <w:rsid w:val="001E6E63"/>
    <w:rsid w:val="001E7322"/>
    <w:rsid w:val="001E73E6"/>
    <w:rsid w:val="001E758E"/>
    <w:rsid w:val="001E7641"/>
    <w:rsid w:val="001E76EE"/>
    <w:rsid w:val="001E78B5"/>
    <w:rsid w:val="001E7C58"/>
    <w:rsid w:val="001E7D60"/>
    <w:rsid w:val="001E7D8B"/>
    <w:rsid w:val="001E7D99"/>
    <w:rsid w:val="001E7DCB"/>
    <w:rsid w:val="001E7E4C"/>
    <w:rsid w:val="001F007C"/>
    <w:rsid w:val="001F01FD"/>
    <w:rsid w:val="001F027B"/>
    <w:rsid w:val="001F048D"/>
    <w:rsid w:val="001F0684"/>
    <w:rsid w:val="001F0827"/>
    <w:rsid w:val="001F0C94"/>
    <w:rsid w:val="001F0E23"/>
    <w:rsid w:val="001F0FF1"/>
    <w:rsid w:val="001F12E1"/>
    <w:rsid w:val="001F1502"/>
    <w:rsid w:val="001F1646"/>
    <w:rsid w:val="001F166C"/>
    <w:rsid w:val="001F172D"/>
    <w:rsid w:val="001F1757"/>
    <w:rsid w:val="001F1976"/>
    <w:rsid w:val="001F1B04"/>
    <w:rsid w:val="001F1B11"/>
    <w:rsid w:val="001F1C4B"/>
    <w:rsid w:val="001F1F30"/>
    <w:rsid w:val="001F200B"/>
    <w:rsid w:val="001F21AC"/>
    <w:rsid w:val="001F241C"/>
    <w:rsid w:val="001F2436"/>
    <w:rsid w:val="001F2443"/>
    <w:rsid w:val="001F256D"/>
    <w:rsid w:val="001F2819"/>
    <w:rsid w:val="001F29BD"/>
    <w:rsid w:val="001F2A9E"/>
    <w:rsid w:val="001F2AAA"/>
    <w:rsid w:val="001F2C85"/>
    <w:rsid w:val="001F2DAA"/>
    <w:rsid w:val="001F309B"/>
    <w:rsid w:val="001F320C"/>
    <w:rsid w:val="001F346F"/>
    <w:rsid w:val="001F34AE"/>
    <w:rsid w:val="001F3648"/>
    <w:rsid w:val="001F37D0"/>
    <w:rsid w:val="001F38EF"/>
    <w:rsid w:val="001F3A69"/>
    <w:rsid w:val="001F3B8E"/>
    <w:rsid w:val="001F3C4C"/>
    <w:rsid w:val="001F3D70"/>
    <w:rsid w:val="001F3E42"/>
    <w:rsid w:val="001F3EB0"/>
    <w:rsid w:val="001F3F4D"/>
    <w:rsid w:val="001F402B"/>
    <w:rsid w:val="001F43FE"/>
    <w:rsid w:val="001F45FC"/>
    <w:rsid w:val="001F4880"/>
    <w:rsid w:val="001F4B29"/>
    <w:rsid w:val="001F517D"/>
    <w:rsid w:val="001F5861"/>
    <w:rsid w:val="001F59B0"/>
    <w:rsid w:val="001F5B01"/>
    <w:rsid w:val="001F5DBE"/>
    <w:rsid w:val="001F5E1F"/>
    <w:rsid w:val="001F5E34"/>
    <w:rsid w:val="001F62F2"/>
    <w:rsid w:val="001F6567"/>
    <w:rsid w:val="001F693D"/>
    <w:rsid w:val="001F6A98"/>
    <w:rsid w:val="001F6B0B"/>
    <w:rsid w:val="001F6D58"/>
    <w:rsid w:val="001F724A"/>
    <w:rsid w:val="001F743D"/>
    <w:rsid w:val="001F74AE"/>
    <w:rsid w:val="001F76C5"/>
    <w:rsid w:val="001F78B9"/>
    <w:rsid w:val="001F7BC8"/>
    <w:rsid w:val="001F7EB7"/>
    <w:rsid w:val="001F7F0B"/>
    <w:rsid w:val="002000AB"/>
    <w:rsid w:val="002001DB"/>
    <w:rsid w:val="00200700"/>
    <w:rsid w:val="002008D6"/>
    <w:rsid w:val="00200A76"/>
    <w:rsid w:val="00200B1C"/>
    <w:rsid w:val="00200CF0"/>
    <w:rsid w:val="00200D18"/>
    <w:rsid w:val="00200EA8"/>
    <w:rsid w:val="00201080"/>
    <w:rsid w:val="00201848"/>
    <w:rsid w:val="00201D25"/>
    <w:rsid w:val="00201E5C"/>
    <w:rsid w:val="00201EE5"/>
    <w:rsid w:val="00201F92"/>
    <w:rsid w:val="00202217"/>
    <w:rsid w:val="00202362"/>
    <w:rsid w:val="002025E2"/>
    <w:rsid w:val="002025F8"/>
    <w:rsid w:val="00202704"/>
    <w:rsid w:val="00202CB6"/>
    <w:rsid w:val="00203075"/>
    <w:rsid w:val="0020322B"/>
    <w:rsid w:val="00203643"/>
    <w:rsid w:val="0020370A"/>
    <w:rsid w:val="00203894"/>
    <w:rsid w:val="00203BA0"/>
    <w:rsid w:val="00203BB8"/>
    <w:rsid w:val="00203FFA"/>
    <w:rsid w:val="002040D4"/>
    <w:rsid w:val="00204357"/>
    <w:rsid w:val="002043EC"/>
    <w:rsid w:val="0020449B"/>
    <w:rsid w:val="00204638"/>
    <w:rsid w:val="002050FD"/>
    <w:rsid w:val="002053E2"/>
    <w:rsid w:val="002055F3"/>
    <w:rsid w:val="002056BC"/>
    <w:rsid w:val="0020599A"/>
    <w:rsid w:val="002059B6"/>
    <w:rsid w:val="00205AD0"/>
    <w:rsid w:val="00205B19"/>
    <w:rsid w:val="00205C19"/>
    <w:rsid w:val="00205D56"/>
    <w:rsid w:val="00205EB1"/>
    <w:rsid w:val="00205F4E"/>
    <w:rsid w:val="00206059"/>
    <w:rsid w:val="0020627A"/>
    <w:rsid w:val="002062AC"/>
    <w:rsid w:val="00206392"/>
    <w:rsid w:val="00206985"/>
    <w:rsid w:val="002069F1"/>
    <w:rsid w:val="00206C6B"/>
    <w:rsid w:val="00206CC2"/>
    <w:rsid w:val="00206E32"/>
    <w:rsid w:val="00206EE0"/>
    <w:rsid w:val="00207167"/>
    <w:rsid w:val="00207359"/>
    <w:rsid w:val="00207474"/>
    <w:rsid w:val="002079B3"/>
    <w:rsid w:val="00207AD7"/>
    <w:rsid w:val="00207C74"/>
    <w:rsid w:val="00207DC0"/>
    <w:rsid w:val="00210155"/>
    <w:rsid w:val="0021043A"/>
    <w:rsid w:val="002104FF"/>
    <w:rsid w:val="002105A0"/>
    <w:rsid w:val="00210785"/>
    <w:rsid w:val="00210878"/>
    <w:rsid w:val="00210ACF"/>
    <w:rsid w:val="00210D53"/>
    <w:rsid w:val="00210DAA"/>
    <w:rsid w:val="00210E5A"/>
    <w:rsid w:val="00210F55"/>
    <w:rsid w:val="00211009"/>
    <w:rsid w:val="002114D5"/>
    <w:rsid w:val="00211F0B"/>
    <w:rsid w:val="002120B2"/>
    <w:rsid w:val="0021220C"/>
    <w:rsid w:val="002127A8"/>
    <w:rsid w:val="00212938"/>
    <w:rsid w:val="00212A6A"/>
    <w:rsid w:val="00212DA8"/>
    <w:rsid w:val="00212FB0"/>
    <w:rsid w:val="00213142"/>
    <w:rsid w:val="002132C4"/>
    <w:rsid w:val="0021375B"/>
    <w:rsid w:val="0021383E"/>
    <w:rsid w:val="0021385C"/>
    <w:rsid w:val="00213A6E"/>
    <w:rsid w:val="00213DC8"/>
    <w:rsid w:val="00213E18"/>
    <w:rsid w:val="00213FC6"/>
    <w:rsid w:val="0021400A"/>
    <w:rsid w:val="00214171"/>
    <w:rsid w:val="0021419C"/>
    <w:rsid w:val="00214226"/>
    <w:rsid w:val="002143D1"/>
    <w:rsid w:val="00214661"/>
    <w:rsid w:val="00214B74"/>
    <w:rsid w:val="00214D49"/>
    <w:rsid w:val="00214D8C"/>
    <w:rsid w:val="00214E73"/>
    <w:rsid w:val="00214EEC"/>
    <w:rsid w:val="0021533E"/>
    <w:rsid w:val="002154BB"/>
    <w:rsid w:val="00215AF3"/>
    <w:rsid w:val="00215B5E"/>
    <w:rsid w:val="00215CAE"/>
    <w:rsid w:val="00215CB9"/>
    <w:rsid w:val="00215F63"/>
    <w:rsid w:val="00215F6D"/>
    <w:rsid w:val="0021612C"/>
    <w:rsid w:val="002161EE"/>
    <w:rsid w:val="002161F1"/>
    <w:rsid w:val="00216237"/>
    <w:rsid w:val="002162E5"/>
    <w:rsid w:val="002162E9"/>
    <w:rsid w:val="002166AE"/>
    <w:rsid w:val="00216706"/>
    <w:rsid w:val="00216D88"/>
    <w:rsid w:val="00216DE5"/>
    <w:rsid w:val="00216EB8"/>
    <w:rsid w:val="00217299"/>
    <w:rsid w:val="002173F5"/>
    <w:rsid w:val="002174A4"/>
    <w:rsid w:val="00217574"/>
    <w:rsid w:val="0021757B"/>
    <w:rsid w:val="00217706"/>
    <w:rsid w:val="0021786A"/>
    <w:rsid w:val="002178F9"/>
    <w:rsid w:val="00217C4F"/>
    <w:rsid w:val="0022090E"/>
    <w:rsid w:val="00220A5C"/>
    <w:rsid w:val="00220B2C"/>
    <w:rsid w:val="00220B7B"/>
    <w:rsid w:val="00220BB3"/>
    <w:rsid w:val="00220CD4"/>
    <w:rsid w:val="00220DB6"/>
    <w:rsid w:val="00221144"/>
    <w:rsid w:val="00221152"/>
    <w:rsid w:val="00221171"/>
    <w:rsid w:val="002213BE"/>
    <w:rsid w:val="002217F0"/>
    <w:rsid w:val="00221A21"/>
    <w:rsid w:val="00221F96"/>
    <w:rsid w:val="00221FA7"/>
    <w:rsid w:val="002220F5"/>
    <w:rsid w:val="00222206"/>
    <w:rsid w:val="00222255"/>
    <w:rsid w:val="002223EA"/>
    <w:rsid w:val="00222705"/>
    <w:rsid w:val="00222A69"/>
    <w:rsid w:val="00222AF8"/>
    <w:rsid w:val="00222BE7"/>
    <w:rsid w:val="00222E1C"/>
    <w:rsid w:val="0022313F"/>
    <w:rsid w:val="0022328A"/>
    <w:rsid w:val="0022368D"/>
    <w:rsid w:val="00223768"/>
    <w:rsid w:val="0022380B"/>
    <w:rsid w:val="0022388F"/>
    <w:rsid w:val="00223A56"/>
    <w:rsid w:val="00223B83"/>
    <w:rsid w:val="00224394"/>
    <w:rsid w:val="0022450D"/>
    <w:rsid w:val="0022450F"/>
    <w:rsid w:val="00224618"/>
    <w:rsid w:val="0022465E"/>
    <w:rsid w:val="002249CD"/>
    <w:rsid w:val="00224D31"/>
    <w:rsid w:val="00225563"/>
    <w:rsid w:val="00225634"/>
    <w:rsid w:val="00225D52"/>
    <w:rsid w:val="002260D7"/>
    <w:rsid w:val="0022619F"/>
    <w:rsid w:val="0022625D"/>
    <w:rsid w:val="00226350"/>
    <w:rsid w:val="0022667A"/>
    <w:rsid w:val="00226714"/>
    <w:rsid w:val="0022671E"/>
    <w:rsid w:val="00226854"/>
    <w:rsid w:val="002268A9"/>
    <w:rsid w:val="0022694F"/>
    <w:rsid w:val="002269F5"/>
    <w:rsid w:val="00226C20"/>
    <w:rsid w:val="0022734D"/>
    <w:rsid w:val="00227A09"/>
    <w:rsid w:val="00227AB3"/>
    <w:rsid w:val="00227D9A"/>
    <w:rsid w:val="002302CC"/>
    <w:rsid w:val="0023053E"/>
    <w:rsid w:val="00230595"/>
    <w:rsid w:val="00230630"/>
    <w:rsid w:val="00230911"/>
    <w:rsid w:val="00230932"/>
    <w:rsid w:val="00230A22"/>
    <w:rsid w:val="00230B1C"/>
    <w:rsid w:val="00230C3F"/>
    <w:rsid w:val="00230DF5"/>
    <w:rsid w:val="00230E9D"/>
    <w:rsid w:val="002311D8"/>
    <w:rsid w:val="00231301"/>
    <w:rsid w:val="0023166C"/>
    <w:rsid w:val="002318E5"/>
    <w:rsid w:val="0023192F"/>
    <w:rsid w:val="002319E0"/>
    <w:rsid w:val="00231AF7"/>
    <w:rsid w:val="00231C31"/>
    <w:rsid w:val="00232099"/>
    <w:rsid w:val="002320A6"/>
    <w:rsid w:val="00232234"/>
    <w:rsid w:val="002325FD"/>
    <w:rsid w:val="0023275A"/>
    <w:rsid w:val="002327C3"/>
    <w:rsid w:val="0023287F"/>
    <w:rsid w:val="002329A3"/>
    <w:rsid w:val="00232C3F"/>
    <w:rsid w:val="00232C83"/>
    <w:rsid w:val="00232DEF"/>
    <w:rsid w:val="00232E6F"/>
    <w:rsid w:val="00232F40"/>
    <w:rsid w:val="00233044"/>
    <w:rsid w:val="00233295"/>
    <w:rsid w:val="00233511"/>
    <w:rsid w:val="00233AAC"/>
    <w:rsid w:val="00233AB9"/>
    <w:rsid w:val="00233BC9"/>
    <w:rsid w:val="00233CE7"/>
    <w:rsid w:val="00233D21"/>
    <w:rsid w:val="00233DE9"/>
    <w:rsid w:val="00233E1D"/>
    <w:rsid w:val="00233E3A"/>
    <w:rsid w:val="002340C6"/>
    <w:rsid w:val="002341F6"/>
    <w:rsid w:val="0023439B"/>
    <w:rsid w:val="002343D5"/>
    <w:rsid w:val="00234509"/>
    <w:rsid w:val="00234905"/>
    <w:rsid w:val="00234B4F"/>
    <w:rsid w:val="00234D4D"/>
    <w:rsid w:val="00235073"/>
    <w:rsid w:val="0023511A"/>
    <w:rsid w:val="0023522D"/>
    <w:rsid w:val="00235394"/>
    <w:rsid w:val="00235482"/>
    <w:rsid w:val="002354D9"/>
    <w:rsid w:val="0023552B"/>
    <w:rsid w:val="00235631"/>
    <w:rsid w:val="0023565A"/>
    <w:rsid w:val="00235917"/>
    <w:rsid w:val="00235B0C"/>
    <w:rsid w:val="00235B44"/>
    <w:rsid w:val="00235B5E"/>
    <w:rsid w:val="00235D6D"/>
    <w:rsid w:val="0023637D"/>
    <w:rsid w:val="002363B9"/>
    <w:rsid w:val="00236412"/>
    <w:rsid w:val="002364B1"/>
    <w:rsid w:val="0023671A"/>
    <w:rsid w:val="00236863"/>
    <w:rsid w:val="00236BCB"/>
    <w:rsid w:val="00236C9A"/>
    <w:rsid w:val="0023711C"/>
    <w:rsid w:val="00237586"/>
    <w:rsid w:val="002375CA"/>
    <w:rsid w:val="00237680"/>
    <w:rsid w:val="0023778D"/>
    <w:rsid w:val="002377A2"/>
    <w:rsid w:val="00237969"/>
    <w:rsid w:val="0023796D"/>
    <w:rsid w:val="00237B30"/>
    <w:rsid w:val="00237F5F"/>
    <w:rsid w:val="00240002"/>
    <w:rsid w:val="0024026F"/>
    <w:rsid w:val="00240643"/>
    <w:rsid w:val="0024080B"/>
    <w:rsid w:val="00240922"/>
    <w:rsid w:val="0024098B"/>
    <w:rsid w:val="00240A93"/>
    <w:rsid w:val="00240BE1"/>
    <w:rsid w:val="00240C3A"/>
    <w:rsid w:val="00240D69"/>
    <w:rsid w:val="00240D90"/>
    <w:rsid w:val="00240F6A"/>
    <w:rsid w:val="00241368"/>
    <w:rsid w:val="00241461"/>
    <w:rsid w:val="002415BB"/>
    <w:rsid w:val="00241915"/>
    <w:rsid w:val="00241970"/>
    <w:rsid w:val="00241986"/>
    <w:rsid w:val="002420E4"/>
    <w:rsid w:val="002421C1"/>
    <w:rsid w:val="00242A90"/>
    <w:rsid w:val="00242E30"/>
    <w:rsid w:val="00242EB8"/>
    <w:rsid w:val="00242EF5"/>
    <w:rsid w:val="00242F52"/>
    <w:rsid w:val="0024327D"/>
    <w:rsid w:val="00243304"/>
    <w:rsid w:val="0024332B"/>
    <w:rsid w:val="00243417"/>
    <w:rsid w:val="002436DD"/>
    <w:rsid w:val="0024384F"/>
    <w:rsid w:val="00243B1F"/>
    <w:rsid w:val="00243C19"/>
    <w:rsid w:val="00243DC0"/>
    <w:rsid w:val="00243EFB"/>
    <w:rsid w:val="002441AB"/>
    <w:rsid w:val="002444BE"/>
    <w:rsid w:val="0024469A"/>
    <w:rsid w:val="00244B63"/>
    <w:rsid w:val="00244F30"/>
    <w:rsid w:val="002450A4"/>
    <w:rsid w:val="0024521E"/>
    <w:rsid w:val="00245478"/>
    <w:rsid w:val="00245532"/>
    <w:rsid w:val="002455F3"/>
    <w:rsid w:val="00245604"/>
    <w:rsid w:val="00245613"/>
    <w:rsid w:val="00245A32"/>
    <w:rsid w:val="00245C90"/>
    <w:rsid w:val="00245EE9"/>
    <w:rsid w:val="00245F69"/>
    <w:rsid w:val="002460A8"/>
    <w:rsid w:val="0024615E"/>
    <w:rsid w:val="0024654C"/>
    <w:rsid w:val="002465ED"/>
    <w:rsid w:val="00246892"/>
    <w:rsid w:val="0024696B"/>
    <w:rsid w:val="00246AFF"/>
    <w:rsid w:val="00246BCD"/>
    <w:rsid w:val="00246C01"/>
    <w:rsid w:val="00246CEE"/>
    <w:rsid w:val="00246EFF"/>
    <w:rsid w:val="00247251"/>
    <w:rsid w:val="0024738F"/>
    <w:rsid w:val="00247477"/>
    <w:rsid w:val="002474F9"/>
    <w:rsid w:val="002475A4"/>
    <w:rsid w:val="00247AA0"/>
    <w:rsid w:val="00247B41"/>
    <w:rsid w:val="00247D3C"/>
    <w:rsid w:val="00247E52"/>
    <w:rsid w:val="00247F63"/>
    <w:rsid w:val="00250138"/>
    <w:rsid w:val="00250542"/>
    <w:rsid w:val="00250603"/>
    <w:rsid w:val="00250850"/>
    <w:rsid w:val="0025089C"/>
    <w:rsid w:val="00250C0F"/>
    <w:rsid w:val="00250F16"/>
    <w:rsid w:val="00250F8C"/>
    <w:rsid w:val="0025101B"/>
    <w:rsid w:val="00251065"/>
    <w:rsid w:val="00251408"/>
    <w:rsid w:val="002515E2"/>
    <w:rsid w:val="00251B20"/>
    <w:rsid w:val="00251B78"/>
    <w:rsid w:val="00251E3C"/>
    <w:rsid w:val="00252083"/>
    <w:rsid w:val="00252CBD"/>
    <w:rsid w:val="00252D59"/>
    <w:rsid w:val="00252D81"/>
    <w:rsid w:val="00252EC0"/>
    <w:rsid w:val="0025370B"/>
    <w:rsid w:val="00253A02"/>
    <w:rsid w:val="00253E78"/>
    <w:rsid w:val="00254069"/>
    <w:rsid w:val="00254193"/>
    <w:rsid w:val="00254359"/>
    <w:rsid w:val="00254476"/>
    <w:rsid w:val="002546F2"/>
    <w:rsid w:val="002548E4"/>
    <w:rsid w:val="00254ADC"/>
    <w:rsid w:val="00254E90"/>
    <w:rsid w:val="00254FCA"/>
    <w:rsid w:val="00255110"/>
    <w:rsid w:val="0025519D"/>
    <w:rsid w:val="002553B3"/>
    <w:rsid w:val="00255662"/>
    <w:rsid w:val="002556B4"/>
    <w:rsid w:val="0025577D"/>
    <w:rsid w:val="00255955"/>
    <w:rsid w:val="00255ADF"/>
    <w:rsid w:val="00255C3E"/>
    <w:rsid w:val="00255C53"/>
    <w:rsid w:val="00255D4B"/>
    <w:rsid w:val="00255EDC"/>
    <w:rsid w:val="002560B9"/>
    <w:rsid w:val="002565E2"/>
    <w:rsid w:val="00256681"/>
    <w:rsid w:val="0025689B"/>
    <w:rsid w:val="0025691B"/>
    <w:rsid w:val="00256CD0"/>
    <w:rsid w:val="00256D2F"/>
    <w:rsid w:val="00256DFA"/>
    <w:rsid w:val="00257140"/>
    <w:rsid w:val="002571B3"/>
    <w:rsid w:val="002571BA"/>
    <w:rsid w:val="00257397"/>
    <w:rsid w:val="00257606"/>
    <w:rsid w:val="00257657"/>
    <w:rsid w:val="002576C2"/>
    <w:rsid w:val="00257720"/>
    <w:rsid w:val="00257730"/>
    <w:rsid w:val="002577B4"/>
    <w:rsid w:val="002577CB"/>
    <w:rsid w:val="00260332"/>
    <w:rsid w:val="002603C4"/>
    <w:rsid w:val="00260423"/>
    <w:rsid w:val="002605FA"/>
    <w:rsid w:val="002606F1"/>
    <w:rsid w:val="00260730"/>
    <w:rsid w:val="002609FF"/>
    <w:rsid w:val="00260A43"/>
    <w:rsid w:val="00260A64"/>
    <w:rsid w:val="00260A9A"/>
    <w:rsid w:val="00260B41"/>
    <w:rsid w:val="00260BC7"/>
    <w:rsid w:val="00260D46"/>
    <w:rsid w:val="00260E0B"/>
    <w:rsid w:val="00261208"/>
    <w:rsid w:val="002612D9"/>
    <w:rsid w:val="002612F8"/>
    <w:rsid w:val="0026133B"/>
    <w:rsid w:val="002614C1"/>
    <w:rsid w:val="002615A9"/>
    <w:rsid w:val="00261969"/>
    <w:rsid w:val="00261ACE"/>
    <w:rsid w:val="00261ADE"/>
    <w:rsid w:val="00261CE2"/>
    <w:rsid w:val="00261DF8"/>
    <w:rsid w:val="00262171"/>
    <w:rsid w:val="002621E4"/>
    <w:rsid w:val="00262416"/>
    <w:rsid w:val="00262572"/>
    <w:rsid w:val="002629C3"/>
    <w:rsid w:val="00262A71"/>
    <w:rsid w:val="00262A88"/>
    <w:rsid w:val="00262B2F"/>
    <w:rsid w:val="00262B4A"/>
    <w:rsid w:val="00262BE7"/>
    <w:rsid w:val="00262DE7"/>
    <w:rsid w:val="00263062"/>
    <w:rsid w:val="00263159"/>
    <w:rsid w:val="002633A6"/>
    <w:rsid w:val="0026353A"/>
    <w:rsid w:val="0026369A"/>
    <w:rsid w:val="002638A1"/>
    <w:rsid w:val="00263958"/>
    <w:rsid w:val="00263AD4"/>
    <w:rsid w:val="00263D88"/>
    <w:rsid w:val="00263DD9"/>
    <w:rsid w:val="00263E47"/>
    <w:rsid w:val="00263F89"/>
    <w:rsid w:val="002640B4"/>
    <w:rsid w:val="00264259"/>
    <w:rsid w:val="002644DD"/>
    <w:rsid w:val="002644E9"/>
    <w:rsid w:val="002646DE"/>
    <w:rsid w:val="002649C2"/>
    <w:rsid w:val="00264D73"/>
    <w:rsid w:val="00264DBD"/>
    <w:rsid w:val="00264F7E"/>
    <w:rsid w:val="0026518B"/>
    <w:rsid w:val="002651FE"/>
    <w:rsid w:val="0026527D"/>
    <w:rsid w:val="002652AF"/>
    <w:rsid w:val="00265699"/>
    <w:rsid w:val="0026572F"/>
    <w:rsid w:val="0026588B"/>
    <w:rsid w:val="00265B71"/>
    <w:rsid w:val="00265D3A"/>
    <w:rsid w:val="00265FD9"/>
    <w:rsid w:val="00266457"/>
    <w:rsid w:val="00266631"/>
    <w:rsid w:val="00266B4B"/>
    <w:rsid w:val="00266BBF"/>
    <w:rsid w:val="00266CD5"/>
    <w:rsid w:val="00266D65"/>
    <w:rsid w:val="00266DCB"/>
    <w:rsid w:val="00266E82"/>
    <w:rsid w:val="00266F0B"/>
    <w:rsid w:val="00267071"/>
    <w:rsid w:val="0026758D"/>
    <w:rsid w:val="00267591"/>
    <w:rsid w:val="00267AFB"/>
    <w:rsid w:val="0027038B"/>
    <w:rsid w:val="00270440"/>
    <w:rsid w:val="0027078F"/>
    <w:rsid w:val="002707BC"/>
    <w:rsid w:val="00270ABA"/>
    <w:rsid w:val="00270C06"/>
    <w:rsid w:val="00270C95"/>
    <w:rsid w:val="00270DAE"/>
    <w:rsid w:val="00270E4B"/>
    <w:rsid w:val="00270F1F"/>
    <w:rsid w:val="00270F32"/>
    <w:rsid w:val="002711E7"/>
    <w:rsid w:val="002712F8"/>
    <w:rsid w:val="0027131F"/>
    <w:rsid w:val="00271D39"/>
    <w:rsid w:val="00272318"/>
    <w:rsid w:val="00272698"/>
    <w:rsid w:val="00272803"/>
    <w:rsid w:val="002728D1"/>
    <w:rsid w:val="002728D9"/>
    <w:rsid w:val="002729D3"/>
    <w:rsid w:val="00272A96"/>
    <w:rsid w:val="00272C33"/>
    <w:rsid w:val="00272CA3"/>
    <w:rsid w:val="00272CC4"/>
    <w:rsid w:val="00273047"/>
    <w:rsid w:val="002730BC"/>
    <w:rsid w:val="002731C7"/>
    <w:rsid w:val="002731F9"/>
    <w:rsid w:val="00273200"/>
    <w:rsid w:val="00273AA2"/>
    <w:rsid w:val="00273E71"/>
    <w:rsid w:val="00273E96"/>
    <w:rsid w:val="00273F7E"/>
    <w:rsid w:val="00274495"/>
    <w:rsid w:val="002745E9"/>
    <w:rsid w:val="00274926"/>
    <w:rsid w:val="00274D26"/>
    <w:rsid w:val="00274D35"/>
    <w:rsid w:val="00274D97"/>
    <w:rsid w:val="00274E25"/>
    <w:rsid w:val="00274FB3"/>
    <w:rsid w:val="00275475"/>
    <w:rsid w:val="00275580"/>
    <w:rsid w:val="00275589"/>
    <w:rsid w:val="002756A6"/>
    <w:rsid w:val="00275945"/>
    <w:rsid w:val="00275A84"/>
    <w:rsid w:val="00275E0D"/>
    <w:rsid w:val="002761BD"/>
    <w:rsid w:val="002763DA"/>
    <w:rsid w:val="002764A3"/>
    <w:rsid w:val="002765BB"/>
    <w:rsid w:val="00276689"/>
    <w:rsid w:val="00276835"/>
    <w:rsid w:val="00276983"/>
    <w:rsid w:val="00276B13"/>
    <w:rsid w:val="00276D85"/>
    <w:rsid w:val="00276DF9"/>
    <w:rsid w:val="00276EA4"/>
    <w:rsid w:val="00276EAC"/>
    <w:rsid w:val="00276EC3"/>
    <w:rsid w:val="00277050"/>
    <w:rsid w:val="0027711F"/>
    <w:rsid w:val="002772FE"/>
    <w:rsid w:val="002775CC"/>
    <w:rsid w:val="00277899"/>
    <w:rsid w:val="002779BB"/>
    <w:rsid w:val="0028054E"/>
    <w:rsid w:val="00280801"/>
    <w:rsid w:val="00280888"/>
    <w:rsid w:val="00280BB8"/>
    <w:rsid w:val="00280CF7"/>
    <w:rsid w:val="00280DA5"/>
    <w:rsid w:val="00280E1F"/>
    <w:rsid w:val="00280E50"/>
    <w:rsid w:val="0028123D"/>
    <w:rsid w:val="002812F7"/>
    <w:rsid w:val="00281725"/>
    <w:rsid w:val="0028177F"/>
    <w:rsid w:val="00281A85"/>
    <w:rsid w:val="00281B08"/>
    <w:rsid w:val="00281B43"/>
    <w:rsid w:val="00281C77"/>
    <w:rsid w:val="00281C87"/>
    <w:rsid w:val="00281D0D"/>
    <w:rsid w:val="00281EA3"/>
    <w:rsid w:val="00281FA3"/>
    <w:rsid w:val="002820A4"/>
    <w:rsid w:val="00282302"/>
    <w:rsid w:val="0028230E"/>
    <w:rsid w:val="002823A7"/>
    <w:rsid w:val="002825D1"/>
    <w:rsid w:val="002826DA"/>
    <w:rsid w:val="00282780"/>
    <w:rsid w:val="002827F4"/>
    <w:rsid w:val="00282890"/>
    <w:rsid w:val="00282944"/>
    <w:rsid w:val="00282A78"/>
    <w:rsid w:val="00282C13"/>
    <w:rsid w:val="00282CE4"/>
    <w:rsid w:val="00282D09"/>
    <w:rsid w:val="00283088"/>
    <w:rsid w:val="002833BA"/>
    <w:rsid w:val="0028344B"/>
    <w:rsid w:val="002835DD"/>
    <w:rsid w:val="002837E7"/>
    <w:rsid w:val="002839CA"/>
    <w:rsid w:val="002839CF"/>
    <w:rsid w:val="00283A22"/>
    <w:rsid w:val="00283D47"/>
    <w:rsid w:val="00283EC8"/>
    <w:rsid w:val="002840CE"/>
    <w:rsid w:val="00284253"/>
    <w:rsid w:val="0028426D"/>
    <w:rsid w:val="002845D2"/>
    <w:rsid w:val="00284616"/>
    <w:rsid w:val="002846B4"/>
    <w:rsid w:val="0028498A"/>
    <w:rsid w:val="00284CFE"/>
    <w:rsid w:val="00284D8D"/>
    <w:rsid w:val="00284DA0"/>
    <w:rsid w:val="00284DE6"/>
    <w:rsid w:val="00284FEC"/>
    <w:rsid w:val="002850BD"/>
    <w:rsid w:val="0028514E"/>
    <w:rsid w:val="00285344"/>
    <w:rsid w:val="00285382"/>
    <w:rsid w:val="0028556E"/>
    <w:rsid w:val="0028582F"/>
    <w:rsid w:val="00285AD0"/>
    <w:rsid w:val="00285DAD"/>
    <w:rsid w:val="0028609F"/>
    <w:rsid w:val="002860B0"/>
    <w:rsid w:val="002862BA"/>
    <w:rsid w:val="0028657B"/>
    <w:rsid w:val="0028705F"/>
    <w:rsid w:val="00287065"/>
    <w:rsid w:val="00287225"/>
    <w:rsid w:val="002872E5"/>
    <w:rsid w:val="00287319"/>
    <w:rsid w:val="0028734A"/>
    <w:rsid w:val="00287617"/>
    <w:rsid w:val="0028771E"/>
    <w:rsid w:val="00287BC5"/>
    <w:rsid w:val="00287CD5"/>
    <w:rsid w:val="00287D24"/>
    <w:rsid w:val="00290072"/>
    <w:rsid w:val="002901F0"/>
    <w:rsid w:val="0029039A"/>
    <w:rsid w:val="00290686"/>
    <w:rsid w:val="002906AC"/>
    <w:rsid w:val="002909E7"/>
    <w:rsid w:val="00290D1A"/>
    <w:rsid w:val="00290DF2"/>
    <w:rsid w:val="00291426"/>
    <w:rsid w:val="002915E9"/>
    <w:rsid w:val="0029190E"/>
    <w:rsid w:val="00291B91"/>
    <w:rsid w:val="00291C0C"/>
    <w:rsid w:val="00291C12"/>
    <w:rsid w:val="00291C7E"/>
    <w:rsid w:val="002920FA"/>
    <w:rsid w:val="002922FB"/>
    <w:rsid w:val="00292316"/>
    <w:rsid w:val="00292F2E"/>
    <w:rsid w:val="0029301E"/>
    <w:rsid w:val="002938AC"/>
    <w:rsid w:val="00293962"/>
    <w:rsid w:val="002939ED"/>
    <w:rsid w:val="00293A07"/>
    <w:rsid w:val="00293B16"/>
    <w:rsid w:val="00293B8D"/>
    <w:rsid w:val="00293DEE"/>
    <w:rsid w:val="0029421E"/>
    <w:rsid w:val="0029446E"/>
    <w:rsid w:val="002944CA"/>
    <w:rsid w:val="00294854"/>
    <w:rsid w:val="0029485D"/>
    <w:rsid w:val="00294B4D"/>
    <w:rsid w:val="00294BC2"/>
    <w:rsid w:val="00294C75"/>
    <w:rsid w:val="00294D70"/>
    <w:rsid w:val="002951A0"/>
    <w:rsid w:val="0029529E"/>
    <w:rsid w:val="0029532D"/>
    <w:rsid w:val="002955FD"/>
    <w:rsid w:val="00295678"/>
    <w:rsid w:val="002956C1"/>
    <w:rsid w:val="00295861"/>
    <w:rsid w:val="00295918"/>
    <w:rsid w:val="00295AE5"/>
    <w:rsid w:val="00295B6A"/>
    <w:rsid w:val="0029606C"/>
    <w:rsid w:val="002964C0"/>
    <w:rsid w:val="00296809"/>
    <w:rsid w:val="00296868"/>
    <w:rsid w:val="002968C3"/>
    <w:rsid w:val="00296F19"/>
    <w:rsid w:val="002971E4"/>
    <w:rsid w:val="0029731F"/>
    <w:rsid w:val="002974AF"/>
    <w:rsid w:val="00297597"/>
    <w:rsid w:val="002978F4"/>
    <w:rsid w:val="00297926"/>
    <w:rsid w:val="00297A7E"/>
    <w:rsid w:val="00297B69"/>
    <w:rsid w:val="00297CAD"/>
    <w:rsid w:val="00297E2D"/>
    <w:rsid w:val="00297FFD"/>
    <w:rsid w:val="002A02E3"/>
    <w:rsid w:val="002A06CF"/>
    <w:rsid w:val="002A082B"/>
    <w:rsid w:val="002A0833"/>
    <w:rsid w:val="002A0876"/>
    <w:rsid w:val="002A0A10"/>
    <w:rsid w:val="002A0B5D"/>
    <w:rsid w:val="002A0D57"/>
    <w:rsid w:val="002A0E61"/>
    <w:rsid w:val="002A0EE4"/>
    <w:rsid w:val="002A1154"/>
    <w:rsid w:val="002A12D6"/>
    <w:rsid w:val="002A1363"/>
    <w:rsid w:val="002A1467"/>
    <w:rsid w:val="002A14B1"/>
    <w:rsid w:val="002A1563"/>
    <w:rsid w:val="002A160E"/>
    <w:rsid w:val="002A1788"/>
    <w:rsid w:val="002A1CE7"/>
    <w:rsid w:val="002A1EE3"/>
    <w:rsid w:val="002A2110"/>
    <w:rsid w:val="002A218C"/>
    <w:rsid w:val="002A229E"/>
    <w:rsid w:val="002A22A0"/>
    <w:rsid w:val="002A2330"/>
    <w:rsid w:val="002A23B2"/>
    <w:rsid w:val="002A247D"/>
    <w:rsid w:val="002A2829"/>
    <w:rsid w:val="002A2D5B"/>
    <w:rsid w:val="002A2FB2"/>
    <w:rsid w:val="002A3170"/>
    <w:rsid w:val="002A3385"/>
    <w:rsid w:val="002A33E9"/>
    <w:rsid w:val="002A358C"/>
    <w:rsid w:val="002A3687"/>
    <w:rsid w:val="002A37A3"/>
    <w:rsid w:val="002A39F7"/>
    <w:rsid w:val="002A3D7E"/>
    <w:rsid w:val="002A3F97"/>
    <w:rsid w:val="002A41CF"/>
    <w:rsid w:val="002A44F1"/>
    <w:rsid w:val="002A450E"/>
    <w:rsid w:val="002A47E7"/>
    <w:rsid w:val="002A4816"/>
    <w:rsid w:val="002A49B5"/>
    <w:rsid w:val="002A49EF"/>
    <w:rsid w:val="002A4B63"/>
    <w:rsid w:val="002A4CAB"/>
    <w:rsid w:val="002A4D92"/>
    <w:rsid w:val="002A4FC2"/>
    <w:rsid w:val="002A5257"/>
    <w:rsid w:val="002A53BF"/>
    <w:rsid w:val="002A557A"/>
    <w:rsid w:val="002A5600"/>
    <w:rsid w:val="002A5AC5"/>
    <w:rsid w:val="002A5BE4"/>
    <w:rsid w:val="002A6217"/>
    <w:rsid w:val="002A62C4"/>
    <w:rsid w:val="002A642F"/>
    <w:rsid w:val="002A65CE"/>
    <w:rsid w:val="002A65E2"/>
    <w:rsid w:val="002A67F8"/>
    <w:rsid w:val="002A6963"/>
    <w:rsid w:val="002A69B1"/>
    <w:rsid w:val="002A6AE9"/>
    <w:rsid w:val="002A6C06"/>
    <w:rsid w:val="002A6EDB"/>
    <w:rsid w:val="002A70AB"/>
    <w:rsid w:val="002A71C4"/>
    <w:rsid w:val="002A730E"/>
    <w:rsid w:val="002A7420"/>
    <w:rsid w:val="002A78FA"/>
    <w:rsid w:val="002A7A28"/>
    <w:rsid w:val="002A7A5D"/>
    <w:rsid w:val="002A7B27"/>
    <w:rsid w:val="002A7B30"/>
    <w:rsid w:val="002A7B74"/>
    <w:rsid w:val="002A7E88"/>
    <w:rsid w:val="002A7F14"/>
    <w:rsid w:val="002B0072"/>
    <w:rsid w:val="002B02F1"/>
    <w:rsid w:val="002B0380"/>
    <w:rsid w:val="002B059E"/>
    <w:rsid w:val="002B099F"/>
    <w:rsid w:val="002B0A60"/>
    <w:rsid w:val="002B0AAA"/>
    <w:rsid w:val="002B0B82"/>
    <w:rsid w:val="002B0C53"/>
    <w:rsid w:val="002B0D4A"/>
    <w:rsid w:val="002B1007"/>
    <w:rsid w:val="002B10DB"/>
    <w:rsid w:val="002B12A7"/>
    <w:rsid w:val="002B13D8"/>
    <w:rsid w:val="002B1426"/>
    <w:rsid w:val="002B1447"/>
    <w:rsid w:val="002B175D"/>
    <w:rsid w:val="002B1B6F"/>
    <w:rsid w:val="002B1D6F"/>
    <w:rsid w:val="002B1E80"/>
    <w:rsid w:val="002B2029"/>
    <w:rsid w:val="002B23CA"/>
    <w:rsid w:val="002B28F0"/>
    <w:rsid w:val="002B2911"/>
    <w:rsid w:val="002B2929"/>
    <w:rsid w:val="002B2ABE"/>
    <w:rsid w:val="002B2B64"/>
    <w:rsid w:val="002B2E84"/>
    <w:rsid w:val="002B3459"/>
    <w:rsid w:val="002B3706"/>
    <w:rsid w:val="002B37F5"/>
    <w:rsid w:val="002B3834"/>
    <w:rsid w:val="002B38C8"/>
    <w:rsid w:val="002B38D5"/>
    <w:rsid w:val="002B3ABA"/>
    <w:rsid w:val="002B3C14"/>
    <w:rsid w:val="002B3DF5"/>
    <w:rsid w:val="002B3E7B"/>
    <w:rsid w:val="002B3F08"/>
    <w:rsid w:val="002B422A"/>
    <w:rsid w:val="002B4371"/>
    <w:rsid w:val="002B477C"/>
    <w:rsid w:val="002B4785"/>
    <w:rsid w:val="002B4850"/>
    <w:rsid w:val="002B4876"/>
    <w:rsid w:val="002B4CE5"/>
    <w:rsid w:val="002B4DE7"/>
    <w:rsid w:val="002B513B"/>
    <w:rsid w:val="002B5150"/>
    <w:rsid w:val="002B53BB"/>
    <w:rsid w:val="002B54C4"/>
    <w:rsid w:val="002B570D"/>
    <w:rsid w:val="002B5802"/>
    <w:rsid w:val="002B594C"/>
    <w:rsid w:val="002B5990"/>
    <w:rsid w:val="002B5A39"/>
    <w:rsid w:val="002B5AB7"/>
    <w:rsid w:val="002B5B62"/>
    <w:rsid w:val="002B5BA8"/>
    <w:rsid w:val="002B5C2F"/>
    <w:rsid w:val="002B5E8D"/>
    <w:rsid w:val="002B6253"/>
    <w:rsid w:val="002B64BF"/>
    <w:rsid w:val="002B6579"/>
    <w:rsid w:val="002B667F"/>
    <w:rsid w:val="002B685A"/>
    <w:rsid w:val="002B68CC"/>
    <w:rsid w:val="002B6BA6"/>
    <w:rsid w:val="002B6C8F"/>
    <w:rsid w:val="002B6D15"/>
    <w:rsid w:val="002B6E1C"/>
    <w:rsid w:val="002B6E7B"/>
    <w:rsid w:val="002B6EA5"/>
    <w:rsid w:val="002B75B5"/>
    <w:rsid w:val="002B796E"/>
    <w:rsid w:val="002B7B69"/>
    <w:rsid w:val="002B7CF4"/>
    <w:rsid w:val="002B7ED2"/>
    <w:rsid w:val="002C0022"/>
    <w:rsid w:val="002C00D2"/>
    <w:rsid w:val="002C034F"/>
    <w:rsid w:val="002C0362"/>
    <w:rsid w:val="002C055F"/>
    <w:rsid w:val="002C062B"/>
    <w:rsid w:val="002C0956"/>
    <w:rsid w:val="002C0990"/>
    <w:rsid w:val="002C09EB"/>
    <w:rsid w:val="002C0ADA"/>
    <w:rsid w:val="002C0C76"/>
    <w:rsid w:val="002C0D8A"/>
    <w:rsid w:val="002C0E05"/>
    <w:rsid w:val="002C105E"/>
    <w:rsid w:val="002C1602"/>
    <w:rsid w:val="002C1768"/>
    <w:rsid w:val="002C188E"/>
    <w:rsid w:val="002C1A74"/>
    <w:rsid w:val="002C1B2A"/>
    <w:rsid w:val="002C1B61"/>
    <w:rsid w:val="002C211C"/>
    <w:rsid w:val="002C2207"/>
    <w:rsid w:val="002C2269"/>
    <w:rsid w:val="002C254D"/>
    <w:rsid w:val="002C2620"/>
    <w:rsid w:val="002C26E8"/>
    <w:rsid w:val="002C2A6A"/>
    <w:rsid w:val="002C2B35"/>
    <w:rsid w:val="002C2C22"/>
    <w:rsid w:val="002C2E3C"/>
    <w:rsid w:val="002C32CB"/>
    <w:rsid w:val="002C34DD"/>
    <w:rsid w:val="002C367F"/>
    <w:rsid w:val="002C36F9"/>
    <w:rsid w:val="002C3916"/>
    <w:rsid w:val="002C3AAC"/>
    <w:rsid w:val="002C3C1E"/>
    <w:rsid w:val="002C3CBE"/>
    <w:rsid w:val="002C3EB4"/>
    <w:rsid w:val="002C4538"/>
    <w:rsid w:val="002C4656"/>
    <w:rsid w:val="002C48A6"/>
    <w:rsid w:val="002C4932"/>
    <w:rsid w:val="002C49C3"/>
    <w:rsid w:val="002C4A69"/>
    <w:rsid w:val="002C4C0B"/>
    <w:rsid w:val="002C4D4C"/>
    <w:rsid w:val="002C4E95"/>
    <w:rsid w:val="002C506B"/>
    <w:rsid w:val="002C50B2"/>
    <w:rsid w:val="002C50FA"/>
    <w:rsid w:val="002C51BC"/>
    <w:rsid w:val="002C52A7"/>
    <w:rsid w:val="002C5307"/>
    <w:rsid w:val="002C55EE"/>
    <w:rsid w:val="002C578E"/>
    <w:rsid w:val="002C583A"/>
    <w:rsid w:val="002C593F"/>
    <w:rsid w:val="002C5DC6"/>
    <w:rsid w:val="002C6136"/>
    <w:rsid w:val="002C61E4"/>
    <w:rsid w:val="002C6265"/>
    <w:rsid w:val="002C633D"/>
    <w:rsid w:val="002C6728"/>
    <w:rsid w:val="002C6A3D"/>
    <w:rsid w:val="002C6BF7"/>
    <w:rsid w:val="002C6D71"/>
    <w:rsid w:val="002C6D84"/>
    <w:rsid w:val="002C70C8"/>
    <w:rsid w:val="002C70C9"/>
    <w:rsid w:val="002C750B"/>
    <w:rsid w:val="002C75CC"/>
    <w:rsid w:val="002C781D"/>
    <w:rsid w:val="002C7A43"/>
    <w:rsid w:val="002C7A7D"/>
    <w:rsid w:val="002C7F49"/>
    <w:rsid w:val="002C7F9D"/>
    <w:rsid w:val="002C7FE9"/>
    <w:rsid w:val="002D00A3"/>
    <w:rsid w:val="002D00F9"/>
    <w:rsid w:val="002D0143"/>
    <w:rsid w:val="002D07EA"/>
    <w:rsid w:val="002D0860"/>
    <w:rsid w:val="002D08F1"/>
    <w:rsid w:val="002D09AF"/>
    <w:rsid w:val="002D0A03"/>
    <w:rsid w:val="002D0AE1"/>
    <w:rsid w:val="002D0CF3"/>
    <w:rsid w:val="002D0D34"/>
    <w:rsid w:val="002D0DC5"/>
    <w:rsid w:val="002D11D3"/>
    <w:rsid w:val="002D13CA"/>
    <w:rsid w:val="002D1674"/>
    <w:rsid w:val="002D16AA"/>
    <w:rsid w:val="002D1740"/>
    <w:rsid w:val="002D1744"/>
    <w:rsid w:val="002D19B1"/>
    <w:rsid w:val="002D19EE"/>
    <w:rsid w:val="002D1AB4"/>
    <w:rsid w:val="002D1BD9"/>
    <w:rsid w:val="002D1C92"/>
    <w:rsid w:val="002D1DC9"/>
    <w:rsid w:val="002D1EC2"/>
    <w:rsid w:val="002D2142"/>
    <w:rsid w:val="002D216A"/>
    <w:rsid w:val="002D21D8"/>
    <w:rsid w:val="002D2211"/>
    <w:rsid w:val="002D2524"/>
    <w:rsid w:val="002D263D"/>
    <w:rsid w:val="002D27E5"/>
    <w:rsid w:val="002D2868"/>
    <w:rsid w:val="002D2C5E"/>
    <w:rsid w:val="002D2C62"/>
    <w:rsid w:val="002D2C80"/>
    <w:rsid w:val="002D2CC4"/>
    <w:rsid w:val="002D2D34"/>
    <w:rsid w:val="002D319E"/>
    <w:rsid w:val="002D32A4"/>
    <w:rsid w:val="002D3391"/>
    <w:rsid w:val="002D33DF"/>
    <w:rsid w:val="002D35E3"/>
    <w:rsid w:val="002D365D"/>
    <w:rsid w:val="002D3697"/>
    <w:rsid w:val="002D3703"/>
    <w:rsid w:val="002D379E"/>
    <w:rsid w:val="002D39E0"/>
    <w:rsid w:val="002D401D"/>
    <w:rsid w:val="002D40EF"/>
    <w:rsid w:val="002D495A"/>
    <w:rsid w:val="002D4EFD"/>
    <w:rsid w:val="002D4FA3"/>
    <w:rsid w:val="002D50E9"/>
    <w:rsid w:val="002D5419"/>
    <w:rsid w:val="002D561E"/>
    <w:rsid w:val="002D58E3"/>
    <w:rsid w:val="002D59B9"/>
    <w:rsid w:val="002D5AAB"/>
    <w:rsid w:val="002D5BCE"/>
    <w:rsid w:val="002D5C9D"/>
    <w:rsid w:val="002D5CA0"/>
    <w:rsid w:val="002D5D3F"/>
    <w:rsid w:val="002D5E32"/>
    <w:rsid w:val="002D5E7B"/>
    <w:rsid w:val="002D5FAC"/>
    <w:rsid w:val="002D63D9"/>
    <w:rsid w:val="002D64CA"/>
    <w:rsid w:val="002D69A2"/>
    <w:rsid w:val="002D6A13"/>
    <w:rsid w:val="002D6CB5"/>
    <w:rsid w:val="002D6D0C"/>
    <w:rsid w:val="002D6E12"/>
    <w:rsid w:val="002D6F95"/>
    <w:rsid w:val="002D72B8"/>
    <w:rsid w:val="002D7340"/>
    <w:rsid w:val="002D736F"/>
    <w:rsid w:val="002D74C1"/>
    <w:rsid w:val="002D76CC"/>
    <w:rsid w:val="002D78CC"/>
    <w:rsid w:val="002D7FD9"/>
    <w:rsid w:val="002E0129"/>
    <w:rsid w:val="002E013A"/>
    <w:rsid w:val="002E0542"/>
    <w:rsid w:val="002E060C"/>
    <w:rsid w:val="002E06D0"/>
    <w:rsid w:val="002E0740"/>
    <w:rsid w:val="002E07A0"/>
    <w:rsid w:val="002E082E"/>
    <w:rsid w:val="002E088D"/>
    <w:rsid w:val="002E08EA"/>
    <w:rsid w:val="002E099A"/>
    <w:rsid w:val="002E0C48"/>
    <w:rsid w:val="002E0D03"/>
    <w:rsid w:val="002E0F9D"/>
    <w:rsid w:val="002E164A"/>
    <w:rsid w:val="002E1850"/>
    <w:rsid w:val="002E19B3"/>
    <w:rsid w:val="002E19E0"/>
    <w:rsid w:val="002E1C53"/>
    <w:rsid w:val="002E1CCB"/>
    <w:rsid w:val="002E1E50"/>
    <w:rsid w:val="002E1EC0"/>
    <w:rsid w:val="002E1F77"/>
    <w:rsid w:val="002E2286"/>
    <w:rsid w:val="002E237E"/>
    <w:rsid w:val="002E2500"/>
    <w:rsid w:val="002E250A"/>
    <w:rsid w:val="002E2515"/>
    <w:rsid w:val="002E264E"/>
    <w:rsid w:val="002E268C"/>
    <w:rsid w:val="002E27AA"/>
    <w:rsid w:val="002E29B3"/>
    <w:rsid w:val="002E2B7A"/>
    <w:rsid w:val="002E2F86"/>
    <w:rsid w:val="002E301D"/>
    <w:rsid w:val="002E3091"/>
    <w:rsid w:val="002E3446"/>
    <w:rsid w:val="002E37D9"/>
    <w:rsid w:val="002E37F7"/>
    <w:rsid w:val="002E3AAE"/>
    <w:rsid w:val="002E3D50"/>
    <w:rsid w:val="002E3D96"/>
    <w:rsid w:val="002E3EAD"/>
    <w:rsid w:val="002E3F1D"/>
    <w:rsid w:val="002E4185"/>
    <w:rsid w:val="002E42C1"/>
    <w:rsid w:val="002E467E"/>
    <w:rsid w:val="002E47A8"/>
    <w:rsid w:val="002E481E"/>
    <w:rsid w:val="002E490D"/>
    <w:rsid w:val="002E4947"/>
    <w:rsid w:val="002E49CD"/>
    <w:rsid w:val="002E49FD"/>
    <w:rsid w:val="002E4BA4"/>
    <w:rsid w:val="002E4D25"/>
    <w:rsid w:val="002E4F45"/>
    <w:rsid w:val="002E502C"/>
    <w:rsid w:val="002E507C"/>
    <w:rsid w:val="002E5308"/>
    <w:rsid w:val="002E5395"/>
    <w:rsid w:val="002E55CF"/>
    <w:rsid w:val="002E58B2"/>
    <w:rsid w:val="002E59F6"/>
    <w:rsid w:val="002E5A79"/>
    <w:rsid w:val="002E5D21"/>
    <w:rsid w:val="002E5DFB"/>
    <w:rsid w:val="002E5FE2"/>
    <w:rsid w:val="002E6072"/>
    <w:rsid w:val="002E6164"/>
    <w:rsid w:val="002E650B"/>
    <w:rsid w:val="002E6535"/>
    <w:rsid w:val="002E658B"/>
    <w:rsid w:val="002E65BB"/>
    <w:rsid w:val="002E666E"/>
    <w:rsid w:val="002E6854"/>
    <w:rsid w:val="002E68EC"/>
    <w:rsid w:val="002E6AD5"/>
    <w:rsid w:val="002E6E78"/>
    <w:rsid w:val="002E703A"/>
    <w:rsid w:val="002E71A9"/>
    <w:rsid w:val="002E72F4"/>
    <w:rsid w:val="002E7580"/>
    <w:rsid w:val="002E7718"/>
    <w:rsid w:val="002E7815"/>
    <w:rsid w:val="002E7851"/>
    <w:rsid w:val="002E7C49"/>
    <w:rsid w:val="002E7E4C"/>
    <w:rsid w:val="002F00A0"/>
    <w:rsid w:val="002F011F"/>
    <w:rsid w:val="002F0137"/>
    <w:rsid w:val="002F0250"/>
    <w:rsid w:val="002F0601"/>
    <w:rsid w:val="002F08C3"/>
    <w:rsid w:val="002F0BE6"/>
    <w:rsid w:val="002F0E91"/>
    <w:rsid w:val="002F1321"/>
    <w:rsid w:val="002F133A"/>
    <w:rsid w:val="002F155A"/>
    <w:rsid w:val="002F1625"/>
    <w:rsid w:val="002F1C39"/>
    <w:rsid w:val="002F1D6C"/>
    <w:rsid w:val="002F2017"/>
    <w:rsid w:val="002F20D3"/>
    <w:rsid w:val="002F215E"/>
    <w:rsid w:val="002F2230"/>
    <w:rsid w:val="002F244E"/>
    <w:rsid w:val="002F24A8"/>
    <w:rsid w:val="002F25BC"/>
    <w:rsid w:val="002F2633"/>
    <w:rsid w:val="002F2644"/>
    <w:rsid w:val="002F2862"/>
    <w:rsid w:val="002F2C52"/>
    <w:rsid w:val="002F2E0E"/>
    <w:rsid w:val="002F2FE8"/>
    <w:rsid w:val="002F3437"/>
    <w:rsid w:val="002F3F30"/>
    <w:rsid w:val="002F4228"/>
    <w:rsid w:val="002F4485"/>
    <w:rsid w:val="002F47C5"/>
    <w:rsid w:val="002F4BF8"/>
    <w:rsid w:val="002F4C00"/>
    <w:rsid w:val="002F4C3F"/>
    <w:rsid w:val="002F4E45"/>
    <w:rsid w:val="002F4E47"/>
    <w:rsid w:val="002F4EE4"/>
    <w:rsid w:val="002F4FC9"/>
    <w:rsid w:val="002F54CD"/>
    <w:rsid w:val="002F54D4"/>
    <w:rsid w:val="002F55F7"/>
    <w:rsid w:val="002F5793"/>
    <w:rsid w:val="002F5845"/>
    <w:rsid w:val="002F6455"/>
    <w:rsid w:val="002F6880"/>
    <w:rsid w:val="002F691B"/>
    <w:rsid w:val="002F6A27"/>
    <w:rsid w:val="002F6AE0"/>
    <w:rsid w:val="002F6D64"/>
    <w:rsid w:val="002F704E"/>
    <w:rsid w:val="002F70DE"/>
    <w:rsid w:val="002F71AF"/>
    <w:rsid w:val="002F71C8"/>
    <w:rsid w:val="002F7304"/>
    <w:rsid w:val="002F74B2"/>
    <w:rsid w:val="002F758B"/>
    <w:rsid w:val="002F7812"/>
    <w:rsid w:val="002F78C4"/>
    <w:rsid w:val="002F7CE3"/>
    <w:rsid w:val="002F7D2F"/>
    <w:rsid w:val="002F7D3D"/>
    <w:rsid w:val="002F7DAD"/>
    <w:rsid w:val="002F7E87"/>
    <w:rsid w:val="0030002F"/>
    <w:rsid w:val="0030017A"/>
    <w:rsid w:val="0030038E"/>
    <w:rsid w:val="00300910"/>
    <w:rsid w:val="00301023"/>
    <w:rsid w:val="00301520"/>
    <w:rsid w:val="003016EE"/>
    <w:rsid w:val="003017AA"/>
    <w:rsid w:val="00301845"/>
    <w:rsid w:val="00301D08"/>
    <w:rsid w:val="00301D64"/>
    <w:rsid w:val="00301FB8"/>
    <w:rsid w:val="0030205A"/>
    <w:rsid w:val="00302313"/>
    <w:rsid w:val="00302572"/>
    <w:rsid w:val="0030258F"/>
    <w:rsid w:val="003025AE"/>
    <w:rsid w:val="003027AD"/>
    <w:rsid w:val="003027C6"/>
    <w:rsid w:val="0030282E"/>
    <w:rsid w:val="00302F77"/>
    <w:rsid w:val="00302FE7"/>
    <w:rsid w:val="003030AC"/>
    <w:rsid w:val="0030325D"/>
    <w:rsid w:val="00303339"/>
    <w:rsid w:val="0030368E"/>
    <w:rsid w:val="003036B4"/>
    <w:rsid w:val="0030381D"/>
    <w:rsid w:val="00303A85"/>
    <w:rsid w:val="00303B06"/>
    <w:rsid w:val="00303B38"/>
    <w:rsid w:val="00303DC2"/>
    <w:rsid w:val="00304013"/>
    <w:rsid w:val="003040EA"/>
    <w:rsid w:val="00304232"/>
    <w:rsid w:val="0030423D"/>
    <w:rsid w:val="003042DE"/>
    <w:rsid w:val="003044A1"/>
    <w:rsid w:val="0030450A"/>
    <w:rsid w:val="003045B4"/>
    <w:rsid w:val="0030464F"/>
    <w:rsid w:val="00304655"/>
    <w:rsid w:val="0030487E"/>
    <w:rsid w:val="003049B4"/>
    <w:rsid w:val="00304DC4"/>
    <w:rsid w:val="00304E17"/>
    <w:rsid w:val="00304F3D"/>
    <w:rsid w:val="00304FFE"/>
    <w:rsid w:val="00305106"/>
    <w:rsid w:val="00305469"/>
    <w:rsid w:val="0030546E"/>
    <w:rsid w:val="003058C1"/>
    <w:rsid w:val="00305AB8"/>
    <w:rsid w:val="00305D98"/>
    <w:rsid w:val="00305D9B"/>
    <w:rsid w:val="00305DD3"/>
    <w:rsid w:val="00305E45"/>
    <w:rsid w:val="00305EB6"/>
    <w:rsid w:val="00306233"/>
    <w:rsid w:val="00306261"/>
    <w:rsid w:val="003062B1"/>
    <w:rsid w:val="00306597"/>
    <w:rsid w:val="003066EB"/>
    <w:rsid w:val="00306712"/>
    <w:rsid w:val="00306870"/>
    <w:rsid w:val="003069E1"/>
    <w:rsid w:val="00306AC9"/>
    <w:rsid w:val="00306B00"/>
    <w:rsid w:val="00306B54"/>
    <w:rsid w:val="003072E8"/>
    <w:rsid w:val="00307632"/>
    <w:rsid w:val="003077C3"/>
    <w:rsid w:val="00307A8D"/>
    <w:rsid w:val="00307D04"/>
    <w:rsid w:val="00307DAC"/>
    <w:rsid w:val="00310018"/>
    <w:rsid w:val="0031023E"/>
    <w:rsid w:val="0031024C"/>
    <w:rsid w:val="00310733"/>
    <w:rsid w:val="003108F2"/>
    <w:rsid w:val="00310CAF"/>
    <w:rsid w:val="00310FCD"/>
    <w:rsid w:val="0031104A"/>
    <w:rsid w:val="003117DB"/>
    <w:rsid w:val="00311839"/>
    <w:rsid w:val="00311A43"/>
    <w:rsid w:val="00311D40"/>
    <w:rsid w:val="00311F3D"/>
    <w:rsid w:val="003121B2"/>
    <w:rsid w:val="003126AF"/>
    <w:rsid w:val="00312790"/>
    <w:rsid w:val="00312B77"/>
    <w:rsid w:val="00312E1D"/>
    <w:rsid w:val="00312EE3"/>
    <w:rsid w:val="00313055"/>
    <w:rsid w:val="0031322C"/>
    <w:rsid w:val="0031330A"/>
    <w:rsid w:val="00313534"/>
    <w:rsid w:val="003135BB"/>
    <w:rsid w:val="00313632"/>
    <w:rsid w:val="00313719"/>
    <w:rsid w:val="0031384D"/>
    <w:rsid w:val="00313BFE"/>
    <w:rsid w:val="00313C30"/>
    <w:rsid w:val="00313D6F"/>
    <w:rsid w:val="00313DF6"/>
    <w:rsid w:val="00313E5C"/>
    <w:rsid w:val="0031407C"/>
    <w:rsid w:val="0031412B"/>
    <w:rsid w:val="00314666"/>
    <w:rsid w:val="0031490B"/>
    <w:rsid w:val="00314910"/>
    <w:rsid w:val="003149E4"/>
    <w:rsid w:val="00314D3A"/>
    <w:rsid w:val="00314D4E"/>
    <w:rsid w:val="00315092"/>
    <w:rsid w:val="003150F9"/>
    <w:rsid w:val="003151C7"/>
    <w:rsid w:val="0031536F"/>
    <w:rsid w:val="00315816"/>
    <w:rsid w:val="0031587C"/>
    <w:rsid w:val="003159CF"/>
    <w:rsid w:val="00315A88"/>
    <w:rsid w:val="00315A97"/>
    <w:rsid w:val="00315B2F"/>
    <w:rsid w:val="00315D12"/>
    <w:rsid w:val="00315DAA"/>
    <w:rsid w:val="00316071"/>
    <w:rsid w:val="00316176"/>
    <w:rsid w:val="00316260"/>
    <w:rsid w:val="0031678E"/>
    <w:rsid w:val="00316CF1"/>
    <w:rsid w:val="00317001"/>
    <w:rsid w:val="003170B1"/>
    <w:rsid w:val="00317402"/>
    <w:rsid w:val="00317708"/>
    <w:rsid w:val="00317793"/>
    <w:rsid w:val="0031797F"/>
    <w:rsid w:val="00317B4B"/>
    <w:rsid w:val="00317BA2"/>
    <w:rsid w:val="00317D12"/>
    <w:rsid w:val="00317E31"/>
    <w:rsid w:val="00317FE3"/>
    <w:rsid w:val="003201CA"/>
    <w:rsid w:val="003201D7"/>
    <w:rsid w:val="00320251"/>
    <w:rsid w:val="0032057D"/>
    <w:rsid w:val="00320948"/>
    <w:rsid w:val="00320DE1"/>
    <w:rsid w:val="003211EF"/>
    <w:rsid w:val="0032154B"/>
    <w:rsid w:val="0032165A"/>
    <w:rsid w:val="00321D01"/>
    <w:rsid w:val="00321FDA"/>
    <w:rsid w:val="00322298"/>
    <w:rsid w:val="003225B0"/>
    <w:rsid w:val="00322605"/>
    <w:rsid w:val="00322A59"/>
    <w:rsid w:val="00322AB2"/>
    <w:rsid w:val="00322C60"/>
    <w:rsid w:val="00322E75"/>
    <w:rsid w:val="00322EE5"/>
    <w:rsid w:val="00322F74"/>
    <w:rsid w:val="003230C1"/>
    <w:rsid w:val="003231BB"/>
    <w:rsid w:val="003232CB"/>
    <w:rsid w:val="00323342"/>
    <w:rsid w:val="003233A0"/>
    <w:rsid w:val="00323410"/>
    <w:rsid w:val="00323454"/>
    <w:rsid w:val="00323780"/>
    <w:rsid w:val="00323835"/>
    <w:rsid w:val="00323997"/>
    <w:rsid w:val="00323A1A"/>
    <w:rsid w:val="00323BC6"/>
    <w:rsid w:val="00323EB7"/>
    <w:rsid w:val="00323EC9"/>
    <w:rsid w:val="00324049"/>
    <w:rsid w:val="003243CA"/>
    <w:rsid w:val="0032440E"/>
    <w:rsid w:val="00324439"/>
    <w:rsid w:val="0032447F"/>
    <w:rsid w:val="0032462C"/>
    <w:rsid w:val="00324BB3"/>
    <w:rsid w:val="00324CD5"/>
    <w:rsid w:val="00324D74"/>
    <w:rsid w:val="00324F9B"/>
    <w:rsid w:val="00325173"/>
    <w:rsid w:val="003251EA"/>
    <w:rsid w:val="003252B0"/>
    <w:rsid w:val="003252FD"/>
    <w:rsid w:val="00325391"/>
    <w:rsid w:val="003253F4"/>
    <w:rsid w:val="0032541F"/>
    <w:rsid w:val="003256B0"/>
    <w:rsid w:val="003259B0"/>
    <w:rsid w:val="00325B04"/>
    <w:rsid w:val="00325CBC"/>
    <w:rsid w:val="00325CF3"/>
    <w:rsid w:val="00325D27"/>
    <w:rsid w:val="00325E4E"/>
    <w:rsid w:val="00325EC4"/>
    <w:rsid w:val="00325F89"/>
    <w:rsid w:val="00326679"/>
    <w:rsid w:val="00326901"/>
    <w:rsid w:val="0032693A"/>
    <w:rsid w:val="00326E47"/>
    <w:rsid w:val="00326E4E"/>
    <w:rsid w:val="00326F29"/>
    <w:rsid w:val="00326FC0"/>
    <w:rsid w:val="00327008"/>
    <w:rsid w:val="003270E1"/>
    <w:rsid w:val="00327101"/>
    <w:rsid w:val="00327187"/>
    <w:rsid w:val="003271B6"/>
    <w:rsid w:val="003272F8"/>
    <w:rsid w:val="00327373"/>
    <w:rsid w:val="00327763"/>
    <w:rsid w:val="003277EF"/>
    <w:rsid w:val="003279A1"/>
    <w:rsid w:val="00327ACB"/>
    <w:rsid w:val="00327C88"/>
    <w:rsid w:val="00327E45"/>
    <w:rsid w:val="00327E78"/>
    <w:rsid w:val="00327F61"/>
    <w:rsid w:val="0033043D"/>
    <w:rsid w:val="0033099C"/>
    <w:rsid w:val="00330A10"/>
    <w:rsid w:val="00330B9E"/>
    <w:rsid w:val="00330D26"/>
    <w:rsid w:val="00331062"/>
    <w:rsid w:val="003310D2"/>
    <w:rsid w:val="0033119B"/>
    <w:rsid w:val="003312F7"/>
    <w:rsid w:val="00331795"/>
    <w:rsid w:val="0033179B"/>
    <w:rsid w:val="003317CB"/>
    <w:rsid w:val="00331C98"/>
    <w:rsid w:val="00331EEA"/>
    <w:rsid w:val="00331F5B"/>
    <w:rsid w:val="00331FF0"/>
    <w:rsid w:val="003322F1"/>
    <w:rsid w:val="003324E4"/>
    <w:rsid w:val="003325BD"/>
    <w:rsid w:val="0033264F"/>
    <w:rsid w:val="0033282D"/>
    <w:rsid w:val="003328FF"/>
    <w:rsid w:val="0033297E"/>
    <w:rsid w:val="00332E76"/>
    <w:rsid w:val="00332E87"/>
    <w:rsid w:val="00332EDD"/>
    <w:rsid w:val="003330E2"/>
    <w:rsid w:val="0033328F"/>
    <w:rsid w:val="00333507"/>
    <w:rsid w:val="003335A9"/>
    <w:rsid w:val="0033361F"/>
    <w:rsid w:val="0033371A"/>
    <w:rsid w:val="00333949"/>
    <w:rsid w:val="00333C16"/>
    <w:rsid w:val="00333C9C"/>
    <w:rsid w:val="00333CCC"/>
    <w:rsid w:val="00334186"/>
    <w:rsid w:val="003341E3"/>
    <w:rsid w:val="00334293"/>
    <w:rsid w:val="003348D0"/>
    <w:rsid w:val="00334950"/>
    <w:rsid w:val="0033496E"/>
    <w:rsid w:val="003349AD"/>
    <w:rsid w:val="00334B21"/>
    <w:rsid w:val="0033506C"/>
    <w:rsid w:val="003351E5"/>
    <w:rsid w:val="003351FF"/>
    <w:rsid w:val="003352E3"/>
    <w:rsid w:val="00335566"/>
    <w:rsid w:val="0033561C"/>
    <w:rsid w:val="0033567B"/>
    <w:rsid w:val="0033580B"/>
    <w:rsid w:val="003358DB"/>
    <w:rsid w:val="00335916"/>
    <w:rsid w:val="003359B4"/>
    <w:rsid w:val="00335B7B"/>
    <w:rsid w:val="00335CAE"/>
    <w:rsid w:val="00335D87"/>
    <w:rsid w:val="00335E4F"/>
    <w:rsid w:val="00336120"/>
    <w:rsid w:val="003361FE"/>
    <w:rsid w:val="00336535"/>
    <w:rsid w:val="0033676F"/>
    <w:rsid w:val="00336791"/>
    <w:rsid w:val="003368D2"/>
    <w:rsid w:val="00336924"/>
    <w:rsid w:val="00336BD8"/>
    <w:rsid w:val="00336BFC"/>
    <w:rsid w:val="00336C2E"/>
    <w:rsid w:val="0033711D"/>
    <w:rsid w:val="00337276"/>
    <w:rsid w:val="003372F7"/>
    <w:rsid w:val="0033739A"/>
    <w:rsid w:val="003375F9"/>
    <w:rsid w:val="00337989"/>
    <w:rsid w:val="00337A2E"/>
    <w:rsid w:val="00337C05"/>
    <w:rsid w:val="00337C67"/>
    <w:rsid w:val="003403AC"/>
    <w:rsid w:val="00340679"/>
    <w:rsid w:val="00340760"/>
    <w:rsid w:val="00340993"/>
    <w:rsid w:val="00340ACD"/>
    <w:rsid w:val="00340B0D"/>
    <w:rsid w:val="00340D3B"/>
    <w:rsid w:val="003410B8"/>
    <w:rsid w:val="0034113A"/>
    <w:rsid w:val="003413FD"/>
    <w:rsid w:val="0034161A"/>
    <w:rsid w:val="0034166F"/>
    <w:rsid w:val="003416A4"/>
    <w:rsid w:val="00341D4F"/>
    <w:rsid w:val="00341DB7"/>
    <w:rsid w:val="0034208F"/>
    <w:rsid w:val="0034236D"/>
    <w:rsid w:val="003424F6"/>
    <w:rsid w:val="0034261C"/>
    <w:rsid w:val="0034282E"/>
    <w:rsid w:val="00342C6D"/>
    <w:rsid w:val="00342D19"/>
    <w:rsid w:val="00342E2C"/>
    <w:rsid w:val="00342E3A"/>
    <w:rsid w:val="00342EBA"/>
    <w:rsid w:val="003431B3"/>
    <w:rsid w:val="003431C9"/>
    <w:rsid w:val="0034344E"/>
    <w:rsid w:val="0034361D"/>
    <w:rsid w:val="003436BF"/>
    <w:rsid w:val="003436E1"/>
    <w:rsid w:val="00343787"/>
    <w:rsid w:val="003439A4"/>
    <w:rsid w:val="003439AC"/>
    <w:rsid w:val="00343A4E"/>
    <w:rsid w:val="00343B49"/>
    <w:rsid w:val="00343C29"/>
    <w:rsid w:val="00343C73"/>
    <w:rsid w:val="00343D9A"/>
    <w:rsid w:val="00343E5C"/>
    <w:rsid w:val="00343E99"/>
    <w:rsid w:val="00343EEA"/>
    <w:rsid w:val="00343FCC"/>
    <w:rsid w:val="00343FFB"/>
    <w:rsid w:val="0034440D"/>
    <w:rsid w:val="00344635"/>
    <w:rsid w:val="00344790"/>
    <w:rsid w:val="003448E9"/>
    <w:rsid w:val="00344B64"/>
    <w:rsid w:val="00344F1B"/>
    <w:rsid w:val="00344FAC"/>
    <w:rsid w:val="00344FB8"/>
    <w:rsid w:val="003451A4"/>
    <w:rsid w:val="003453B2"/>
    <w:rsid w:val="00345457"/>
    <w:rsid w:val="00345510"/>
    <w:rsid w:val="003455BB"/>
    <w:rsid w:val="003456F6"/>
    <w:rsid w:val="00345770"/>
    <w:rsid w:val="00345835"/>
    <w:rsid w:val="003458BC"/>
    <w:rsid w:val="0034597B"/>
    <w:rsid w:val="003459FD"/>
    <w:rsid w:val="00345A7E"/>
    <w:rsid w:val="00345EC2"/>
    <w:rsid w:val="00345F1A"/>
    <w:rsid w:val="00345F33"/>
    <w:rsid w:val="00345F8F"/>
    <w:rsid w:val="003464CB"/>
    <w:rsid w:val="0034650B"/>
    <w:rsid w:val="00346641"/>
    <w:rsid w:val="00346758"/>
    <w:rsid w:val="00346770"/>
    <w:rsid w:val="0034686D"/>
    <w:rsid w:val="00346A0D"/>
    <w:rsid w:val="00346A7F"/>
    <w:rsid w:val="00346B4C"/>
    <w:rsid w:val="00346B8B"/>
    <w:rsid w:val="00346BCB"/>
    <w:rsid w:val="00346D17"/>
    <w:rsid w:val="00347005"/>
    <w:rsid w:val="0034727D"/>
    <w:rsid w:val="00347360"/>
    <w:rsid w:val="00347546"/>
    <w:rsid w:val="00347623"/>
    <w:rsid w:val="0034799E"/>
    <w:rsid w:val="00347C2A"/>
    <w:rsid w:val="00347E2C"/>
    <w:rsid w:val="00347F5B"/>
    <w:rsid w:val="00347FC9"/>
    <w:rsid w:val="0035025E"/>
    <w:rsid w:val="0035082A"/>
    <w:rsid w:val="00350AFB"/>
    <w:rsid w:val="00350DA8"/>
    <w:rsid w:val="00350E8B"/>
    <w:rsid w:val="003510AB"/>
    <w:rsid w:val="0035118C"/>
    <w:rsid w:val="00351226"/>
    <w:rsid w:val="00351314"/>
    <w:rsid w:val="00351384"/>
    <w:rsid w:val="003514D6"/>
    <w:rsid w:val="00351BCA"/>
    <w:rsid w:val="00351C42"/>
    <w:rsid w:val="00351D62"/>
    <w:rsid w:val="00351E08"/>
    <w:rsid w:val="00351F94"/>
    <w:rsid w:val="003525DB"/>
    <w:rsid w:val="003527B2"/>
    <w:rsid w:val="0035299E"/>
    <w:rsid w:val="00352AF1"/>
    <w:rsid w:val="00352C25"/>
    <w:rsid w:val="00352C6B"/>
    <w:rsid w:val="00352D8F"/>
    <w:rsid w:val="00353261"/>
    <w:rsid w:val="003532F5"/>
    <w:rsid w:val="00353425"/>
    <w:rsid w:val="00353647"/>
    <w:rsid w:val="00353675"/>
    <w:rsid w:val="00353832"/>
    <w:rsid w:val="00353922"/>
    <w:rsid w:val="00353D56"/>
    <w:rsid w:val="00354009"/>
    <w:rsid w:val="00354185"/>
    <w:rsid w:val="0035453B"/>
    <w:rsid w:val="00354720"/>
    <w:rsid w:val="00354877"/>
    <w:rsid w:val="003548CD"/>
    <w:rsid w:val="003548F6"/>
    <w:rsid w:val="0035499C"/>
    <w:rsid w:val="00354B8C"/>
    <w:rsid w:val="00354B94"/>
    <w:rsid w:val="00354E4B"/>
    <w:rsid w:val="00354FFE"/>
    <w:rsid w:val="003553C1"/>
    <w:rsid w:val="00355766"/>
    <w:rsid w:val="00355977"/>
    <w:rsid w:val="003559EA"/>
    <w:rsid w:val="00355B13"/>
    <w:rsid w:val="00355DB2"/>
    <w:rsid w:val="00355FB5"/>
    <w:rsid w:val="00356153"/>
    <w:rsid w:val="0035630C"/>
    <w:rsid w:val="003564EB"/>
    <w:rsid w:val="003565FD"/>
    <w:rsid w:val="0035689B"/>
    <w:rsid w:val="00356999"/>
    <w:rsid w:val="00356A1F"/>
    <w:rsid w:val="00356A74"/>
    <w:rsid w:val="00356BB8"/>
    <w:rsid w:val="00356C84"/>
    <w:rsid w:val="00356DBD"/>
    <w:rsid w:val="00356DF3"/>
    <w:rsid w:val="00356E85"/>
    <w:rsid w:val="0035706D"/>
    <w:rsid w:val="003570DB"/>
    <w:rsid w:val="00357170"/>
    <w:rsid w:val="003573C6"/>
    <w:rsid w:val="00357660"/>
    <w:rsid w:val="00357717"/>
    <w:rsid w:val="0035797B"/>
    <w:rsid w:val="00357A63"/>
    <w:rsid w:val="00357C6A"/>
    <w:rsid w:val="00357F9D"/>
    <w:rsid w:val="0036002F"/>
    <w:rsid w:val="003600C6"/>
    <w:rsid w:val="00360150"/>
    <w:rsid w:val="0036017B"/>
    <w:rsid w:val="003606EC"/>
    <w:rsid w:val="0036079B"/>
    <w:rsid w:val="003609D9"/>
    <w:rsid w:val="00360A79"/>
    <w:rsid w:val="00360AF6"/>
    <w:rsid w:val="00360B47"/>
    <w:rsid w:val="00360C15"/>
    <w:rsid w:val="00360C82"/>
    <w:rsid w:val="0036108E"/>
    <w:rsid w:val="003610DA"/>
    <w:rsid w:val="00361122"/>
    <w:rsid w:val="00361312"/>
    <w:rsid w:val="00361381"/>
    <w:rsid w:val="0036139F"/>
    <w:rsid w:val="00361510"/>
    <w:rsid w:val="0036159D"/>
    <w:rsid w:val="0036160B"/>
    <w:rsid w:val="003616B1"/>
    <w:rsid w:val="003616B5"/>
    <w:rsid w:val="003617E6"/>
    <w:rsid w:val="00361AFA"/>
    <w:rsid w:val="003620C2"/>
    <w:rsid w:val="003622E0"/>
    <w:rsid w:val="00362611"/>
    <w:rsid w:val="0036272F"/>
    <w:rsid w:val="00362755"/>
    <w:rsid w:val="00362B31"/>
    <w:rsid w:val="00362B77"/>
    <w:rsid w:val="00362DD3"/>
    <w:rsid w:val="00362DD8"/>
    <w:rsid w:val="00363106"/>
    <w:rsid w:val="003631ED"/>
    <w:rsid w:val="0036334C"/>
    <w:rsid w:val="003639C5"/>
    <w:rsid w:val="00363B03"/>
    <w:rsid w:val="00363B33"/>
    <w:rsid w:val="00363D91"/>
    <w:rsid w:val="00364076"/>
    <w:rsid w:val="00364258"/>
    <w:rsid w:val="003643A3"/>
    <w:rsid w:val="00364620"/>
    <w:rsid w:val="003647D1"/>
    <w:rsid w:val="0036491E"/>
    <w:rsid w:val="00364991"/>
    <w:rsid w:val="00364ED0"/>
    <w:rsid w:val="003650FA"/>
    <w:rsid w:val="00365258"/>
    <w:rsid w:val="0036541F"/>
    <w:rsid w:val="00365534"/>
    <w:rsid w:val="003655D3"/>
    <w:rsid w:val="00366157"/>
    <w:rsid w:val="003663F7"/>
    <w:rsid w:val="00366819"/>
    <w:rsid w:val="0036693E"/>
    <w:rsid w:val="00366A5C"/>
    <w:rsid w:val="0036708D"/>
    <w:rsid w:val="003670AE"/>
    <w:rsid w:val="003670B7"/>
    <w:rsid w:val="0036738C"/>
    <w:rsid w:val="0036752C"/>
    <w:rsid w:val="00367670"/>
    <w:rsid w:val="00367674"/>
    <w:rsid w:val="003679F2"/>
    <w:rsid w:val="00367A78"/>
    <w:rsid w:val="00367CF2"/>
    <w:rsid w:val="00367DB3"/>
    <w:rsid w:val="00367F8D"/>
    <w:rsid w:val="00367F93"/>
    <w:rsid w:val="003680A8"/>
    <w:rsid w:val="00370231"/>
    <w:rsid w:val="00370248"/>
    <w:rsid w:val="00370564"/>
    <w:rsid w:val="0037068B"/>
    <w:rsid w:val="003706E7"/>
    <w:rsid w:val="00370A53"/>
    <w:rsid w:val="00370ADC"/>
    <w:rsid w:val="00370C39"/>
    <w:rsid w:val="00370DCA"/>
    <w:rsid w:val="00370EA0"/>
    <w:rsid w:val="0037150D"/>
    <w:rsid w:val="00371A33"/>
    <w:rsid w:val="00371D2B"/>
    <w:rsid w:val="00371FF5"/>
    <w:rsid w:val="0037215D"/>
    <w:rsid w:val="0037239C"/>
    <w:rsid w:val="003724D2"/>
    <w:rsid w:val="00372943"/>
    <w:rsid w:val="00372B09"/>
    <w:rsid w:val="00372CB6"/>
    <w:rsid w:val="00372CC3"/>
    <w:rsid w:val="00372E09"/>
    <w:rsid w:val="00372F1D"/>
    <w:rsid w:val="00372F7D"/>
    <w:rsid w:val="00372FEC"/>
    <w:rsid w:val="0037319C"/>
    <w:rsid w:val="003736B7"/>
    <w:rsid w:val="00373B93"/>
    <w:rsid w:val="0037402C"/>
    <w:rsid w:val="00374201"/>
    <w:rsid w:val="003742BA"/>
    <w:rsid w:val="00374637"/>
    <w:rsid w:val="0037485D"/>
    <w:rsid w:val="00374C87"/>
    <w:rsid w:val="00374E2F"/>
    <w:rsid w:val="00374E36"/>
    <w:rsid w:val="00374F8A"/>
    <w:rsid w:val="003750F1"/>
    <w:rsid w:val="003750FA"/>
    <w:rsid w:val="00375194"/>
    <w:rsid w:val="003754A3"/>
    <w:rsid w:val="0037559A"/>
    <w:rsid w:val="0037559E"/>
    <w:rsid w:val="00375894"/>
    <w:rsid w:val="00375DA5"/>
    <w:rsid w:val="00375DC6"/>
    <w:rsid w:val="00376058"/>
    <w:rsid w:val="00376095"/>
    <w:rsid w:val="00376767"/>
    <w:rsid w:val="0037695E"/>
    <w:rsid w:val="00376AD7"/>
    <w:rsid w:val="00376B45"/>
    <w:rsid w:val="00376BFE"/>
    <w:rsid w:val="00376E53"/>
    <w:rsid w:val="00376FD6"/>
    <w:rsid w:val="003771C1"/>
    <w:rsid w:val="00377255"/>
    <w:rsid w:val="0037731F"/>
    <w:rsid w:val="00377620"/>
    <w:rsid w:val="003778E8"/>
    <w:rsid w:val="0037795A"/>
    <w:rsid w:val="00377BA6"/>
    <w:rsid w:val="00377BAB"/>
    <w:rsid w:val="00377DE7"/>
    <w:rsid w:val="00380036"/>
    <w:rsid w:val="003800F0"/>
    <w:rsid w:val="00380284"/>
    <w:rsid w:val="003805B2"/>
    <w:rsid w:val="00380ADB"/>
    <w:rsid w:val="00380B16"/>
    <w:rsid w:val="00380B83"/>
    <w:rsid w:val="00380CD1"/>
    <w:rsid w:val="00380E26"/>
    <w:rsid w:val="00380FCC"/>
    <w:rsid w:val="00381200"/>
    <w:rsid w:val="0038134F"/>
    <w:rsid w:val="003817F7"/>
    <w:rsid w:val="003818EB"/>
    <w:rsid w:val="003819A7"/>
    <w:rsid w:val="003819CE"/>
    <w:rsid w:val="00381A4A"/>
    <w:rsid w:val="00381AF0"/>
    <w:rsid w:val="003828DF"/>
    <w:rsid w:val="0038295A"/>
    <w:rsid w:val="00382B5C"/>
    <w:rsid w:val="00382BCD"/>
    <w:rsid w:val="00382C39"/>
    <w:rsid w:val="00382F62"/>
    <w:rsid w:val="0038308F"/>
    <w:rsid w:val="003830BA"/>
    <w:rsid w:val="003831EF"/>
    <w:rsid w:val="003836C5"/>
    <w:rsid w:val="003837FF"/>
    <w:rsid w:val="003838F2"/>
    <w:rsid w:val="00383A8A"/>
    <w:rsid w:val="00383AAB"/>
    <w:rsid w:val="00383B6E"/>
    <w:rsid w:val="00383BD7"/>
    <w:rsid w:val="00383F8F"/>
    <w:rsid w:val="003840FA"/>
    <w:rsid w:val="003841AE"/>
    <w:rsid w:val="00384341"/>
    <w:rsid w:val="00384732"/>
    <w:rsid w:val="003848CC"/>
    <w:rsid w:val="00384969"/>
    <w:rsid w:val="00384A4B"/>
    <w:rsid w:val="00384AD5"/>
    <w:rsid w:val="00384C6C"/>
    <w:rsid w:val="00384E06"/>
    <w:rsid w:val="00384E89"/>
    <w:rsid w:val="00384EF3"/>
    <w:rsid w:val="00385227"/>
    <w:rsid w:val="00385449"/>
    <w:rsid w:val="00385846"/>
    <w:rsid w:val="0038595D"/>
    <w:rsid w:val="0038598A"/>
    <w:rsid w:val="00385B03"/>
    <w:rsid w:val="00385D51"/>
    <w:rsid w:val="00385F26"/>
    <w:rsid w:val="00385FB9"/>
    <w:rsid w:val="00386101"/>
    <w:rsid w:val="00386458"/>
    <w:rsid w:val="0038665A"/>
    <w:rsid w:val="00386876"/>
    <w:rsid w:val="00386897"/>
    <w:rsid w:val="003869EB"/>
    <w:rsid w:val="00386A1A"/>
    <w:rsid w:val="00386A40"/>
    <w:rsid w:val="00386B86"/>
    <w:rsid w:val="00386BB6"/>
    <w:rsid w:val="00386D3A"/>
    <w:rsid w:val="00386E75"/>
    <w:rsid w:val="003870AC"/>
    <w:rsid w:val="00387248"/>
    <w:rsid w:val="0038725A"/>
    <w:rsid w:val="00387496"/>
    <w:rsid w:val="0038769E"/>
    <w:rsid w:val="003879A7"/>
    <w:rsid w:val="00387C46"/>
    <w:rsid w:val="00387DB6"/>
    <w:rsid w:val="00387DFC"/>
    <w:rsid w:val="00387EE6"/>
    <w:rsid w:val="003900D8"/>
    <w:rsid w:val="00390406"/>
    <w:rsid w:val="003904E6"/>
    <w:rsid w:val="00390651"/>
    <w:rsid w:val="00390BAB"/>
    <w:rsid w:val="00390BDE"/>
    <w:rsid w:val="00390EB6"/>
    <w:rsid w:val="00390ED3"/>
    <w:rsid w:val="003913AC"/>
    <w:rsid w:val="003913B7"/>
    <w:rsid w:val="00391577"/>
    <w:rsid w:val="00391648"/>
    <w:rsid w:val="00391C30"/>
    <w:rsid w:val="00391CCD"/>
    <w:rsid w:val="00391D58"/>
    <w:rsid w:val="00391F16"/>
    <w:rsid w:val="00391F1A"/>
    <w:rsid w:val="00392664"/>
    <w:rsid w:val="003926D9"/>
    <w:rsid w:val="003927C9"/>
    <w:rsid w:val="003928AE"/>
    <w:rsid w:val="0039299B"/>
    <w:rsid w:val="003929DA"/>
    <w:rsid w:val="00392BFD"/>
    <w:rsid w:val="00392D41"/>
    <w:rsid w:val="00392E0B"/>
    <w:rsid w:val="00392F2E"/>
    <w:rsid w:val="00392F4B"/>
    <w:rsid w:val="00393089"/>
    <w:rsid w:val="003930B9"/>
    <w:rsid w:val="003931AB"/>
    <w:rsid w:val="0039320F"/>
    <w:rsid w:val="00393284"/>
    <w:rsid w:val="0039331E"/>
    <w:rsid w:val="003934CD"/>
    <w:rsid w:val="0039365C"/>
    <w:rsid w:val="003936CB"/>
    <w:rsid w:val="003937C3"/>
    <w:rsid w:val="0039387F"/>
    <w:rsid w:val="00393AA3"/>
    <w:rsid w:val="00393DFF"/>
    <w:rsid w:val="00394263"/>
    <w:rsid w:val="003943C8"/>
    <w:rsid w:val="003945A5"/>
    <w:rsid w:val="0039468F"/>
    <w:rsid w:val="003949B0"/>
    <w:rsid w:val="00394B3F"/>
    <w:rsid w:val="00394C55"/>
    <w:rsid w:val="00394D38"/>
    <w:rsid w:val="00395164"/>
    <w:rsid w:val="0039549D"/>
    <w:rsid w:val="003954E6"/>
    <w:rsid w:val="00395AF7"/>
    <w:rsid w:val="00395B85"/>
    <w:rsid w:val="00396077"/>
    <w:rsid w:val="003960FF"/>
    <w:rsid w:val="00396149"/>
    <w:rsid w:val="00396302"/>
    <w:rsid w:val="0039673D"/>
    <w:rsid w:val="00396B16"/>
    <w:rsid w:val="00396D21"/>
    <w:rsid w:val="00396F13"/>
    <w:rsid w:val="00397181"/>
    <w:rsid w:val="003971B4"/>
    <w:rsid w:val="003972F4"/>
    <w:rsid w:val="0039747D"/>
    <w:rsid w:val="00397547"/>
    <w:rsid w:val="0039766B"/>
    <w:rsid w:val="003978AD"/>
    <w:rsid w:val="003979ED"/>
    <w:rsid w:val="00397DC5"/>
    <w:rsid w:val="00397EA1"/>
    <w:rsid w:val="00397F41"/>
    <w:rsid w:val="00397FF8"/>
    <w:rsid w:val="003A01DA"/>
    <w:rsid w:val="003A022F"/>
    <w:rsid w:val="003A024D"/>
    <w:rsid w:val="003A02A1"/>
    <w:rsid w:val="003A02CA"/>
    <w:rsid w:val="003A03EE"/>
    <w:rsid w:val="003A06BD"/>
    <w:rsid w:val="003A0B0D"/>
    <w:rsid w:val="003A0D1D"/>
    <w:rsid w:val="003A115B"/>
    <w:rsid w:val="003A135F"/>
    <w:rsid w:val="003A145D"/>
    <w:rsid w:val="003A14E1"/>
    <w:rsid w:val="003A162E"/>
    <w:rsid w:val="003A1955"/>
    <w:rsid w:val="003A1B70"/>
    <w:rsid w:val="003A1BD3"/>
    <w:rsid w:val="003A1E73"/>
    <w:rsid w:val="003A1F00"/>
    <w:rsid w:val="003A20E8"/>
    <w:rsid w:val="003A2209"/>
    <w:rsid w:val="003A22D1"/>
    <w:rsid w:val="003A2786"/>
    <w:rsid w:val="003A28B7"/>
    <w:rsid w:val="003A28C5"/>
    <w:rsid w:val="003A2B2C"/>
    <w:rsid w:val="003A2BE7"/>
    <w:rsid w:val="003A2C2C"/>
    <w:rsid w:val="003A2F3C"/>
    <w:rsid w:val="003A2F55"/>
    <w:rsid w:val="003A316E"/>
    <w:rsid w:val="003A326D"/>
    <w:rsid w:val="003A33B9"/>
    <w:rsid w:val="003A33E6"/>
    <w:rsid w:val="003A3512"/>
    <w:rsid w:val="003A38F0"/>
    <w:rsid w:val="003A3960"/>
    <w:rsid w:val="003A3B4A"/>
    <w:rsid w:val="003A3C8C"/>
    <w:rsid w:val="003A3EEF"/>
    <w:rsid w:val="003A3F77"/>
    <w:rsid w:val="003A400F"/>
    <w:rsid w:val="003A4062"/>
    <w:rsid w:val="003A4103"/>
    <w:rsid w:val="003A48AD"/>
    <w:rsid w:val="003A48F7"/>
    <w:rsid w:val="003A4A14"/>
    <w:rsid w:val="003A511B"/>
    <w:rsid w:val="003A544B"/>
    <w:rsid w:val="003A548A"/>
    <w:rsid w:val="003A56A8"/>
    <w:rsid w:val="003A59B5"/>
    <w:rsid w:val="003A5B0D"/>
    <w:rsid w:val="003A5BCB"/>
    <w:rsid w:val="003A5C4D"/>
    <w:rsid w:val="003A60A6"/>
    <w:rsid w:val="003A60EA"/>
    <w:rsid w:val="003A60F8"/>
    <w:rsid w:val="003A639A"/>
    <w:rsid w:val="003A6545"/>
    <w:rsid w:val="003A67ED"/>
    <w:rsid w:val="003A688C"/>
    <w:rsid w:val="003A6935"/>
    <w:rsid w:val="003A6B63"/>
    <w:rsid w:val="003A6F45"/>
    <w:rsid w:val="003A6F70"/>
    <w:rsid w:val="003A7246"/>
    <w:rsid w:val="003A7493"/>
    <w:rsid w:val="003A74BB"/>
    <w:rsid w:val="003A7602"/>
    <w:rsid w:val="003A7605"/>
    <w:rsid w:val="003A7773"/>
    <w:rsid w:val="003A7845"/>
    <w:rsid w:val="003A7889"/>
    <w:rsid w:val="003A78F9"/>
    <w:rsid w:val="003A79E9"/>
    <w:rsid w:val="003A7A07"/>
    <w:rsid w:val="003A7F45"/>
    <w:rsid w:val="003B0014"/>
    <w:rsid w:val="003B0057"/>
    <w:rsid w:val="003B0237"/>
    <w:rsid w:val="003B06A8"/>
    <w:rsid w:val="003B079D"/>
    <w:rsid w:val="003B07D5"/>
    <w:rsid w:val="003B0879"/>
    <w:rsid w:val="003B0947"/>
    <w:rsid w:val="003B0B08"/>
    <w:rsid w:val="003B10C4"/>
    <w:rsid w:val="003B1211"/>
    <w:rsid w:val="003B12C4"/>
    <w:rsid w:val="003B12FF"/>
    <w:rsid w:val="003B131D"/>
    <w:rsid w:val="003B149F"/>
    <w:rsid w:val="003B160F"/>
    <w:rsid w:val="003B1ADE"/>
    <w:rsid w:val="003B1D00"/>
    <w:rsid w:val="003B2164"/>
    <w:rsid w:val="003B261B"/>
    <w:rsid w:val="003B276B"/>
    <w:rsid w:val="003B27CA"/>
    <w:rsid w:val="003B2888"/>
    <w:rsid w:val="003B29F1"/>
    <w:rsid w:val="003B2E2F"/>
    <w:rsid w:val="003B2E9A"/>
    <w:rsid w:val="003B2F39"/>
    <w:rsid w:val="003B322F"/>
    <w:rsid w:val="003B3287"/>
    <w:rsid w:val="003B339F"/>
    <w:rsid w:val="003B3494"/>
    <w:rsid w:val="003B3615"/>
    <w:rsid w:val="003B3723"/>
    <w:rsid w:val="003B38D0"/>
    <w:rsid w:val="003B3EA4"/>
    <w:rsid w:val="003B3F3D"/>
    <w:rsid w:val="003B49CD"/>
    <w:rsid w:val="003B4C5D"/>
    <w:rsid w:val="003B50DB"/>
    <w:rsid w:val="003B50F5"/>
    <w:rsid w:val="003B513B"/>
    <w:rsid w:val="003B521B"/>
    <w:rsid w:val="003B569A"/>
    <w:rsid w:val="003B5705"/>
    <w:rsid w:val="003B6084"/>
    <w:rsid w:val="003B61B5"/>
    <w:rsid w:val="003B61EA"/>
    <w:rsid w:val="003B6212"/>
    <w:rsid w:val="003B624C"/>
    <w:rsid w:val="003B627E"/>
    <w:rsid w:val="003B646B"/>
    <w:rsid w:val="003B694E"/>
    <w:rsid w:val="003B6A10"/>
    <w:rsid w:val="003B6BE5"/>
    <w:rsid w:val="003B6BF0"/>
    <w:rsid w:val="003B6C44"/>
    <w:rsid w:val="003B6EC1"/>
    <w:rsid w:val="003B7781"/>
    <w:rsid w:val="003B7862"/>
    <w:rsid w:val="003B791E"/>
    <w:rsid w:val="003B7AFE"/>
    <w:rsid w:val="003B7CAC"/>
    <w:rsid w:val="003B7ED4"/>
    <w:rsid w:val="003B8786"/>
    <w:rsid w:val="003C0236"/>
    <w:rsid w:val="003C04A5"/>
    <w:rsid w:val="003C0765"/>
    <w:rsid w:val="003C07A5"/>
    <w:rsid w:val="003C07DC"/>
    <w:rsid w:val="003C07E6"/>
    <w:rsid w:val="003C082D"/>
    <w:rsid w:val="003C0922"/>
    <w:rsid w:val="003C0A05"/>
    <w:rsid w:val="003C0BA9"/>
    <w:rsid w:val="003C0C4E"/>
    <w:rsid w:val="003C0D8C"/>
    <w:rsid w:val="003C107A"/>
    <w:rsid w:val="003C11AF"/>
    <w:rsid w:val="003C1510"/>
    <w:rsid w:val="003C1661"/>
    <w:rsid w:val="003C19F3"/>
    <w:rsid w:val="003C19F8"/>
    <w:rsid w:val="003C1AEA"/>
    <w:rsid w:val="003C1B56"/>
    <w:rsid w:val="003C1C38"/>
    <w:rsid w:val="003C1F28"/>
    <w:rsid w:val="003C217D"/>
    <w:rsid w:val="003C22A0"/>
    <w:rsid w:val="003C2429"/>
    <w:rsid w:val="003C2507"/>
    <w:rsid w:val="003C2512"/>
    <w:rsid w:val="003C263D"/>
    <w:rsid w:val="003C26B2"/>
    <w:rsid w:val="003C278E"/>
    <w:rsid w:val="003C2F00"/>
    <w:rsid w:val="003C2F94"/>
    <w:rsid w:val="003C301C"/>
    <w:rsid w:val="003C3479"/>
    <w:rsid w:val="003C398F"/>
    <w:rsid w:val="003C3ADE"/>
    <w:rsid w:val="003C3C6D"/>
    <w:rsid w:val="003C3C8A"/>
    <w:rsid w:val="003C3D92"/>
    <w:rsid w:val="003C3EF5"/>
    <w:rsid w:val="003C4081"/>
    <w:rsid w:val="003C40FA"/>
    <w:rsid w:val="003C414F"/>
    <w:rsid w:val="003C42F2"/>
    <w:rsid w:val="003C43D4"/>
    <w:rsid w:val="003C4A16"/>
    <w:rsid w:val="003C4E66"/>
    <w:rsid w:val="003C4E6F"/>
    <w:rsid w:val="003C5105"/>
    <w:rsid w:val="003C53DF"/>
    <w:rsid w:val="003C57FB"/>
    <w:rsid w:val="003C5834"/>
    <w:rsid w:val="003C5B41"/>
    <w:rsid w:val="003C5BAF"/>
    <w:rsid w:val="003C5FEE"/>
    <w:rsid w:val="003C60D3"/>
    <w:rsid w:val="003C61CA"/>
    <w:rsid w:val="003C63D7"/>
    <w:rsid w:val="003C67BE"/>
    <w:rsid w:val="003C6843"/>
    <w:rsid w:val="003C68DD"/>
    <w:rsid w:val="003C68F4"/>
    <w:rsid w:val="003C6934"/>
    <w:rsid w:val="003C69E4"/>
    <w:rsid w:val="003C6A90"/>
    <w:rsid w:val="003C6F27"/>
    <w:rsid w:val="003C7047"/>
    <w:rsid w:val="003C7268"/>
    <w:rsid w:val="003C7444"/>
    <w:rsid w:val="003C7639"/>
    <w:rsid w:val="003C79A1"/>
    <w:rsid w:val="003C7B3C"/>
    <w:rsid w:val="003C7B68"/>
    <w:rsid w:val="003C7E0A"/>
    <w:rsid w:val="003D017F"/>
    <w:rsid w:val="003D0232"/>
    <w:rsid w:val="003D0317"/>
    <w:rsid w:val="003D0629"/>
    <w:rsid w:val="003D0704"/>
    <w:rsid w:val="003D0720"/>
    <w:rsid w:val="003D0751"/>
    <w:rsid w:val="003D089D"/>
    <w:rsid w:val="003D0AFD"/>
    <w:rsid w:val="003D0B5D"/>
    <w:rsid w:val="003D0D01"/>
    <w:rsid w:val="003D0E67"/>
    <w:rsid w:val="003D0EE3"/>
    <w:rsid w:val="003D0FA3"/>
    <w:rsid w:val="003D101B"/>
    <w:rsid w:val="003D140E"/>
    <w:rsid w:val="003D141F"/>
    <w:rsid w:val="003D143A"/>
    <w:rsid w:val="003D16C9"/>
    <w:rsid w:val="003D1A22"/>
    <w:rsid w:val="003D1B32"/>
    <w:rsid w:val="003D1BC4"/>
    <w:rsid w:val="003D1FFF"/>
    <w:rsid w:val="003D2353"/>
    <w:rsid w:val="003D2414"/>
    <w:rsid w:val="003D2465"/>
    <w:rsid w:val="003D2641"/>
    <w:rsid w:val="003D288B"/>
    <w:rsid w:val="003D28A4"/>
    <w:rsid w:val="003D2941"/>
    <w:rsid w:val="003D2AC9"/>
    <w:rsid w:val="003D2B75"/>
    <w:rsid w:val="003D2CD3"/>
    <w:rsid w:val="003D2EB5"/>
    <w:rsid w:val="003D2F98"/>
    <w:rsid w:val="003D2FA0"/>
    <w:rsid w:val="003D2FAB"/>
    <w:rsid w:val="003D32FB"/>
    <w:rsid w:val="003D33E1"/>
    <w:rsid w:val="003D3623"/>
    <w:rsid w:val="003D382B"/>
    <w:rsid w:val="003D3D4C"/>
    <w:rsid w:val="003D3D9D"/>
    <w:rsid w:val="003D3E69"/>
    <w:rsid w:val="003D3F2B"/>
    <w:rsid w:val="003D3F50"/>
    <w:rsid w:val="003D3F61"/>
    <w:rsid w:val="003D44D4"/>
    <w:rsid w:val="003D44F3"/>
    <w:rsid w:val="003D46F5"/>
    <w:rsid w:val="003D4752"/>
    <w:rsid w:val="003D48E1"/>
    <w:rsid w:val="003D4EFB"/>
    <w:rsid w:val="003D5165"/>
    <w:rsid w:val="003D5186"/>
    <w:rsid w:val="003D55FF"/>
    <w:rsid w:val="003D56D5"/>
    <w:rsid w:val="003D59B3"/>
    <w:rsid w:val="003D5AAD"/>
    <w:rsid w:val="003D5B82"/>
    <w:rsid w:val="003D5C7A"/>
    <w:rsid w:val="003D5F4E"/>
    <w:rsid w:val="003D6046"/>
    <w:rsid w:val="003D6049"/>
    <w:rsid w:val="003D622D"/>
    <w:rsid w:val="003D6568"/>
    <w:rsid w:val="003D672C"/>
    <w:rsid w:val="003D684A"/>
    <w:rsid w:val="003D69B8"/>
    <w:rsid w:val="003D6DF1"/>
    <w:rsid w:val="003D6E01"/>
    <w:rsid w:val="003D7079"/>
    <w:rsid w:val="003D71B4"/>
    <w:rsid w:val="003D737F"/>
    <w:rsid w:val="003D7735"/>
    <w:rsid w:val="003D7784"/>
    <w:rsid w:val="003D7DD0"/>
    <w:rsid w:val="003D7E64"/>
    <w:rsid w:val="003E0338"/>
    <w:rsid w:val="003E0489"/>
    <w:rsid w:val="003E08ED"/>
    <w:rsid w:val="003E0AC6"/>
    <w:rsid w:val="003E0AEB"/>
    <w:rsid w:val="003E0C6B"/>
    <w:rsid w:val="003E123C"/>
    <w:rsid w:val="003E127D"/>
    <w:rsid w:val="003E1510"/>
    <w:rsid w:val="003E1676"/>
    <w:rsid w:val="003E185E"/>
    <w:rsid w:val="003E18B4"/>
    <w:rsid w:val="003E18F7"/>
    <w:rsid w:val="003E19EB"/>
    <w:rsid w:val="003E1AAA"/>
    <w:rsid w:val="003E1ACF"/>
    <w:rsid w:val="003E1F7B"/>
    <w:rsid w:val="003E1FFC"/>
    <w:rsid w:val="003E2430"/>
    <w:rsid w:val="003E2A3A"/>
    <w:rsid w:val="003E2B35"/>
    <w:rsid w:val="003E2C91"/>
    <w:rsid w:val="003E2E64"/>
    <w:rsid w:val="003E30B8"/>
    <w:rsid w:val="003E3352"/>
    <w:rsid w:val="003E365F"/>
    <w:rsid w:val="003E36D0"/>
    <w:rsid w:val="003E387A"/>
    <w:rsid w:val="003E3B48"/>
    <w:rsid w:val="003E3CC0"/>
    <w:rsid w:val="003E3E47"/>
    <w:rsid w:val="003E3FC1"/>
    <w:rsid w:val="003E3FEB"/>
    <w:rsid w:val="003E45AC"/>
    <w:rsid w:val="003E45D5"/>
    <w:rsid w:val="003E4797"/>
    <w:rsid w:val="003E491B"/>
    <w:rsid w:val="003E4963"/>
    <w:rsid w:val="003E4CA9"/>
    <w:rsid w:val="003E4E9B"/>
    <w:rsid w:val="003E5267"/>
    <w:rsid w:val="003E527C"/>
    <w:rsid w:val="003E53D6"/>
    <w:rsid w:val="003E5410"/>
    <w:rsid w:val="003E56C7"/>
    <w:rsid w:val="003E5A03"/>
    <w:rsid w:val="003E5A78"/>
    <w:rsid w:val="003E5AEA"/>
    <w:rsid w:val="003E5B8D"/>
    <w:rsid w:val="003E625B"/>
    <w:rsid w:val="003E6312"/>
    <w:rsid w:val="003E66D2"/>
    <w:rsid w:val="003E67BE"/>
    <w:rsid w:val="003E69E0"/>
    <w:rsid w:val="003E6DBF"/>
    <w:rsid w:val="003E6F6A"/>
    <w:rsid w:val="003E6FC2"/>
    <w:rsid w:val="003E7085"/>
    <w:rsid w:val="003E71E4"/>
    <w:rsid w:val="003E743D"/>
    <w:rsid w:val="003E75C1"/>
    <w:rsid w:val="003E762B"/>
    <w:rsid w:val="003E7654"/>
    <w:rsid w:val="003E7D7E"/>
    <w:rsid w:val="003EFD90"/>
    <w:rsid w:val="003F022E"/>
    <w:rsid w:val="003F0235"/>
    <w:rsid w:val="003F052B"/>
    <w:rsid w:val="003F0674"/>
    <w:rsid w:val="003F069A"/>
    <w:rsid w:val="003F0987"/>
    <w:rsid w:val="003F0A5F"/>
    <w:rsid w:val="003F0B5C"/>
    <w:rsid w:val="003F0C53"/>
    <w:rsid w:val="003F0C5D"/>
    <w:rsid w:val="003F0D45"/>
    <w:rsid w:val="003F0DB1"/>
    <w:rsid w:val="003F100F"/>
    <w:rsid w:val="003F12DE"/>
    <w:rsid w:val="003F1303"/>
    <w:rsid w:val="003F1373"/>
    <w:rsid w:val="003F157E"/>
    <w:rsid w:val="003F1623"/>
    <w:rsid w:val="003F1723"/>
    <w:rsid w:val="003F1724"/>
    <w:rsid w:val="003F1C61"/>
    <w:rsid w:val="003F1D07"/>
    <w:rsid w:val="003F1F91"/>
    <w:rsid w:val="003F2047"/>
    <w:rsid w:val="003F2195"/>
    <w:rsid w:val="003F21E6"/>
    <w:rsid w:val="003F2686"/>
    <w:rsid w:val="003F2869"/>
    <w:rsid w:val="003F28B5"/>
    <w:rsid w:val="003F2970"/>
    <w:rsid w:val="003F2A43"/>
    <w:rsid w:val="003F2B2F"/>
    <w:rsid w:val="003F2B36"/>
    <w:rsid w:val="003F2CCB"/>
    <w:rsid w:val="003F32DB"/>
    <w:rsid w:val="003F3415"/>
    <w:rsid w:val="003F34E4"/>
    <w:rsid w:val="003F3577"/>
    <w:rsid w:val="003F3900"/>
    <w:rsid w:val="003F3905"/>
    <w:rsid w:val="003F39BF"/>
    <w:rsid w:val="003F3CE6"/>
    <w:rsid w:val="003F3DCA"/>
    <w:rsid w:val="003F3E11"/>
    <w:rsid w:val="003F4329"/>
    <w:rsid w:val="003F437D"/>
    <w:rsid w:val="003F44D2"/>
    <w:rsid w:val="003F45A7"/>
    <w:rsid w:val="003F46B1"/>
    <w:rsid w:val="003F4A96"/>
    <w:rsid w:val="003F4DF4"/>
    <w:rsid w:val="003F4E8C"/>
    <w:rsid w:val="003F50B0"/>
    <w:rsid w:val="003F50CC"/>
    <w:rsid w:val="003F5125"/>
    <w:rsid w:val="003F51CB"/>
    <w:rsid w:val="003F538F"/>
    <w:rsid w:val="003F5397"/>
    <w:rsid w:val="003F53C8"/>
    <w:rsid w:val="003F5446"/>
    <w:rsid w:val="003F54E6"/>
    <w:rsid w:val="003F551C"/>
    <w:rsid w:val="003F596E"/>
    <w:rsid w:val="003F5AC4"/>
    <w:rsid w:val="003F5B76"/>
    <w:rsid w:val="003F5BA3"/>
    <w:rsid w:val="003F62E9"/>
    <w:rsid w:val="003F63FF"/>
    <w:rsid w:val="003F6724"/>
    <w:rsid w:val="003F68C9"/>
    <w:rsid w:val="003F68E5"/>
    <w:rsid w:val="003F69E3"/>
    <w:rsid w:val="003F69FF"/>
    <w:rsid w:val="003F6D74"/>
    <w:rsid w:val="003F6EF0"/>
    <w:rsid w:val="003F7153"/>
    <w:rsid w:val="003F7710"/>
    <w:rsid w:val="003F775A"/>
    <w:rsid w:val="003F7BA0"/>
    <w:rsid w:val="003F7D24"/>
    <w:rsid w:val="003F7FEA"/>
    <w:rsid w:val="00400121"/>
    <w:rsid w:val="00400142"/>
    <w:rsid w:val="004001FB"/>
    <w:rsid w:val="00400224"/>
    <w:rsid w:val="004002EA"/>
    <w:rsid w:val="0040033A"/>
    <w:rsid w:val="00400468"/>
    <w:rsid w:val="0040054D"/>
    <w:rsid w:val="004006CE"/>
    <w:rsid w:val="00400789"/>
    <w:rsid w:val="004008D0"/>
    <w:rsid w:val="00400A06"/>
    <w:rsid w:val="00400A63"/>
    <w:rsid w:val="00400AD9"/>
    <w:rsid w:val="00400DF3"/>
    <w:rsid w:val="00401207"/>
    <w:rsid w:val="00401254"/>
    <w:rsid w:val="00401829"/>
    <w:rsid w:val="00401C89"/>
    <w:rsid w:val="004020C5"/>
    <w:rsid w:val="004021E4"/>
    <w:rsid w:val="004024F2"/>
    <w:rsid w:val="004024F6"/>
    <w:rsid w:val="0040266E"/>
    <w:rsid w:val="0040268D"/>
    <w:rsid w:val="004027CA"/>
    <w:rsid w:val="00402838"/>
    <w:rsid w:val="00402909"/>
    <w:rsid w:val="00402BC6"/>
    <w:rsid w:val="00402D77"/>
    <w:rsid w:val="00402FFB"/>
    <w:rsid w:val="00403106"/>
    <w:rsid w:val="0040310F"/>
    <w:rsid w:val="0040326A"/>
    <w:rsid w:val="004036D4"/>
    <w:rsid w:val="004039E5"/>
    <w:rsid w:val="00403D0B"/>
    <w:rsid w:val="00403E6E"/>
    <w:rsid w:val="0040411E"/>
    <w:rsid w:val="004041E4"/>
    <w:rsid w:val="00404203"/>
    <w:rsid w:val="00404236"/>
    <w:rsid w:val="0040430A"/>
    <w:rsid w:val="00404506"/>
    <w:rsid w:val="004048B1"/>
    <w:rsid w:val="004049AE"/>
    <w:rsid w:val="00404A7B"/>
    <w:rsid w:val="00404B6E"/>
    <w:rsid w:val="00404C72"/>
    <w:rsid w:val="00404D23"/>
    <w:rsid w:val="004051BE"/>
    <w:rsid w:val="004051DF"/>
    <w:rsid w:val="0040589A"/>
    <w:rsid w:val="004059C1"/>
    <w:rsid w:val="00405BA9"/>
    <w:rsid w:val="00405C41"/>
    <w:rsid w:val="00405C8D"/>
    <w:rsid w:val="00405E80"/>
    <w:rsid w:val="00405E9B"/>
    <w:rsid w:val="00405F88"/>
    <w:rsid w:val="00406494"/>
    <w:rsid w:val="0040650D"/>
    <w:rsid w:val="004066B3"/>
    <w:rsid w:val="00406861"/>
    <w:rsid w:val="00406A74"/>
    <w:rsid w:val="00406CE4"/>
    <w:rsid w:val="00406EDA"/>
    <w:rsid w:val="00406F4D"/>
    <w:rsid w:val="00407155"/>
    <w:rsid w:val="004072F2"/>
    <w:rsid w:val="004074E4"/>
    <w:rsid w:val="00407972"/>
    <w:rsid w:val="00407AFC"/>
    <w:rsid w:val="00407C80"/>
    <w:rsid w:val="00407F1F"/>
    <w:rsid w:val="00407FFD"/>
    <w:rsid w:val="004104FC"/>
    <w:rsid w:val="004108CC"/>
    <w:rsid w:val="00410B39"/>
    <w:rsid w:val="00410BE5"/>
    <w:rsid w:val="00410C11"/>
    <w:rsid w:val="00410D8F"/>
    <w:rsid w:val="00410E05"/>
    <w:rsid w:val="00410EDA"/>
    <w:rsid w:val="004110AB"/>
    <w:rsid w:val="00411622"/>
    <w:rsid w:val="004119B1"/>
    <w:rsid w:val="00411B16"/>
    <w:rsid w:val="00411C2E"/>
    <w:rsid w:val="00411DCC"/>
    <w:rsid w:val="00411DDF"/>
    <w:rsid w:val="00411F05"/>
    <w:rsid w:val="00412037"/>
    <w:rsid w:val="004121DE"/>
    <w:rsid w:val="0041228D"/>
    <w:rsid w:val="00412392"/>
    <w:rsid w:val="00412437"/>
    <w:rsid w:val="00412534"/>
    <w:rsid w:val="0041258F"/>
    <w:rsid w:val="00412658"/>
    <w:rsid w:val="0041269A"/>
    <w:rsid w:val="004128C5"/>
    <w:rsid w:val="00412A6E"/>
    <w:rsid w:val="00412C83"/>
    <w:rsid w:val="004130EE"/>
    <w:rsid w:val="004132EC"/>
    <w:rsid w:val="004134AE"/>
    <w:rsid w:val="004134F5"/>
    <w:rsid w:val="0041367E"/>
    <w:rsid w:val="00413E05"/>
    <w:rsid w:val="00413E13"/>
    <w:rsid w:val="00413F3D"/>
    <w:rsid w:val="00414345"/>
    <w:rsid w:val="00414447"/>
    <w:rsid w:val="00414580"/>
    <w:rsid w:val="00414717"/>
    <w:rsid w:val="00414BDE"/>
    <w:rsid w:val="00414C5F"/>
    <w:rsid w:val="00414F94"/>
    <w:rsid w:val="00414FD9"/>
    <w:rsid w:val="00415126"/>
    <w:rsid w:val="0041535B"/>
    <w:rsid w:val="0041543B"/>
    <w:rsid w:val="00415AF2"/>
    <w:rsid w:val="00415D9D"/>
    <w:rsid w:val="00415F9A"/>
    <w:rsid w:val="00415FEB"/>
    <w:rsid w:val="0041608B"/>
    <w:rsid w:val="0041630A"/>
    <w:rsid w:val="0041635A"/>
    <w:rsid w:val="00416391"/>
    <w:rsid w:val="004163C6"/>
    <w:rsid w:val="0041670A"/>
    <w:rsid w:val="004167C7"/>
    <w:rsid w:val="00416988"/>
    <w:rsid w:val="00416DDB"/>
    <w:rsid w:val="0041707E"/>
    <w:rsid w:val="00417271"/>
    <w:rsid w:val="00417436"/>
    <w:rsid w:val="00417611"/>
    <w:rsid w:val="0041772E"/>
    <w:rsid w:val="00417B53"/>
    <w:rsid w:val="00417BBC"/>
    <w:rsid w:val="004200AD"/>
    <w:rsid w:val="004200B1"/>
    <w:rsid w:val="0042033D"/>
    <w:rsid w:val="004203BC"/>
    <w:rsid w:val="004204CE"/>
    <w:rsid w:val="004204D2"/>
    <w:rsid w:val="00420671"/>
    <w:rsid w:val="004209AD"/>
    <w:rsid w:val="004209C2"/>
    <w:rsid w:val="00420BE5"/>
    <w:rsid w:val="00420E83"/>
    <w:rsid w:val="004210A6"/>
    <w:rsid w:val="004212C7"/>
    <w:rsid w:val="004213CE"/>
    <w:rsid w:val="0042140E"/>
    <w:rsid w:val="0042143A"/>
    <w:rsid w:val="004215F7"/>
    <w:rsid w:val="004216A6"/>
    <w:rsid w:val="00421A1F"/>
    <w:rsid w:val="00421D90"/>
    <w:rsid w:val="00421F43"/>
    <w:rsid w:val="00421F68"/>
    <w:rsid w:val="0042218D"/>
    <w:rsid w:val="00422254"/>
    <w:rsid w:val="004222A9"/>
    <w:rsid w:val="00422510"/>
    <w:rsid w:val="00422622"/>
    <w:rsid w:val="0042267F"/>
    <w:rsid w:val="0042276D"/>
    <w:rsid w:val="00422C57"/>
    <w:rsid w:val="00422D9E"/>
    <w:rsid w:val="00422F6E"/>
    <w:rsid w:val="00422FDA"/>
    <w:rsid w:val="00423018"/>
    <w:rsid w:val="00423192"/>
    <w:rsid w:val="00423677"/>
    <w:rsid w:val="0042378A"/>
    <w:rsid w:val="00423875"/>
    <w:rsid w:val="00423908"/>
    <w:rsid w:val="004239B6"/>
    <w:rsid w:val="00423C51"/>
    <w:rsid w:val="00423CC2"/>
    <w:rsid w:val="00423E3C"/>
    <w:rsid w:val="00423FE4"/>
    <w:rsid w:val="004240BC"/>
    <w:rsid w:val="0042420B"/>
    <w:rsid w:val="004243AC"/>
    <w:rsid w:val="00424488"/>
    <w:rsid w:val="004246FD"/>
    <w:rsid w:val="00424957"/>
    <w:rsid w:val="00424994"/>
    <w:rsid w:val="00424AA6"/>
    <w:rsid w:val="00424B98"/>
    <w:rsid w:val="00424D84"/>
    <w:rsid w:val="00424F52"/>
    <w:rsid w:val="0042507F"/>
    <w:rsid w:val="00425238"/>
    <w:rsid w:val="00425ADA"/>
    <w:rsid w:val="00425BA5"/>
    <w:rsid w:val="00425ED6"/>
    <w:rsid w:val="00426014"/>
    <w:rsid w:val="00426039"/>
    <w:rsid w:val="004260CA"/>
    <w:rsid w:val="004261CF"/>
    <w:rsid w:val="004262AA"/>
    <w:rsid w:val="004262BF"/>
    <w:rsid w:val="00426346"/>
    <w:rsid w:val="004264D9"/>
    <w:rsid w:val="00426610"/>
    <w:rsid w:val="00426932"/>
    <w:rsid w:val="00426AEC"/>
    <w:rsid w:val="00426B57"/>
    <w:rsid w:val="00426CB3"/>
    <w:rsid w:val="00426E35"/>
    <w:rsid w:val="00426E61"/>
    <w:rsid w:val="00426FA9"/>
    <w:rsid w:val="00427053"/>
    <w:rsid w:val="00427146"/>
    <w:rsid w:val="0042717F"/>
    <w:rsid w:val="004271E6"/>
    <w:rsid w:val="00427470"/>
    <w:rsid w:val="00427B49"/>
    <w:rsid w:val="00427B78"/>
    <w:rsid w:val="00427D31"/>
    <w:rsid w:val="00427E52"/>
    <w:rsid w:val="00427F61"/>
    <w:rsid w:val="0043006E"/>
    <w:rsid w:val="00430737"/>
    <w:rsid w:val="004307FF"/>
    <w:rsid w:val="00430AB4"/>
    <w:rsid w:val="00430AE3"/>
    <w:rsid w:val="00430C90"/>
    <w:rsid w:val="00430DF8"/>
    <w:rsid w:val="00431094"/>
    <w:rsid w:val="0043114D"/>
    <w:rsid w:val="0043115A"/>
    <w:rsid w:val="004311C6"/>
    <w:rsid w:val="004311DC"/>
    <w:rsid w:val="004311F2"/>
    <w:rsid w:val="0043167D"/>
    <w:rsid w:val="0043190B"/>
    <w:rsid w:val="00431AC7"/>
    <w:rsid w:val="00431C45"/>
    <w:rsid w:val="00432148"/>
    <w:rsid w:val="004324A7"/>
    <w:rsid w:val="004324C9"/>
    <w:rsid w:val="004325EC"/>
    <w:rsid w:val="004329F4"/>
    <w:rsid w:val="00432AFA"/>
    <w:rsid w:val="00432DF6"/>
    <w:rsid w:val="004331CE"/>
    <w:rsid w:val="0043388C"/>
    <w:rsid w:val="00433CE4"/>
    <w:rsid w:val="00433D0F"/>
    <w:rsid w:val="00433E1B"/>
    <w:rsid w:val="00433E50"/>
    <w:rsid w:val="00434083"/>
    <w:rsid w:val="00434129"/>
    <w:rsid w:val="004342C7"/>
    <w:rsid w:val="004343A0"/>
    <w:rsid w:val="00434D97"/>
    <w:rsid w:val="00434DEC"/>
    <w:rsid w:val="00434FDE"/>
    <w:rsid w:val="004350D0"/>
    <w:rsid w:val="0043549B"/>
    <w:rsid w:val="004354DD"/>
    <w:rsid w:val="00435503"/>
    <w:rsid w:val="00435883"/>
    <w:rsid w:val="004359A3"/>
    <w:rsid w:val="00435A85"/>
    <w:rsid w:val="00435CE6"/>
    <w:rsid w:val="00435DEC"/>
    <w:rsid w:val="004364F5"/>
    <w:rsid w:val="00436557"/>
    <w:rsid w:val="004367DA"/>
    <w:rsid w:val="0043691C"/>
    <w:rsid w:val="00436926"/>
    <w:rsid w:val="00436A62"/>
    <w:rsid w:val="00436DD2"/>
    <w:rsid w:val="00436ED8"/>
    <w:rsid w:val="00436FBF"/>
    <w:rsid w:val="00437342"/>
    <w:rsid w:val="00437436"/>
    <w:rsid w:val="004374C0"/>
    <w:rsid w:val="00437552"/>
    <w:rsid w:val="004376BE"/>
    <w:rsid w:val="00437A94"/>
    <w:rsid w:val="00437CE5"/>
    <w:rsid w:val="00437F5B"/>
    <w:rsid w:val="0044027C"/>
    <w:rsid w:val="00440305"/>
    <w:rsid w:val="00440336"/>
    <w:rsid w:val="004403EE"/>
    <w:rsid w:val="00440452"/>
    <w:rsid w:val="0044081D"/>
    <w:rsid w:val="00440B42"/>
    <w:rsid w:val="00440B97"/>
    <w:rsid w:val="00440D61"/>
    <w:rsid w:val="00440E8D"/>
    <w:rsid w:val="00440FBD"/>
    <w:rsid w:val="00441035"/>
    <w:rsid w:val="0044116C"/>
    <w:rsid w:val="00441516"/>
    <w:rsid w:val="00441699"/>
    <w:rsid w:val="00441816"/>
    <w:rsid w:val="004419F3"/>
    <w:rsid w:val="00441B03"/>
    <w:rsid w:val="00441B17"/>
    <w:rsid w:val="00441D56"/>
    <w:rsid w:val="00441E41"/>
    <w:rsid w:val="00441E9F"/>
    <w:rsid w:val="00441ED5"/>
    <w:rsid w:val="0044207C"/>
    <w:rsid w:val="004420B8"/>
    <w:rsid w:val="00442106"/>
    <w:rsid w:val="004422DC"/>
    <w:rsid w:val="0044236E"/>
    <w:rsid w:val="004423AF"/>
    <w:rsid w:val="004426DA"/>
    <w:rsid w:val="0044280B"/>
    <w:rsid w:val="00442C79"/>
    <w:rsid w:val="00442D46"/>
    <w:rsid w:val="004432C7"/>
    <w:rsid w:val="0044333B"/>
    <w:rsid w:val="00443606"/>
    <w:rsid w:val="00443624"/>
    <w:rsid w:val="00443C47"/>
    <w:rsid w:val="00443D46"/>
    <w:rsid w:val="00443F06"/>
    <w:rsid w:val="00444048"/>
    <w:rsid w:val="00444269"/>
    <w:rsid w:val="004444F3"/>
    <w:rsid w:val="004445BB"/>
    <w:rsid w:val="00444831"/>
    <w:rsid w:val="00444B18"/>
    <w:rsid w:val="00444B92"/>
    <w:rsid w:val="004451EE"/>
    <w:rsid w:val="00445406"/>
    <w:rsid w:val="00445814"/>
    <w:rsid w:val="004459CA"/>
    <w:rsid w:val="00445BF8"/>
    <w:rsid w:val="00445BFF"/>
    <w:rsid w:val="00445D99"/>
    <w:rsid w:val="00446031"/>
    <w:rsid w:val="00446112"/>
    <w:rsid w:val="0044617E"/>
    <w:rsid w:val="004461E9"/>
    <w:rsid w:val="0044631F"/>
    <w:rsid w:val="004463D9"/>
    <w:rsid w:val="004463DF"/>
    <w:rsid w:val="004465ED"/>
    <w:rsid w:val="004466C7"/>
    <w:rsid w:val="004466F1"/>
    <w:rsid w:val="00446872"/>
    <w:rsid w:val="00446884"/>
    <w:rsid w:val="00446D7A"/>
    <w:rsid w:val="00446D93"/>
    <w:rsid w:val="0044711E"/>
    <w:rsid w:val="00447292"/>
    <w:rsid w:val="004477AC"/>
    <w:rsid w:val="00447849"/>
    <w:rsid w:val="00447947"/>
    <w:rsid w:val="004479BB"/>
    <w:rsid w:val="00447B32"/>
    <w:rsid w:val="00447B8F"/>
    <w:rsid w:val="00447BC2"/>
    <w:rsid w:val="00447D05"/>
    <w:rsid w:val="00447D8F"/>
    <w:rsid w:val="00447DE0"/>
    <w:rsid w:val="00450059"/>
    <w:rsid w:val="004502AC"/>
    <w:rsid w:val="004502FA"/>
    <w:rsid w:val="0045035A"/>
    <w:rsid w:val="0045049B"/>
    <w:rsid w:val="004504E5"/>
    <w:rsid w:val="00450D74"/>
    <w:rsid w:val="00451450"/>
    <w:rsid w:val="00451532"/>
    <w:rsid w:val="00451A76"/>
    <w:rsid w:val="00451C0E"/>
    <w:rsid w:val="00451CBB"/>
    <w:rsid w:val="00451E4F"/>
    <w:rsid w:val="00452255"/>
    <w:rsid w:val="004522F2"/>
    <w:rsid w:val="0045234A"/>
    <w:rsid w:val="0045238C"/>
    <w:rsid w:val="0045268A"/>
    <w:rsid w:val="004527C2"/>
    <w:rsid w:val="004528F9"/>
    <w:rsid w:val="00452903"/>
    <w:rsid w:val="004529DF"/>
    <w:rsid w:val="00452F9B"/>
    <w:rsid w:val="00452FD7"/>
    <w:rsid w:val="004530B4"/>
    <w:rsid w:val="00453146"/>
    <w:rsid w:val="004534CF"/>
    <w:rsid w:val="0045362B"/>
    <w:rsid w:val="00453959"/>
    <w:rsid w:val="00453A43"/>
    <w:rsid w:val="00453B5A"/>
    <w:rsid w:val="00453C4B"/>
    <w:rsid w:val="00453CC0"/>
    <w:rsid w:val="00453DB3"/>
    <w:rsid w:val="0045420B"/>
    <w:rsid w:val="00454464"/>
    <w:rsid w:val="0045472D"/>
    <w:rsid w:val="004548B2"/>
    <w:rsid w:val="0045493F"/>
    <w:rsid w:val="004549BA"/>
    <w:rsid w:val="00454C61"/>
    <w:rsid w:val="00454E90"/>
    <w:rsid w:val="00455260"/>
    <w:rsid w:val="004553C7"/>
    <w:rsid w:val="004553E1"/>
    <w:rsid w:val="0045543D"/>
    <w:rsid w:val="004554B1"/>
    <w:rsid w:val="00455578"/>
    <w:rsid w:val="0045576B"/>
    <w:rsid w:val="00455779"/>
    <w:rsid w:val="00455917"/>
    <w:rsid w:val="00455932"/>
    <w:rsid w:val="00455A84"/>
    <w:rsid w:val="00455B09"/>
    <w:rsid w:val="00455C15"/>
    <w:rsid w:val="00455C59"/>
    <w:rsid w:val="00455C63"/>
    <w:rsid w:val="00455DCD"/>
    <w:rsid w:val="00455DD8"/>
    <w:rsid w:val="00455E1C"/>
    <w:rsid w:val="00455E48"/>
    <w:rsid w:val="00455F69"/>
    <w:rsid w:val="004560A4"/>
    <w:rsid w:val="004567AA"/>
    <w:rsid w:val="004567CC"/>
    <w:rsid w:val="00456C79"/>
    <w:rsid w:val="00457138"/>
    <w:rsid w:val="00457175"/>
    <w:rsid w:val="00457183"/>
    <w:rsid w:val="004572F6"/>
    <w:rsid w:val="0045730C"/>
    <w:rsid w:val="0045734B"/>
    <w:rsid w:val="00457494"/>
    <w:rsid w:val="004579FA"/>
    <w:rsid w:val="00457A4A"/>
    <w:rsid w:val="00457C5E"/>
    <w:rsid w:val="00457D19"/>
    <w:rsid w:val="00457D66"/>
    <w:rsid w:val="00460672"/>
    <w:rsid w:val="0046067F"/>
    <w:rsid w:val="0046078B"/>
    <w:rsid w:val="00460791"/>
    <w:rsid w:val="00460B7D"/>
    <w:rsid w:val="00460C20"/>
    <w:rsid w:val="00460C28"/>
    <w:rsid w:val="00460C49"/>
    <w:rsid w:val="00460F46"/>
    <w:rsid w:val="004614B5"/>
    <w:rsid w:val="00461649"/>
    <w:rsid w:val="00461BEB"/>
    <w:rsid w:val="00461C50"/>
    <w:rsid w:val="00461CC6"/>
    <w:rsid w:val="00461FC7"/>
    <w:rsid w:val="00462084"/>
    <w:rsid w:val="004620D3"/>
    <w:rsid w:val="00462114"/>
    <w:rsid w:val="0046214C"/>
    <w:rsid w:val="00462292"/>
    <w:rsid w:val="00462506"/>
    <w:rsid w:val="004626BF"/>
    <w:rsid w:val="00462954"/>
    <w:rsid w:val="00462A78"/>
    <w:rsid w:val="00462BEA"/>
    <w:rsid w:val="00462E62"/>
    <w:rsid w:val="0046303C"/>
    <w:rsid w:val="00463316"/>
    <w:rsid w:val="00463399"/>
    <w:rsid w:val="004635E9"/>
    <w:rsid w:val="00463764"/>
    <w:rsid w:val="00463CDF"/>
    <w:rsid w:val="00464104"/>
    <w:rsid w:val="00464336"/>
    <w:rsid w:val="004643BC"/>
    <w:rsid w:val="00464420"/>
    <w:rsid w:val="00464452"/>
    <w:rsid w:val="00464656"/>
    <w:rsid w:val="004647A5"/>
    <w:rsid w:val="004647AD"/>
    <w:rsid w:val="004648EC"/>
    <w:rsid w:val="004649F4"/>
    <w:rsid w:val="00464A4B"/>
    <w:rsid w:val="00464B16"/>
    <w:rsid w:val="00464F1D"/>
    <w:rsid w:val="00465076"/>
    <w:rsid w:val="004650BF"/>
    <w:rsid w:val="004655D6"/>
    <w:rsid w:val="00465660"/>
    <w:rsid w:val="00465E0D"/>
    <w:rsid w:val="004663DB"/>
    <w:rsid w:val="004664B5"/>
    <w:rsid w:val="004664E4"/>
    <w:rsid w:val="0046654E"/>
    <w:rsid w:val="004665BA"/>
    <w:rsid w:val="00466684"/>
    <w:rsid w:val="00466824"/>
    <w:rsid w:val="00466A57"/>
    <w:rsid w:val="00466A83"/>
    <w:rsid w:val="00466DD3"/>
    <w:rsid w:val="00466E1B"/>
    <w:rsid w:val="0046736E"/>
    <w:rsid w:val="004673D1"/>
    <w:rsid w:val="004677B7"/>
    <w:rsid w:val="00467A34"/>
    <w:rsid w:val="00467B7F"/>
    <w:rsid w:val="00467D09"/>
    <w:rsid w:val="00467EDA"/>
    <w:rsid w:val="00467FB4"/>
    <w:rsid w:val="00470083"/>
    <w:rsid w:val="004701D6"/>
    <w:rsid w:val="00470414"/>
    <w:rsid w:val="00470507"/>
    <w:rsid w:val="00470855"/>
    <w:rsid w:val="004708E7"/>
    <w:rsid w:val="00470907"/>
    <w:rsid w:val="00470A58"/>
    <w:rsid w:val="00470B72"/>
    <w:rsid w:val="00470EB8"/>
    <w:rsid w:val="004710F3"/>
    <w:rsid w:val="004711C1"/>
    <w:rsid w:val="004712BD"/>
    <w:rsid w:val="004712CB"/>
    <w:rsid w:val="004713B8"/>
    <w:rsid w:val="00471463"/>
    <w:rsid w:val="00471519"/>
    <w:rsid w:val="0047163E"/>
    <w:rsid w:val="0047166C"/>
    <w:rsid w:val="004716B1"/>
    <w:rsid w:val="004717AE"/>
    <w:rsid w:val="00471958"/>
    <w:rsid w:val="00471E6A"/>
    <w:rsid w:val="004720BF"/>
    <w:rsid w:val="004722C5"/>
    <w:rsid w:val="0047233C"/>
    <w:rsid w:val="00472AA1"/>
    <w:rsid w:val="00472B7D"/>
    <w:rsid w:val="00472EE6"/>
    <w:rsid w:val="004730D2"/>
    <w:rsid w:val="004737AD"/>
    <w:rsid w:val="00473810"/>
    <w:rsid w:val="004739BB"/>
    <w:rsid w:val="00473B40"/>
    <w:rsid w:val="00473C95"/>
    <w:rsid w:val="00473ED8"/>
    <w:rsid w:val="004740D0"/>
    <w:rsid w:val="004742DD"/>
    <w:rsid w:val="00474394"/>
    <w:rsid w:val="0047439D"/>
    <w:rsid w:val="004744D9"/>
    <w:rsid w:val="0047456A"/>
    <w:rsid w:val="0047465A"/>
    <w:rsid w:val="004746BD"/>
    <w:rsid w:val="0047486A"/>
    <w:rsid w:val="004748C8"/>
    <w:rsid w:val="00474B2C"/>
    <w:rsid w:val="00474C1B"/>
    <w:rsid w:val="00474D6F"/>
    <w:rsid w:val="00474EC8"/>
    <w:rsid w:val="00475396"/>
    <w:rsid w:val="004755F4"/>
    <w:rsid w:val="00475698"/>
    <w:rsid w:val="004757F5"/>
    <w:rsid w:val="00475ABB"/>
    <w:rsid w:val="00475B59"/>
    <w:rsid w:val="00475DEC"/>
    <w:rsid w:val="00475FC0"/>
    <w:rsid w:val="00476340"/>
    <w:rsid w:val="004763F8"/>
    <w:rsid w:val="004765F5"/>
    <w:rsid w:val="004768CA"/>
    <w:rsid w:val="004768D7"/>
    <w:rsid w:val="00476A30"/>
    <w:rsid w:val="00476B57"/>
    <w:rsid w:val="00476F0A"/>
    <w:rsid w:val="00476F44"/>
    <w:rsid w:val="0047702D"/>
    <w:rsid w:val="0047737F"/>
    <w:rsid w:val="004773BD"/>
    <w:rsid w:val="004774A4"/>
    <w:rsid w:val="0047775B"/>
    <w:rsid w:val="0047776C"/>
    <w:rsid w:val="004779EF"/>
    <w:rsid w:val="00477AA2"/>
    <w:rsid w:val="00477AB4"/>
    <w:rsid w:val="00477B8A"/>
    <w:rsid w:val="00477C24"/>
    <w:rsid w:val="004800B1"/>
    <w:rsid w:val="00480247"/>
    <w:rsid w:val="00480300"/>
    <w:rsid w:val="00480395"/>
    <w:rsid w:val="004804B2"/>
    <w:rsid w:val="00480643"/>
    <w:rsid w:val="004808FA"/>
    <w:rsid w:val="00480CB0"/>
    <w:rsid w:val="004810E8"/>
    <w:rsid w:val="0048127D"/>
    <w:rsid w:val="004813D8"/>
    <w:rsid w:val="004815C7"/>
    <w:rsid w:val="00481851"/>
    <w:rsid w:val="004819FE"/>
    <w:rsid w:val="00481B03"/>
    <w:rsid w:val="00481C1E"/>
    <w:rsid w:val="00481CBB"/>
    <w:rsid w:val="00481ED7"/>
    <w:rsid w:val="00481F01"/>
    <w:rsid w:val="004820A1"/>
    <w:rsid w:val="0048215A"/>
    <w:rsid w:val="004824AF"/>
    <w:rsid w:val="00482711"/>
    <w:rsid w:val="00482800"/>
    <w:rsid w:val="00482955"/>
    <w:rsid w:val="00482B47"/>
    <w:rsid w:val="00482BB5"/>
    <w:rsid w:val="00482CF4"/>
    <w:rsid w:val="00482F55"/>
    <w:rsid w:val="0048304A"/>
    <w:rsid w:val="00483353"/>
    <w:rsid w:val="0048339C"/>
    <w:rsid w:val="004835CF"/>
    <w:rsid w:val="00483603"/>
    <w:rsid w:val="0048364D"/>
    <w:rsid w:val="00483738"/>
    <w:rsid w:val="004839F8"/>
    <w:rsid w:val="00483A7E"/>
    <w:rsid w:val="00483C78"/>
    <w:rsid w:val="00483CCF"/>
    <w:rsid w:val="00483F75"/>
    <w:rsid w:val="00483FE9"/>
    <w:rsid w:val="004840AE"/>
    <w:rsid w:val="00484113"/>
    <w:rsid w:val="00484157"/>
    <w:rsid w:val="004842C4"/>
    <w:rsid w:val="004842CD"/>
    <w:rsid w:val="00484691"/>
    <w:rsid w:val="004846AE"/>
    <w:rsid w:val="00484FB7"/>
    <w:rsid w:val="00484FEA"/>
    <w:rsid w:val="00485288"/>
    <w:rsid w:val="00485806"/>
    <w:rsid w:val="00485843"/>
    <w:rsid w:val="00485B08"/>
    <w:rsid w:val="00485B0C"/>
    <w:rsid w:val="00485B91"/>
    <w:rsid w:val="00485E21"/>
    <w:rsid w:val="004863DD"/>
    <w:rsid w:val="004869E4"/>
    <w:rsid w:val="00486BB8"/>
    <w:rsid w:val="00486CB5"/>
    <w:rsid w:val="00486EFA"/>
    <w:rsid w:val="00486F4F"/>
    <w:rsid w:val="004870F9"/>
    <w:rsid w:val="004874D1"/>
    <w:rsid w:val="00487563"/>
    <w:rsid w:val="00487736"/>
    <w:rsid w:val="0048793F"/>
    <w:rsid w:val="004879DA"/>
    <w:rsid w:val="004879DF"/>
    <w:rsid w:val="00487A57"/>
    <w:rsid w:val="00487AEB"/>
    <w:rsid w:val="00487D08"/>
    <w:rsid w:val="00487DB9"/>
    <w:rsid w:val="004902CF"/>
    <w:rsid w:val="004903DB"/>
    <w:rsid w:val="0049045A"/>
    <w:rsid w:val="00490542"/>
    <w:rsid w:val="004905A5"/>
    <w:rsid w:val="0049065F"/>
    <w:rsid w:val="004906EF"/>
    <w:rsid w:val="00490827"/>
    <w:rsid w:val="00491128"/>
    <w:rsid w:val="0049127B"/>
    <w:rsid w:val="00491327"/>
    <w:rsid w:val="00491718"/>
    <w:rsid w:val="00491750"/>
    <w:rsid w:val="00491C14"/>
    <w:rsid w:val="00491D2C"/>
    <w:rsid w:val="00491E72"/>
    <w:rsid w:val="0049200D"/>
    <w:rsid w:val="00492621"/>
    <w:rsid w:val="00492B04"/>
    <w:rsid w:val="00492C8C"/>
    <w:rsid w:val="00492E6E"/>
    <w:rsid w:val="00492E7B"/>
    <w:rsid w:val="00492F5C"/>
    <w:rsid w:val="00492F9A"/>
    <w:rsid w:val="00493198"/>
    <w:rsid w:val="004931A9"/>
    <w:rsid w:val="004931E5"/>
    <w:rsid w:val="004932A3"/>
    <w:rsid w:val="004935B7"/>
    <w:rsid w:val="0049374F"/>
    <w:rsid w:val="0049384B"/>
    <w:rsid w:val="00493929"/>
    <w:rsid w:val="00493B0E"/>
    <w:rsid w:val="00493B58"/>
    <w:rsid w:val="00493BE2"/>
    <w:rsid w:val="00493FD2"/>
    <w:rsid w:val="00494091"/>
    <w:rsid w:val="004941DA"/>
    <w:rsid w:val="004942D3"/>
    <w:rsid w:val="0049432E"/>
    <w:rsid w:val="004946BA"/>
    <w:rsid w:val="00494839"/>
    <w:rsid w:val="0049484A"/>
    <w:rsid w:val="004949E4"/>
    <w:rsid w:val="00494A26"/>
    <w:rsid w:val="00494B2C"/>
    <w:rsid w:val="00494B63"/>
    <w:rsid w:val="00494BE1"/>
    <w:rsid w:val="00494C09"/>
    <w:rsid w:val="00494E15"/>
    <w:rsid w:val="00494EEE"/>
    <w:rsid w:val="00494F8F"/>
    <w:rsid w:val="00495773"/>
    <w:rsid w:val="00495C8B"/>
    <w:rsid w:val="00495D38"/>
    <w:rsid w:val="00495EEF"/>
    <w:rsid w:val="00495FB4"/>
    <w:rsid w:val="00495FDF"/>
    <w:rsid w:val="004962BE"/>
    <w:rsid w:val="0049632B"/>
    <w:rsid w:val="0049633B"/>
    <w:rsid w:val="00496340"/>
    <w:rsid w:val="00496759"/>
    <w:rsid w:val="00496815"/>
    <w:rsid w:val="00496833"/>
    <w:rsid w:val="0049687A"/>
    <w:rsid w:val="00496C9A"/>
    <w:rsid w:val="00496F50"/>
    <w:rsid w:val="00497030"/>
    <w:rsid w:val="0049721A"/>
    <w:rsid w:val="004972D1"/>
    <w:rsid w:val="004975A7"/>
    <w:rsid w:val="0049775D"/>
    <w:rsid w:val="00497B04"/>
    <w:rsid w:val="00497BA2"/>
    <w:rsid w:val="00497D9F"/>
    <w:rsid w:val="00497DC8"/>
    <w:rsid w:val="00497ECD"/>
    <w:rsid w:val="00497EF8"/>
    <w:rsid w:val="00497FC8"/>
    <w:rsid w:val="004A00B9"/>
    <w:rsid w:val="004A05B4"/>
    <w:rsid w:val="004A0685"/>
    <w:rsid w:val="004A0697"/>
    <w:rsid w:val="004A0DDF"/>
    <w:rsid w:val="004A0E28"/>
    <w:rsid w:val="004A0FD4"/>
    <w:rsid w:val="004A1593"/>
    <w:rsid w:val="004A15AC"/>
    <w:rsid w:val="004A167C"/>
    <w:rsid w:val="004A1728"/>
    <w:rsid w:val="004A17B8"/>
    <w:rsid w:val="004A1A88"/>
    <w:rsid w:val="004A1AA8"/>
    <w:rsid w:val="004A1D9D"/>
    <w:rsid w:val="004A1EAD"/>
    <w:rsid w:val="004A2090"/>
    <w:rsid w:val="004A2196"/>
    <w:rsid w:val="004A24AC"/>
    <w:rsid w:val="004A25CB"/>
    <w:rsid w:val="004A2B8A"/>
    <w:rsid w:val="004A2D31"/>
    <w:rsid w:val="004A2DCF"/>
    <w:rsid w:val="004A2F22"/>
    <w:rsid w:val="004A31BA"/>
    <w:rsid w:val="004A372B"/>
    <w:rsid w:val="004A37A5"/>
    <w:rsid w:val="004A37B6"/>
    <w:rsid w:val="004A3DB4"/>
    <w:rsid w:val="004A3F00"/>
    <w:rsid w:val="004A40FA"/>
    <w:rsid w:val="004A4177"/>
    <w:rsid w:val="004A42CB"/>
    <w:rsid w:val="004A4465"/>
    <w:rsid w:val="004A456A"/>
    <w:rsid w:val="004A4744"/>
    <w:rsid w:val="004A47BE"/>
    <w:rsid w:val="004A4B15"/>
    <w:rsid w:val="004A4B7E"/>
    <w:rsid w:val="004A4B89"/>
    <w:rsid w:val="004A4E69"/>
    <w:rsid w:val="004A4EAD"/>
    <w:rsid w:val="004A4F7A"/>
    <w:rsid w:val="004A5230"/>
    <w:rsid w:val="004A5236"/>
    <w:rsid w:val="004A5283"/>
    <w:rsid w:val="004A538F"/>
    <w:rsid w:val="004A53B6"/>
    <w:rsid w:val="004A56D6"/>
    <w:rsid w:val="004A5DFC"/>
    <w:rsid w:val="004A628F"/>
    <w:rsid w:val="004A6391"/>
    <w:rsid w:val="004A648D"/>
    <w:rsid w:val="004A64A6"/>
    <w:rsid w:val="004A65A4"/>
    <w:rsid w:val="004A68E7"/>
    <w:rsid w:val="004A69C0"/>
    <w:rsid w:val="004A6D44"/>
    <w:rsid w:val="004A7309"/>
    <w:rsid w:val="004A731F"/>
    <w:rsid w:val="004A752C"/>
    <w:rsid w:val="004A785B"/>
    <w:rsid w:val="004A7B7E"/>
    <w:rsid w:val="004A7C16"/>
    <w:rsid w:val="004A7E45"/>
    <w:rsid w:val="004A7FDA"/>
    <w:rsid w:val="004A7FF1"/>
    <w:rsid w:val="004B000C"/>
    <w:rsid w:val="004B0258"/>
    <w:rsid w:val="004B0922"/>
    <w:rsid w:val="004B0C71"/>
    <w:rsid w:val="004B0C94"/>
    <w:rsid w:val="004B0CBD"/>
    <w:rsid w:val="004B0D70"/>
    <w:rsid w:val="004B141C"/>
    <w:rsid w:val="004B14FC"/>
    <w:rsid w:val="004B1522"/>
    <w:rsid w:val="004B1539"/>
    <w:rsid w:val="004B1696"/>
    <w:rsid w:val="004B1977"/>
    <w:rsid w:val="004B19F9"/>
    <w:rsid w:val="004B1A8B"/>
    <w:rsid w:val="004B1A8F"/>
    <w:rsid w:val="004B1CEC"/>
    <w:rsid w:val="004B1E6B"/>
    <w:rsid w:val="004B218E"/>
    <w:rsid w:val="004B21FC"/>
    <w:rsid w:val="004B2B2A"/>
    <w:rsid w:val="004B2CD3"/>
    <w:rsid w:val="004B2DA1"/>
    <w:rsid w:val="004B2E2F"/>
    <w:rsid w:val="004B2EED"/>
    <w:rsid w:val="004B2F38"/>
    <w:rsid w:val="004B2FB4"/>
    <w:rsid w:val="004B2FE7"/>
    <w:rsid w:val="004B312A"/>
    <w:rsid w:val="004B315C"/>
    <w:rsid w:val="004B33FC"/>
    <w:rsid w:val="004B34EA"/>
    <w:rsid w:val="004B3548"/>
    <w:rsid w:val="004B360E"/>
    <w:rsid w:val="004B37FD"/>
    <w:rsid w:val="004B38E9"/>
    <w:rsid w:val="004B38FC"/>
    <w:rsid w:val="004B396F"/>
    <w:rsid w:val="004B3DEA"/>
    <w:rsid w:val="004B3E1D"/>
    <w:rsid w:val="004B3FAB"/>
    <w:rsid w:val="004B4060"/>
    <w:rsid w:val="004B40B2"/>
    <w:rsid w:val="004B4862"/>
    <w:rsid w:val="004B48A7"/>
    <w:rsid w:val="004B4942"/>
    <w:rsid w:val="004B49E3"/>
    <w:rsid w:val="004B4B22"/>
    <w:rsid w:val="004B4B45"/>
    <w:rsid w:val="004B4B98"/>
    <w:rsid w:val="004B4DF4"/>
    <w:rsid w:val="004B4F8B"/>
    <w:rsid w:val="004B4FA2"/>
    <w:rsid w:val="004B52D4"/>
    <w:rsid w:val="004B53CE"/>
    <w:rsid w:val="004B5423"/>
    <w:rsid w:val="004B5494"/>
    <w:rsid w:val="004B5659"/>
    <w:rsid w:val="004B5C63"/>
    <w:rsid w:val="004B5C67"/>
    <w:rsid w:val="004B5D51"/>
    <w:rsid w:val="004B5DC6"/>
    <w:rsid w:val="004B6021"/>
    <w:rsid w:val="004B62BA"/>
    <w:rsid w:val="004B62BB"/>
    <w:rsid w:val="004B64C2"/>
    <w:rsid w:val="004B6539"/>
    <w:rsid w:val="004B669C"/>
    <w:rsid w:val="004B66A8"/>
    <w:rsid w:val="004B68A3"/>
    <w:rsid w:val="004B6A92"/>
    <w:rsid w:val="004B6D7E"/>
    <w:rsid w:val="004B6F04"/>
    <w:rsid w:val="004B6FC3"/>
    <w:rsid w:val="004B7238"/>
    <w:rsid w:val="004B7415"/>
    <w:rsid w:val="004B766D"/>
    <w:rsid w:val="004B773C"/>
    <w:rsid w:val="004B77B9"/>
    <w:rsid w:val="004B7A16"/>
    <w:rsid w:val="004B7DC3"/>
    <w:rsid w:val="004B7DFB"/>
    <w:rsid w:val="004B7E7D"/>
    <w:rsid w:val="004B7EB2"/>
    <w:rsid w:val="004C00B6"/>
    <w:rsid w:val="004C018D"/>
    <w:rsid w:val="004C0337"/>
    <w:rsid w:val="004C07E8"/>
    <w:rsid w:val="004C08D1"/>
    <w:rsid w:val="004C0987"/>
    <w:rsid w:val="004C09F8"/>
    <w:rsid w:val="004C0B11"/>
    <w:rsid w:val="004C0B58"/>
    <w:rsid w:val="004C0B91"/>
    <w:rsid w:val="004C0CC8"/>
    <w:rsid w:val="004C0E63"/>
    <w:rsid w:val="004C0EE3"/>
    <w:rsid w:val="004C10A9"/>
    <w:rsid w:val="004C1187"/>
    <w:rsid w:val="004C1469"/>
    <w:rsid w:val="004C1519"/>
    <w:rsid w:val="004C159A"/>
    <w:rsid w:val="004C15D4"/>
    <w:rsid w:val="004C16F5"/>
    <w:rsid w:val="004C1A3A"/>
    <w:rsid w:val="004C1ACF"/>
    <w:rsid w:val="004C1B14"/>
    <w:rsid w:val="004C1EC0"/>
    <w:rsid w:val="004C22AA"/>
    <w:rsid w:val="004C2376"/>
    <w:rsid w:val="004C23D5"/>
    <w:rsid w:val="004C23FE"/>
    <w:rsid w:val="004C241F"/>
    <w:rsid w:val="004C2A03"/>
    <w:rsid w:val="004C2B4F"/>
    <w:rsid w:val="004C2B73"/>
    <w:rsid w:val="004C2B7B"/>
    <w:rsid w:val="004C2CEC"/>
    <w:rsid w:val="004C309A"/>
    <w:rsid w:val="004C326F"/>
    <w:rsid w:val="004C3291"/>
    <w:rsid w:val="004C3310"/>
    <w:rsid w:val="004C34D8"/>
    <w:rsid w:val="004C36F4"/>
    <w:rsid w:val="004C36FA"/>
    <w:rsid w:val="004C3794"/>
    <w:rsid w:val="004C398F"/>
    <w:rsid w:val="004C39AB"/>
    <w:rsid w:val="004C39C5"/>
    <w:rsid w:val="004C3C48"/>
    <w:rsid w:val="004C3E39"/>
    <w:rsid w:val="004C3E6D"/>
    <w:rsid w:val="004C40F5"/>
    <w:rsid w:val="004C44A6"/>
    <w:rsid w:val="004C467A"/>
    <w:rsid w:val="004C4764"/>
    <w:rsid w:val="004C48EA"/>
    <w:rsid w:val="004C495A"/>
    <w:rsid w:val="004C4C5C"/>
    <w:rsid w:val="004C4C95"/>
    <w:rsid w:val="004C4FA0"/>
    <w:rsid w:val="004C529A"/>
    <w:rsid w:val="004C5352"/>
    <w:rsid w:val="004C56AD"/>
    <w:rsid w:val="004C5755"/>
    <w:rsid w:val="004C57DE"/>
    <w:rsid w:val="004C5A03"/>
    <w:rsid w:val="004C5AF0"/>
    <w:rsid w:val="004C5D1E"/>
    <w:rsid w:val="004C5EF4"/>
    <w:rsid w:val="004C5F00"/>
    <w:rsid w:val="004C613A"/>
    <w:rsid w:val="004C69F6"/>
    <w:rsid w:val="004C6C34"/>
    <w:rsid w:val="004C6D88"/>
    <w:rsid w:val="004C71BC"/>
    <w:rsid w:val="004C7997"/>
    <w:rsid w:val="004C79C5"/>
    <w:rsid w:val="004C7A2B"/>
    <w:rsid w:val="004C7A2F"/>
    <w:rsid w:val="004C7A6A"/>
    <w:rsid w:val="004C7D3A"/>
    <w:rsid w:val="004D05FA"/>
    <w:rsid w:val="004D0658"/>
    <w:rsid w:val="004D07B4"/>
    <w:rsid w:val="004D0841"/>
    <w:rsid w:val="004D09E4"/>
    <w:rsid w:val="004D110E"/>
    <w:rsid w:val="004D1239"/>
    <w:rsid w:val="004D13B2"/>
    <w:rsid w:val="004D176F"/>
    <w:rsid w:val="004D1776"/>
    <w:rsid w:val="004D17B3"/>
    <w:rsid w:val="004D182C"/>
    <w:rsid w:val="004D1A08"/>
    <w:rsid w:val="004D1DCE"/>
    <w:rsid w:val="004D1E7F"/>
    <w:rsid w:val="004D1FA2"/>
    <w:rsid w:val="004D241E"/>
    <w:rsid w:val="004D27AB"/>
    <w:rsid w:val="004D2BF6"/>
    <w:rsid w:val="004D2D5C"/>
    <w:rsid w:val="004D2EDE"/>
    <w:rsid w:val="004D2EE6"/>
    <w:rsid w:val="004D3174"/>
    <w:rsid w:val="004D33A0"/>
    <w:rsid w:val="004D3539"/>
    <w:rsid w:val="004D35DF"/>
    <w:rsid w:val="004D3B6F"/>
    <w:rsid w:val="004D3C5A"/>
    <w:rsid w:val="004D409F"/>
    <w:rsid w:val="004D43FD"/>
    <w:rsid w:val="004D4406"/>
    <w:rsid w:val="004D4489"/>
    <w:rsid w:val="004D4582"/>
    <w:rsid w:val="004D458E"/>
    <w:rsid w:val="004D4780"/>
    <w:rsid w:val="004D486A"/>
    <w:rsid w:val="004D4A55"/>
    <w:rsid w:val="004D4A58"/>
    <w:rsid w:val="004D4AED"/>
    <w:rsid w:val="004D4D3C"/>
    <w:rsid w:val="004D4DD2"/>
    <w:rsid w:val="004D4E2C"/>
    <w:rsid w:val="004D4F68"/>
    <w:rsid w:val="004D4F8D"/>
    <w:rsid w:val="004D53C0"/>
    <w:rsid w:val="004D53E5"/>
    <w:rsid w:val="004D5421"/>
    <w:rsid w:val="004D54EB"/>
    <w:rsid w:val="004D55A5"/>
    <w:rsid w:val="004D5674"/>
    <w:rsid w:val="004D573C"/>
    <w:rsid w:val="004D57BD"/>
    <w:rsid w:val="004D59E5"/>
    <w:rsid w:val="004D5B63"/>
    <w:rsid w:val="004D5C83"/>
    <w:rsid w:val="004D5EB6"/>
    <w:rsid w:val="004D61E6"/>
    <w:rsid w:val="004D6293"/>
    <w:rsid w:val="004D634F"/>
    <w:rsid w:val="004D66D7"/>
    <w:rsid w:val="004D6E77"/>
    <w:rsid w:val="004D6EF7"/>
    <w:rsid w:val="004D7566"/>
    <w:rsid w:val="004D7803"/>
    <w:rsid w:val="004D7870"/>
    <w:rsid w:val="004D7A78"/>
    <w:rsid w:val="004D7D81"/>
    <w:rsid w:val="004D7ED2"/>
    <w:rsid w:val="004E033D"/>
    <w:rsid w:val="004E037D"/>
    <w:rsid w:val="004E0414"/>
    <w:rsid w:val="004E0697"/>
    <w:rsid w:val="004E0865"/>
    <w:rsid w:val="004E0C8F"/>
    <w:rsid w:val="004E0F57"/>
    <w:rsid w:val="004E1050"/>
    <w:rsid w:val="004E1055"/>
    <w:rsid w:val="004E10EC"/>
    <w:rsid w:val="004E11E2"/>
    <w:rsid w:val="004E12E1"/>
    <w:rsid w:val="004E15AE"/>
    <w:rsid w:val="004E16E0"/>
    <w:rsid w:val="004E17A7"/>
    <w:rsid w:val="004E1CFE"/>
    <w:rsid w:val="004E1D96"/>
    <w:rsid w:val="004E1E44"/>
    <w:rsid w:val="004E1EC6"/>
    <w:rsid w:val="004E1EE0"/>
    <w:rsid w:val="004E1EF0"/>
    <w:rsid w:val="004E20EE"/>
    <w:rsid w:val="004E2698"/>
    <w:rsid w:val="004E30F0"/>
    <w:rsid w:val="004E327D"/>
    <w:rsid w:val="004E32A0"/>
    <w:rsid w:val="004E375E"/>
    <w:rsid w:val="004E393C"/>
    <w:rsid w:val="004E3AEC"/>
    <w:rsid w:val="004E3CB5"/>
    <w:rsid w:val="004E3D51"/>
    <w:rsid w:val="004E4231"/>
    <w:rsid w:val="004E4634"/>
    <w:rsid w:val="004E4721"/>
    <w:rsid w:val="004E4920"/>
    <w:rsid w:val="004E4978"/>
    <w:rsid w:val="004E4B27"/>
    <w:rsid w:val="004E4BDB"/>
    <w:rsid w:val="004E4DA1"/>
    <w:rsid w:val="004E504D"/>
    <w:rsid w:val="004E548F"/>
    <w:rsid w:val="004E552A"/>
    <w:rsid w:val="004E566F"/>
    <w:rsid w:val="004E5683"/>
    <w:rsid w:val="004E5B99"/>
    <w:rsid w:val="004E5CEF"/>
    <w:rsid w:val="004E5E81"/>
    <w:rsid w:val="004E6019"/>
    <w:rsid w:val="004E61AC"/>
    <w:rsid w:val="004E6316"/>
    <w:rsid w:val="004E6554"/>
    <w:rsid w:val="004E6BC1"/>
    <w:rsid w:val="004E6C9F"/>
    <w:rsid w:val="004E6D30"/>
    <w:rsid w:val="004E6E1A"/>
    <w:rsid w:val="004E6E84"/>
    <w:rsid w:val="004E6E86"/>
    <w:rsid w:val="004E737E"/>
    <w:rsid w:val="004E7404"/>
    <w:rsid w:val="004E76BD"/>
    <w:rsid w:val="004E7724"/>
    <w:rsid w:val="004E7999"/>
    <w:rsid w:val="004E7A09"/>
    <w:rsid w:val="004E7B10"/>
    <w:rsid w:val="004E7EF2"/>
    <w:rsid w:val="004E7F05"/>
    <w:rsid w:val="004E7F0C"/>
    <w:rsid w:val="004E7FC5"/>
    <w:rsid w:val="004F00E4"/>
    <w:rsid w:val="004F0209"/>
    <w:rsid w:val="004F03D2"/>
    <w:rsid w:val="004F05AC"/>
    <w:rsid w:val="004F0740"/>
    <w:rsid w:val="004F1103"/>
    <w:rsid w:val="004F114A"/>
    <w:rsid w:val="004F1191"/>
    <w:rsid w:val="004F1481"/>
    <w:rsid w:val="004F16A9"/>
    <w:rsid w:val="004F1A72"/>
    <w:rsid w:val="004F1AA6"/>
    <w:rsid w:val="004F1B42"/>
    <w:rsid w:val="004F1CE1"/>
    <w:rsid w:val="004F1EB4"/>
    <w:rsid w:val="004F2114"/>
    <w:rsid w:val="004F2222"/>
    <w:rsid w:val="004F24BD"/>
    <w:rsid w:val="004F256E"/>
    <w:rsid w:val="004F2675"/>
    <w:rsid w:val="004F26DB"/>
    <w:rsid w:val="004F26F1"/>
    <w:rsid w:val="004F285F"/>
    <w:rsid w:val="004F29C3"/>
    <w:rsid w:val="004F2D94"/>
    <w:rsid w:val="004F2EAF"/>
    <w:rsid w:val="004F319A"/>
    <w:rsid w:val="004F34E3"/>
    <w:rsid w:val="004F3A0C"/>
    <w:rsid w:val="004F3B4B"/>
    <w:rsid w:val="004F41D6"/>
    <w:rsid w:val="004F41F1"/>
    <w:rsid w:val="004F420C"/>
    <w:rsid w:val="004F444D"/>
    <w:rsid w:val="004F464E"/>
    <w:rsid w:val="004F4670"/>
    <w:rsid w:val="004F4795"/>
    <w:rsid w:val="004F48FD"/>
    <w:rsid w:val="004F4987"/>
    <w:rsid w:val="004F4BF5"/>
    <w:rsid w:val="004F4E24"/>
    <w:rsid w:val="004F4F67"/>
    <w:rsid w:val="004F5303"/>
    <w:rsid w:val="004F536B"/>
    <w:rsid w:val="004F5445"/>
    <w:rsid w:val="004F5469"/>
    <w:rsid w:val="004F59F4"/>
    <w:rsid w:val="004F5A29"/>
    <w:rsid w:val="004F5D94"/>
    <w:rsid w:val="004F6126"/>
    <w:rsid w:val="004F62A4"/>
    <w:rsid w:val="004F63A9"/>
    <w:rsid w:val="004F65E9"/>
    <w:rsid w:val="004F66E4"/>
    <w:rsid w:val="004F66FE"/>
    <w:rsid w:val="004F6836"/>
    <w:rsid w:val="004F6A63"/>
    <w:rsid w:val="004F6AB7"/>
    <w:rsid w:val="004F79A4"/>
    <w:rsid w:val="004F7BB8"/>
    <w:rsid w:val="004F7DE9"/>
    <w:rsid w:val="00500063"/>
    <w:rsid w:val="005000E1"/>
    <w:rsid w:val="005001EB"/>
    <w:rsid w:val="0050058B"/>
    <w:rsid w:val="00500715"/>
    <w:rsid w:val="005007C4"/>
    <w:rsid w:val="00500963"/>
    <w:rsid w:val="00500BED"/>
    <w:rsid w:val="00500DB9"/>
    <w:rsid w:val="00500E45"/>
    <w:rsid w:val="00500EF4"/>
    <w:rsid w:val="005011E6"/>
    <w:rsid w:val="005012A6"/>
    <w:rsid w:val="0050157D"/>
    <w:rsid w:val="005015A4"/>
    <w:rsid w:val="00501756"/>
    <w:rsid w:val="00501812"/>
    <w:rsid w:val="00501899"/>
    <w:rsid w:val="005018A1"/>
    <w:rsid w:val="005018A8"/>
    <w:rsid w:val="005018BB"/>
    <w:rsid w:val="00501A86"/>
    <w:rsid w:val="005022B6"/>
    <w:rsid w:val="00502346"/>
    <w:rsid w:val="005024B6"/>
    <w:rsid w:val="0050269F"/>
    <w:rsid w:val="00502C8C"/>
    <w:rsid w:val="00502E13"/>
    <w:rsid w:val="00502ECD"/>
    <w:rsid w:val="005033F1"/>
    <w:rsid w:val="005033F9"/>
    <w:rsid w:val="00503503"/>
    <w:rsid w:val="005036CF"/>
    <w:rsid w:val="00503752"/>
    <w:rsid w:val="00503939"/>
    <w:rsid w:val="00503A55"/>
    <w:rsid w:val="00503F09"/>
    <w:rsid w:val="00504091"/>
    <w:rsid w:val="00504541"/>
    <w:rsid w:val="00504735"/>
    <w:rsid w:val="00504CAB"/>
    <w:rsid w:val="00504D59"/>
    <w:rsid w:val="00504DAF"/>
    <w:rsid w:val="00505159"/>
    <w:rsid w:val="00505249"/>
    <w:rsid w:val="0050542D"/>
    <w:rsid w:val="00505658"/>
    <w:rsid w:val="005056AE"/>
    <w:rsid w:val="00505851"/>
    <w:rsid w:val="00505A39"/>
    <w:rsid w:val="00505EBC"/>
    <w:rsid w:val="00506125"/>
    <w:rsid w:val="0050624B"/>
    <w:rsid w:val="0050625B"/>
    <w:rsid w:val="00506284"/>
    <w:rsid w:val="005065D9"/>
    <w:rsid w:val="0050667A"/>
    <w:rsid w:val="00506824"/>
    <w:rsid w:val="005069B8"/>
    <w:rsid w:val="00506B1A"/>
    <w:rsid w:val="00506CF8"/>
    <w:rsid w:val="0050732C"/>
    <w:rsid w:val="00507683"/>
    <w:rsid w:val="00507921"/>
    <w:rsid w:val="0050798A"/>
    <w:rsid w:val="00507A5F"/>
    <w:rsid w:val="00507BA7"/>
    <w:rsid w:val="00507DAF"/>
    <w:rsid w:val="00507F59"/>
    <w:rsid w:val="0051007B"/>
    <w:rsid w:val="005100D7"/>
    <w:rsid w:val="00510403"/>
    <w:rsid w:val="005104B6"/>
    <w:rsid w:val="00510DB8"/>
    <w:rsid w:val="00510EBA"/>
    <w:rsid w:val="00510F43"/>
    <w:rsid w:val="00511248"/>
    <w:rsid w:val="0051125B"/>
    <w:rsid w:val="00511316"/>
    <w:rsid w:val="005113AA"/>
    <w:rsid w:val="00511710"/>
    <w:rsid w:val="005118B9"/>
    <w:rsid w:val="00511BAA"/>
    <w:rsid w:val="00511D71"/>
    <w:rsid w:val="00512029"/>
    <w:rsid w:val="0051229D"/>
    <w:rsid w:val="00512448"/>
    <w:rsid w:val="00512489"/>
    <w:rsid w:val="005125BD"/>
    <w:rsid w:val="005126E4"/>
    <w:rsid w:val="005129B9"/>
    <w:rsid w:val="00512AFB"/>
    <w:rsid w:val="00512C20"/>
    <w:rsid w:val="00512C21"/>
    <w:rsid w:val="00512D6A"/>
    <w:rsid w:val="00512DB7"/>
    <w:rsid w:val="00513057"/>
    <w:rsid w:val="005130A8"/>
    <w:rsid w:val="005131D2"/>
    <w:rsid w:val="005132A8"/>
    <w:rsid w:val="00513581"/>
    <w:rsid w:val="0051393B"/>
    <w:rsid w:val="005139EC"/>
    <w:rsid w:val="00513A54"/>
    <w:rsid w:val="00513D64"/>
    <w:rsid w:val="00513DC7"/>
    <w:rsid w:val="0051409A"/>
    <w:rsid w:val="00514161"/>
    <w:rsid w:val="0051419E"/>
    <w:rsid w:val="005142BF"/>
    <w:rsid w:val="00514545"/>
    <w:rsid w:val="005147D6"/>
    <w:rsid w:val="005149CE"/>
    <w:rsid w:val="00514BB6"/>
    <w:rsid w:val="00514EC3"/>
    <w:rsid w:val="005150DE"/>
    <w:rsid w:val="00515A0C"/>
    <w:rsid w:val="00515BD0"/>
    <w:rsid w:val="005161BF"/>
    <w:rsid w:val="00516689"/>
    <w:rsid w:val="0051679D"/>
    <w:rsid w:val="005169D6"/>
    <w:rsid w:val="00516D25"/>
    <w:rsid w:val="00516E0C"/>
    <w:rsid w:val="00516E67"/>
    <w:rsid w:val="00517105"/>
    <w:rsid w:val="005171C9"/>
    <w:rsid w:val="0051742A"/>
    <w:rsid w:val="0051745F"/>
    <w:rsid w:val="005174F2"/>
    <w:rsid w:val="005175A3"/>
    <w:rsid w:val="0051789D"/>
    <w:rsid w:val="00517BC7"/>
    <w:rsid w:val="00517DCF"/>
    <w:rsid w:val="00517E71"/>
    <w:rsid w:val="00517F90"/>
    <w:rsid w:val="00517F91"/>
    <w:rsid w:val="00520258"/>
    <w:rsid w:val="00520554"/>
    <w:rsid w:val="00520A55"/>
    <w:rsid w:val="00520C1F"/>
    <w:rsid w:val="00520E1F"/>
    <w:rsid w:val="00520E7F"/>
    <w:rsid w:val="00521068"/>
    <w:rsid w:val="00521126"/>
    <w:rsid w:val="00521189"/>
    <w:rsid w:val="005211D1"/>
    <w:rsid w:val="00521847"/>
    <w:rsid w:val="005218D4"/>
    <w:rsid w:val="00521934"/>
    <w:rsid w:val="00521A3F"/>
    <w:rsid w:val="00521E0E"/>
    <w:rsid w:val="00522163"/>
    <w:rsid w:val="0052285A"/>
    <w:rsid w:val="00522A1D"/>
    <w:rsid w:val="00522BC2"/>
    <w:rsid w:val="00522D9B"/>
    <w:rsid w:val="00522E41"/>
    <w:rsid w:val="00523070"/>
    <w:rsid w:val="0052316C"/>
    <w:rsid w:val="00523449"/>
    <w:rsid w:val="00523497"/>
    <w:rsid w:val="00523569"/>
    <w:rsid w:val="00523934"/>
    <w:rsid w:val="00523A87"/>
    <w:rsid w:val="00523C8A"/>
    <w:rsid w:val="00523CD3"/>
    <w:rsid w:val="00523DB0"/>
    <w:rsid w:val="005240BF"/>
    <w:rsid w:val="00524226"/>
    <w:rsid w:val="0052449B"/>
    <w:rsid w:val="005248D6"/>
    <w:rsid w:val="005249BA"/>
    <w:rsid w:val="00524EBC"/>
    <w:rsid w:val="0052529F"/>
    <w:rsid w:val="00525390"/>
    <w:rsid w:val="0052578A"/>
    <w:rsid w:val="00525883"/>
    <w:rsid w:val="00525A9B"/>
    <w:rsid w:val="00525BCC"/>
    <w:rsid w:val="00525BF8"/>
    <w:rsid w:val="00525E5F"/>
    <w:rsid w:val="00525FED"/>
    <w:rsid w:val="00526183"/>
    <w:rsid w:val="00526326"/>
    <w:rsid w:val="005263C5"/>
    <w:rsid w:val="00526793"/>
    <w:rsid w:val="0052680C"/>
    <w:rsid w:val="00526914"/>
    <w:rsid w:val="00526916"/>
    <w:rsid w:val="005269BD"/>
    <w:rsid w:val="00526C3D"/>
    <w:rsid w:val="00526EAD"/>
    <w:rsid w:val="0052729D"/>
    <w:rsid w:val="005272C8"/>
    <w:rsid w:val="00527630"/>
    <w:rsid w:val="00527959"/>
    <w:rsid w:val="00527FE9"/>
    <w:rsid w:val="00530072"/>
    <w:rsid w:val="0053020B"/>
    <w:rsid w:val="0053020C"/>
    <w:rsid w:val="005306A9"/>
    <w:rsid w:val="0053076C"/>
    <w:rsid w:val="00530778"/>
    <w:rsid w:val="0053078C"/>
    <w:rsid w:val="00530975"/>
    <w:rsid w:val="00530F64"/>
    <w:rsid w:val="00530F86"/>
    <w:rsid w:val="00530FBA"/>
    <w:rsid w:val="005314F9"/>
    <w:rsid w:val="00531578"/>
    <w:rsid w:val="00531591"/>
    <w:rsid w:val="0053172D"/>
    <w:rsid w:val="005319A9"/>
    <w:rsid w:val="0053220B"/>
    <w:rsid w:val="005324B1"/>
    <w:rsid w:val="0053266F"/>
    <w:rsid w:val="005328B6"/>
    <w:rsid w:val="00532925"/>
    <w:rsid w:val="00532BC1"/>
    <w:rsid w:val="005331AE"/>
    <w:rsid w:val="00533376"/>
    <w:rsid w:val="005334E3"/>
    <w:rsid w:val="005338AA"/>
    <w:rsid w:val="00533B53"/>
    <w:rsid w:val="00533BFA"/>
    <w:rsid w:val="00533DAD"/>
    <w:rsid w:val="00533DC2"/>
    <w:rsid w:val="00533EC6"/>
    <w:rsid w:val="005341BF"/>
    <w:rsid w:val="005343A1"/>
    <w:rsid w:val="00534459"/>
    <w:rsid w:val="005344D6"/>
    <w:rsid w:val="0053457F"/>
    <w:rsid w:val="00534873"/>
    <w:rsid w:val="0053494B"/>
    <w:rsid w:val="00534968"/>
    <w:rsid w:val="00534C5B"/>
    <w:rsid w:val="00534F4E"/>
    <w:rsid w:val="00535012"/>
    <w:rsid w:val="005350D8"/>
    <w:rsid w:val="00535169"/>
    <w:rsid w:val="00535206"/>
    <w:rsid w:val="005352CC"/>
    <w:rsid w:val="005352E2"/>
    <w:rsid w:val="005354F0"/>
    <w:rsid w:val="00535582"/>
    <w:rsid w:val="0053586C"/>
    <w:rsid w:val="00535ABE"/>
    <w:rsid w:val="00535BF2"/>
    <w:rsid w:val="00535C28"/>
    <w:rsid w:val="00535CEF"/>
    <w:rsid w:val="005364DB"/>
    <w:rsid w:val="00536BA8"/>
    <w:rsid w:val="00536BB9"/>
    <w:rsid w:val="0053721A"/>
    <w:rsid w:val="00537337"/>
    <w:rsid w:val="00537360"/>
    <w:rsid w:val="00537621"/>
    <w:rsid w:val="005377DD"/>
    <w:rsid w:val="00537967"/>
    <w:rsid w:val="00537969"/>
    <w:rsid w:val="00537C27"/>
    <w:rsid w:val="00537DEC"/>
    <w:rsid w:val="00537DF5"/>
    <w:rsid w:val="0054012F"/>
    <w:rsid w:val="00540316"/>
    <w:rsid w:val="005407B9"/>
    <w:rsid w:val="005409B3"/>
    <w:rsid w:val="00540B3A"/>
    <w:rsid w:val="00540C88"/>
    <w:rsid w:val="00540CCD"/>
    <w:rsid w:val="00540F7A"/>
    <w:rsid w:val="0054104E"/>
    <w:rsid w:val="00541203"/>
    <w:rsid w:val="00541243"/>
    <w:rsid w:val="00541F49"/>
    <w:rsid w:val="00541F5A"/>
    <w:rsid w:val="005420CE"/>
    <w:rsid w:val="00542344"/>
    <w:rsid w:val="00542516"/>
    <w:rsid w:val="00542759"/>
    <w:rsid w:val="00542764"/>
    <w:rsid w:val="00542965"/>
    <w:rsid w:val="00542969"/>
    <w:rsid w:val="005429FD"/>
    <w:rsid w:val="00542C79"/>
    <w:rsid w:val="00542E08"/>
    <w:rsid w:val="00542F5D"/>
    <w:rsid w:val="00542F83"/>
    <w:rsid w:val="00543159"/>
    <w:rsid w:val="00543173"/>
    <w:rsid w:val="0054323B"/>
    <w:rsid w:val="005433A1"/>
    <w:rsid w:val="0054354D"/>
    <w:rsid w:val="0054384C"/>
    <w:rsid w:val="0054391C"/>
    <w:rsid w:val="00543BA4"/>
    <w:rsid w:val="00543C43"/>
    <w:rsid w:val="00543D1A"/>
    <w:rsid w:val="00543D64"/>
    <w:rsid w:val="00543EFA"/>
    <w:rsid w:val="00543F2D"/>
    <w:rsid w:val="00543FB7"/>
    <w:rsid w:val="00543FFC"/>
    <w:rsid w:val="00544304"/>
    <w:rsid w:val="0054450A"/>
    <w:rsid w:val="0054457B"/>
    <w:rsid w:val="0054464B"/>
    <w:rsid w:val="0054466A"/>
    <w:rsid w:val="0054488B"/>
    <w:rsid w:val="00544C6C"/>
    <w:rsid w:val="005450B5"/>
    <w:rsid w:val="0054510D"/>
    <w:rsid w:val="0054560D"/>
    <w:rsid w:val="00545739"/>
    <w:rsid w:val="005457EE"/>
    <w:rsid w:val="00545A4B"/>
    <w:rsid w:val="00545A6C"/>
    <w:rsid w:val="00545AAA"/>
    <w:rsid w:val="00545E3A"/>
    <w:rsid w:val="00545F87"/>
    <w:rsid w:val="00546130"/>
    <w:rsid w:val="00546131"/>
    <w:rsid w:val="00546176"/>
    <w:rsid w:val="005461CB"/>
    <w:rsid w:val="005461DA"/>
    <w:rsid w:val="005468CE"/>
    <w:rsid w:val="00546B09"/>
    <w:rsid w:val="00546C6E"/>
    <w:rsid w:val="00546CAB"/>
    <w:rsid w:val="00546DDE"/>
    <w:rsid w:val="0054707C"/>
    <w:rsid w:val="00547272"/>
    <w:rsid w:val="005474A2"/>
    <w:rsid w:val="005477B8"/>
    <w:rsid w:val="005479A9"/>
    <w:rsid w:val="00547A88"/>
    <w:rsid w:val="00547B14"/>
    <w:rsid w:val="00547D6E"/>
    <w:rsid w:val="00547F08"/>
    <w:rsid w:val="00550092"/>
    <w:rsid w:val="0055044A"/>
    <w:rsid w:val="00550765"/>
    <w:rsid w:val="00550781"/>
    <w:rsid w:val="00550879"/>
    <w:rsid w:val="005509ED"/>
    <w:rsid w:val="00550C23"/>
    <w:rsid w:val="00550CA0"/>
    <w:rsid w:val="00550E7B"/>
    <w:rsid w:val="0055105A"/>
    <w:rsid w:val="005511A4"/>
    <w:rsid w:val="00551618"/>
    <w:rsid w:val="005516A4"/>
    <w:rsid w:val="00551B4A"/>
    <w:rsid w:val="00551B54"/>
    <w:rsid w:val="00551C07"/>
    <w:rsid w:val="00551C42"/>
    <w:rsid w:val="00552372"/>
    <w:rsid w:val="00552515"/>
    <w:rsid w:val="00552957"/>
    <w:rsid w:val="00552C55"/>
    <w:rsid w:val="00552CB5"/>
    <w:rsid w:val="00552CEF"/>
    <w:rsid w:val="00553197"/>
    <w:rsid w:val="005531EE"/>
    <w:rsid w:val="00553372"/>
    <w:rsid w:val="0055352A"/>
    <w:rsid w:val="0055354A"/>
    <w:rsid w:val="005536A8"/>
    <w:rsid w:val="00553929"/>
    <w:rsid w:val="00553BA6"/>
    <w:rsid w:val="00553CA5"/>
    <w:rsid w:val="00553F60"/>
    <w:rsid w:val="0055417B"/>
    <w:rsid w:val="0055428E"/>
    <w:rsid w:val="0055435E"/>
    <w:rsid w:val="0055485C"/>
    <w:rsid w:val="00554EB7"/>
    <w:rsid w:val="00555085"/>
    <w:rsid w:val="00555113"/>
    <w:rsid w:val="00555181"/>
    <w:rsid w:val="0055528B"/>
    <w:rsid w:val="00555852"/>
    <w:rsid w:val="00555E66"/>
    <w:rsid w:val="00555EC5"/>
    <w:rsid w:val="00555F0C"/>
    <w:rsid w:val="005562EC"/>
    <w:rsid w:val="00556536"/>
    <w:rsid w:val="00556825"/>
    <w:rsid w:val="00556AB8"/>
    <w:rsid w:val="00556C11"/>
    <w:rsid w:val="00556D65"/>
    <w:rsid w:val="00557589"/>
    <w:rsid w:val="00557780"/>
    <w:rsid w:val="005578AB"/>
    <w:rsid w:val="0055793A"/>
    <w:rsid w:val="00557F75"/>
    <w:rsid w:val="0056024E"/>
    <w:rsid w:val="00560420"/>
    <w:rsid w:val="005605FF"/>
    <w:rsid w:val="00560D83"/>
    <w:rsid w:val="00561008"/>
    <w:rsid w:val="0056134A"/>
    <w:rsid w:val="00561381"/>
    <w:rsid w:val="0056141B"/>
    <w:rsid w:val="00561589"/>
    <w:rsid w:val="00562058"/>
    <w:rsid w:val="005620B9"/>
    <w:rsid w:val="00562532"/>
    <w:rsid w:val="005627F1"/>
    <w:rsid w:val="00562AC8"/>
    <w:rsid w:val="00562B28"/>
    <w:rsid w:val="00562F3A"/>
    <w:rsid w:val="00562FC2"/>
    <w:rsid w:val="005636FA"/>
    <w:rsid w:val="00563831"/>
    <w:rsid w:val="005639DE"/>
    <w:rsid w:val="00563A6D"/>
    <w:rsid w:val="00563B22"/>
    <w:rsid w:val="00563C0A"/>
    <w:rsid w:val="00563E27"/>
    <w:rsid w:val="00563EAD"/>
    <w:rsid w:val="00563EFB"/>
    <w:rsid w:val="00564320"/>
    <w:rsid w:val="00564333"/>
    <w:rsid w:val="00564440"/>
    <w:rsid w:val="00564767"/>
    <w:rsid w:val="00564A4F"/>
    <w:rsid w:val="00564C4A"/>
    <w:rsid w:val="00564FFF"/>
    <w:rsid w:val="0056500E"/>
    <w:rsid w:val="00565079"/>
    <w:rsid w:val="005650C7"/>
    <w:rsid w:val="005650D7"/>
    <w:rsid w:val="005651A0"/>
    <w:rsid w:val="005657C2"/>
    <w:rsid w:val="00565C8C"/>
    <w:rsid w:val="005664C4"/>
    <w:rsid w:val="005667AE"/>
    <w:rsid w:val="00566AE1"/>
    <w:rsid w:val="00566C9E"/>
    <w:rsid w:val="00566D38"/>
    <w:rsid w:val="00566ED5"/>
    <w:rsid w:val="00566EEA"/>
    <w:rsid w:val="0056719C"/>
    <w:rsid w:val="00567408"/>
    <w:rsid w:val="0056748E"/>
    <w:rsid w:val="00567543"/>
    <w:rsid w:val="00567547"/>
    <w:rsid w:val="005675B9"/>
    <w:rsid w:val="00567913"/>
    <w:rsid w:val="005679AA"/>
    <w:rsid w:val="00567A0F"/>
    <w:rsid w:val="00567CEB"/>
    <w:rsid w:val="00567DE0"/>
    <w:rsid w:val="00567EE1"/>
    <w:rsid w:val="00570191"/>
    <w:rsid w:val="00570251"/>
    <w:rsid w:val="0057033B"/>
    <w:rsid w:val="0057035A"/>
    <w:rsid w:val="0057041F"/>
    <w:rsid w:val="0057050C"/>
    <w:rsid w:val="0057062E"/>
    <w:rsid w:val="00570773"/>
    <w:rsid w:val="00570775"/>
    <w:rsid w:val="00570972"/>
    <w:rsid w:val="00570A7B"/>
    <w:rsid w:val="00570AC3"/>
    <w:rsid w:val="00570AEF"/>
    <w:rsid w:val="00570DDD"/>
    <w:rsid w:val="00570EFB"/>
    <w:rsid w:val="00570F52"/>
    <w:rsid w:val="00570F9C"/>
    <w:rsid w:val="005710B3"/>
    <w:rsid w:val="005712FA"/>
    <w:rsid w:val="00571346"/>
    <w:rsid w:val="00571374"/>
    <w:rsid w:val="00571765"/>
    <w:rsid w:val="0057189A"/>
    <w:rsid w:val="0057199A"/>
    <w:rsid w:val="00571DB8"/>
    <w:rsid w:val="00571E05"/>
    <w:rsid w:val="00571F44"/>
    <w:rsid w:val="00572289"/>
    <w:rsid w:val="0057229B"/>
    <w:rsid w:val="00572524"/>
    <w:rsid w:val="005725CD"/>
    <w:rsid w:val="00572640"/>
    <w:rsid w:val="00572734"/>
    <w:rsid w:val="0057274C"/>
    <w:rsid w:val="005727F2"/>
    <w:rsid w:val="00572851"/>
    <w:rsid w:val="005729EF"/>
    <w:rsid w:val="00572B31"/>
    <w:rsid w:val="00572BEE"/>
    <w:rsid w:val="00572F93"/>
    <w:rsid w:val="005730C8"/>
    <w:rsid w:val="00573225"/>
    <w:rsid w:val="0057332A"/>
    <w:rsid w:val="00573449"/>
    <w:rsid w:val="0057346F"/>
    <w:rsid w:val="00573517"/>
    <w:rsid w:val="0057370F"/>
    <w:rsid w:val="0057387B"/>
    <w:rsid w:val="00573B87"/>
    <w:rsid w:val="00573D71"/>
    <w:rsid w:val="00573F8D"/>
    <w:rsid w:val="0057423F"/>
    <w:rsid w:val="005742AC"/>
    <w:rsid w:val="00574524"/>
    <w:rsid w:val="00574AA4"/>
    <w:rsid w:val="00574C51"/>
    <w:rsid w:val="00575023"/>
    <w:rsid w:val="005752F6"/>
    <w:rsid w:val="00575344"/>
    <w:rsid w:val="005754AF"/>
    <w:rsid w:val="005754C5"/>
    <w:rsid w:val="005757CC"/>
    <w:rsid w:val="00575978"/>
    <w:rsid w:val="0057599A"/>
    <w:rsid w:val="00575B26"/>
    <w:rsid w:val="00575DCE"/>
    <w:rsid w:val="005760BC"/>
    <w:rsid w:val="005760E6"/>
    <w:rsid w:val="00576138"/>
    <w:rsid w:val="005765D1"/>
    <w:rsid w:val="005765F7"/>
    <w:rsid w:val="005766F8"/>
    <w:rsid w:val="00576A49"/>
    <w:rsid w:val="00576CB7"/>
    <w:rsid w:val="00576E7A"/>
    <w:rsid w:val="00577553"/>
    <w:rsid w:val="0057757A"/>
    <w:rsid w:val="005777EA"/>
    <w:rsid w:val="00577847"/>
    <w:rsid w:val="005778A9"/>
    <w:rsid w:val="0057790C"/>
    <w:rsid w:val="00577C68"/>
    <w:rsid w:val="00577D3B"/>
    <w:rsid w:val="00577D99"/>
    <w:rsid w:val="00577E6E"/>
    <w:rsid w:val="00577EB6"/>
    <w:rsid w:val="0057AF70"/>
    <w:rsid w:val="00580172"/>
    <w:rsid w:val="005801DE"/>
    <w:rsid w:val="00580286"/>
    <w:rsid w:val="00580395"/>
    <w:rsid w:val="005806BD"/>
    <w:rsid w:val="00580CC9"/>
    <w:rsid w:val="00580DF8"/>
    <w:rsid w:val="005811DB"/>
    <w:rsid w:val="0058132B"/>
    <w:rsid w:val="00581440"/>
    <w:rsid w:val="005814D9"/>
    <w:rsid w:val="0058160F"/>
    <w:rsid w:val="00581741"/>
    <w:rsid w:val="0058198E"/>
    <w:rsid w:val="00581C46"/>
    <w:rsid w:val="00581E34"/>
    <w:rsid w:val="00581F76"/>
    <w:rsid w:val="005821FC"/>
    <w:rsid w:val="0058242E"/>
    <w:rsid w:val="0058258E"/>
    <w:rsid w:val="00582764"/>
    <w:rsid w:val="00582849"/>
    <w:rsid w:val="00582A06"/>
    <w:rsid w:val="00582A68"/>
    <w:rsid w:val="00582C14"/>
    <w:rsid w:val="00582F29"/>
    <w:rsid w:val="00583095"/>
    <w:rsid w:val="005830BD"/>
    <w:rsid w:val="00583599"/>
    <w:rsid w:val="005837D9"/>
    <w:rsid w:val="005838A1"/>
    <w:rsid w:val="00583AB6"/>
    <w:rsid w:val="00583B05"/>
    <w:rsid w:val="00583E27"/>
    <w:rsid w:val="00583E61"/>
    <w:rsid w:val="00583F85"/>
    <w:rsid w:val="005843B1"/>
    <w:rsid w:val="00584533"/>
    <w:rsid w:val="0058455C"/>
    <w:rsid w:val="005845EB"/>
    <w:rsid w:val="00584702"/>
    <w:rsid w:val="005847C0"/>
    <w:rsid w:val="00584809"/>
    <w:rsid w:val="005848F6"/>
    <w:rsid w:val="00584928"/>
    <w:rsid w:val="00584AF5"/>
    <w:rsid w:val="00584C35"/>
    <w:rsid w:val="00584C96"/>
    <w:rsid w:val="00584E80"/>
    <w:rsid w:val="00584F9C"/>
    <w:rsid w:val="0058524A"/>
    <w:rsid w:val="00585304"/>
    <w:rsid w:val="00585367"/>
    <w:rsid w:val="00585390"/>
    <w:rsid w:val="0058557F"/>
    <w:rsid w:val="005856DE"/>
    <w:rsid w:val="005858D0"/>
    <w:rsid w:val="00585950"/>
    <w:rsid w:val="005859B9"/>
    <w:rsid w:val="00585B47"/>
    <w:rsid w:val="00585BA1"/>
    <w:rsid w:val="00585BAA"/>
    <w:rsid w:val="00585D6D"/>
    <w:rsid w:val="00585F61"/>
    <w:rsid w:val="00586089"/>
    <w:rsid w:val="00586208"/>
    <w:rsid w:val="00586260"/>
    <w:rsid w:val="005864BD"/>
    <w:rsid w:val="00586B2B"/>
    <w:rsid w:val="00586D18"/>
    <w:rsid w:val="005873FD"/>
    <w:rsid w:val="00587400"/>
    <w:rsid w:val="005875F1"/>
    <w:rsid w:val="0058766B"/>
    <w:rsid w:val="005876F3"/>
    <w:rsid w:val="00587869"/>
    <w:rsid w:val="00587AC6"/>
    <w:rsid w:val="00587C24"/>
    <w:rsid w:val="00587C71"/>
    <w:rsid w:val="00587FFE"/>
    <w:rsid w:val="005900C9"/>
    <w:rsid w:val="0059011B"/>
    <w:rsid w:val="005907B2"/>
    <w:rsid w:val="00590854"/>
    <w:rsid w:val="005908BF"/>
    <w:rsid w:val="00590B6C"/>
    <w:rsid w:val="00590CCA"/>
    <w:rsid w:val="00590ECC"/>
    <w:rsid w:val="005910DF"/>
    <w:rsid w:val="005912F3"/>
    <w:rsid w:val="005914A0"/>
    <w:rsid w:val="00591957"/>
    <w:rsid w:val="00591A1F"/>
    <w:rsid w:val="00591A29"/>
    <w:rsid w:val="00591B9F"/>
    <w:rsid w:val="00591BE3"/>
    <w:rsid w:val="00591D71"/>
    <w:rsid w:val="00591F1E"/>
    <w:rsid w:val="005921D3"/>
    <w:rsid w:val="00592268"/>
    <w:rsid w:val="005922E7"/>
    <w:rsid w:val="00592349"/>
    <w:rsid w:val="00592391"/>
    <w:rsid w:val="00592875"/>
    <w:rsid w:val="00592892"/>
    <w:rsid w:val="0059289C"/>
    <w:rsid w:val="00592A3D"/>
    <w:rsid w:val="00592E52"/>
    <w:rsid w:val="00592E62"/>
    <w:rsid w:val="00592F23"/>
    <w:rsid w:val="00593296"/>
    <w:rsid w:val="005938AB"/>
    <w:rsid w:val="005939A5"/>
    <w:rsid w:val="00593A33"/>
    <w:rsid w:val="0059418A"/>
    <w:rsid w:val="005941AA"/>
    <w:rsid w:val="00594215"/>
    <w:rsid w:val="005943E1"/>
    <w:rsid w:val="005944EE"/>
    <w:rsid w:val="005945C3"/>
    <w:rsid w:val="00594693"/>
    <w:rsid w:val="0059470A"/>
    <w:rsid w:val="005947F8"/>
    <w:rsid w:val="005948DA"/>
    <w:rsid w:val="00594A23"/>
    <w:rsid w:val="00594A81"/>
    <w:rsid w:val="00594EB2"/>
    <w:rsid w:val="00595339"/>
    <w:rsid w:val="00595386"/>
    <w:rsid w:val="0059570D"/>
    <w:rsid w:val="0059593C"/>
    <w:rsid w:val="0059604B"/>
    <w:rsid w:val="005963A3"/>
    <w:rsid w:val="005964E5"/>
    <w:rsid w:val="0059657A"/>
    <w:rsid w:val="005968EB"/>
    <w:rsid w:val="00596C00"/>
    <w:rsid w:val="00596C53"/>
    <w:rsid w:val="00596D06"/>
    <w:rsid w:val="00596EAE"/>
    <w:rsid w:val="00597008"/>
    <w:rsid w:val="00597365"/>
    <w:rsid w:val="00597455"/>
    <w:rsid w:val="0059769F"/>
    <w:rsid w:val="00597985"/>
    <w:rsid w:val="00597FC6"/>
    <w:rsid w:val="005A0030"/>
    <w:rsid w:val="005A0081"/>
    <w:rsid w:val="005A036A"/>
    <w:rsid w:val="005A056D"/>
    <w:rsid w:val="005A13A2"/>
    <w:rsid w:val="005A13BA"/>
    <w:rsid w:val="005A148C"/>
    <w:rsid w:val="005A14AD"/>
    <w:rsid w:val="005A19B7"/>
    <w:rsid w:val="005A1AEB"/>
    <w:rsid w:val="005A2058"/>
    <w:rsid w:val="005A20CD"/>
    <w:rsid w:val="005A21E5"/>
    <w:rsid w:val="005A238F"/>
    <w:rsid w:val="005A245C"/>
    <w:rsid w:val="005A268B"/>
    <w:rsid w:val="005A27FF"/>
    <w:rsid w:val="005A2A90"/>
    <w:rsid w:val="005A2B40"/>
    <w:rsid w:val="005A2FC4"/>
    <w:rsid w:val="005A310A"/>
    <w:rsid w:val="005A31DE"/>
    <w:rsid w:val="005A3213"/>
    <w:rsid w:val="005A3359"/>
    <w:rsid w:val="005A34A7"/>
    <w:rsid w:val="005A352B"/>
    <w:rsid w:val="005A36F7"/>
    <w:rsid w:val="005A38CC"/>
    <w:rsid w:val="005A3970"/>
    <w:rsid w:val="005A3AA5"/>
    <w:rsid w:val="005A3B8C"/>
    <w:rsid w:val="005A3C50"/>
    <w:rsid w:val="005A3D76"/>
    <w:rsid w:val="005A44B7"/>
    <w:rsid w:val="005A477C"/>
    <w:rsid w:val="005A49FC"/>
    <w:rsid w:val="005A4B91"/>
    <w:rsid w:val="005A4C71"/>
    <w:rsid w:val="005A4D2C"/>
    <w:rsid w:val="005A4DEF"/>
    <w:rsid w:val="005A5046"/>
    <w:rsid w:val="005A53AB"/>
    <w:rsid w:val="005A55AB"/>
    <w:rsid w:val="005A55CA"/>
    <w:rsid w:val="005A5683"/>
    <w:rsid w:val="005A573D"/>
    <w:rsid w:val="005A57FC"/>
    <w:rsid w:val="005A58CC"/>
    <w:rsid w:val="005A5961"/>
    <w:rsid w:val="005A5A46"/>
    <w:rsid w:val="005A5B5D"/>
    <w:rsid w:val="005A5BEC"/>
    <w:rsid w:val="005A5D49"/>
    <w:rsid w:val="005A5E0F"/>
    <w:rsid w:val="005A5EC4"/>
    <w:rsid w:val="005A6243"/>
    <w:rsid w:val="005A63E2"/>
    <w:rsid w:val="005A63FF"/>
    <w:rsid w:val="005A6808"/>
    <w:rsid w:val="005A69B3"/>
    <w:rsid w:val="005A69DC"/>
    <w:rsid w:val="005A6CDF"/>
    <w:rsid w:val="005A6E99"/>
    <w:rsid w:val="005A6F7E"/>
    <w:rsid w:val="005A73E4"/>
    <w:rsid w:val="005A74A3"/>
    <w:rsid w:val="005A75E4"/>
    <w:rsid w:val="005A75F5"/>
    <w:rsid w:val="005A76E1"/>
    <w:rsid w:val="005A779A"/>
    <w:rsid w:val="005A77D3"/>
    <w:rsid w:val="005A7984"/>
    <w:rsid w:val="005A7A3D"/>
    <w:rsid w:val="005A7F11"/>
    <w:rsid w:val="005B004C"/>
    <w:rsid w:val="005B00A1"/>
    <w:rsid w:val="005B034A"/>
    <w:rsid w:val="005B07AF"/>
    <w:rsid w:val="005B0963"/>
    <w:rsid w:val="005B0A44"/>
    <w:rsid w:val="005B0BB7"/>
    <w:rsid w:val="005B0D04"/>
    <w:rsid w:val="005B0D37"/>
    <w:rsid w:val="005B0E11"/>
    <w:rsid w:val="005B0EA5"/>
    <w:rsid w:val="005B0FCB"/>
    <w:rsid w:val="005B1006"/>
    <w:rsid w:val="005B149D"/>
    <w:rsid w:val="005B1694"/>
    <w:rsid w:val="005B169E"/>
    <w:rsid w:val="005B16D1"/>
    <w:rsid w:val="005B1A23"/>
    <w:rsid w:val="005B1AB7"/>
    <w:rsid w:val="005B1BD6"/>
    <w:rsid w:val="005B1EED"/>
    <w:rsid w:val="005B215D"/>
    <w:rsid w:val="005B21E7"/>
    <w:rsid w:val="005B26EC"/>
    <w:rsid w:val="005B282A"/>
    <w:rsid w:val="005B2BBF"/>
    <w:rsid w:val="005B30CC"/>
    <w:rsid w:val="005B3256"/>
    <w:rsid w:val="005B3330"/>
    <w:rsid w:val="005B33FD"/>
    <w:rsid w:val="005B35FE"/>
    <w:rsid w:val="005B37C3"/>
    <w:rsid w:val="005B399C"/>
    <w:rsid w:val="005B3AA2"/>
    <w:rsid w:val="005B3CAB"/>
    <w:rsid w:val="005B3EE8"/>
    <w:rsid w:val="005B4062"/>
    <w:rsid w:val="005B40A3"/>
    <w:rsid w:val="005B44BD"/>
    <w:rsid w:val="005B44D5"/>
    <w:rsid w:val="005B47A6"/>
    <w:rsid w:val="005B484B"/>
    <w:rsid w:val="005B4A1D"/>
    <w:rsid w:val="005B4CD6"/>
    <w:rsid w:val="005B4DDD"/>
    <w:rsid w:val="005B4E70"/>
    <w:rsid w:val="005B4F57"/>
    <w:rsid w:val="005B51CB"/>
    <w:rsid w:val="005B5434"/>
    <w:rsid w:val="005B54DD"/>
    <w:rsid w:val="005B569A"/>
    <w:rsid w:val="005B56E1"/>
    <w:rsid w:val="005B5B1C"/>
    <w:rsid w:val="005B5C50"/>
    <w:rsid w:val="005B5DA1"/>
    <w:rsid w:val="005B6337"/>
    <w:rsid w:val="005B6395"/>
    <w:rsid w:val="005B63F1"/>
    <w:rsid w:val="005B6523"/>
    <w:rsid w:val="005B6559"/>
    <w:rsid w:val="005B6741"/>
    <w:rsid w:val="005B6783"/>
    <w:rsid w:val="005B6AA4"/>
    <w:rsid w:val="005B6DB4"/>
    <w:rsid w:val="005B6DC2"/>
    <w:rsid w:val="005B6EEE"/>
    <w:rsid w:val="005B73EA"/>
    <w:rsid w:val="005B7418"/>
    <w:rsid w:val="005B75D3"/>
    <w:rsid w:val="005B76E0"/>
    <w:rsid w:val="005B7BA5"/>
    <w:rsid w:val="005B7DAF"/>
    <w:rsid w:val="005B7E34"/>
    <w:rsid w:val="005B7EBB"/>
    <w:rsid w:val="005C0157"/>
    <w:rsid w:val="005C0295"/>
    <w:rsid w:val="005C0ACB"/>
    <w:rsid w:val="005C0D17"/>
    <w:rsid w:val="005C0DD9"/>
    <w:rsid w:val="005C0FE8"/>
    <w:rsid w:val="005C117A"/>
    <w:rsid w:val="005C16F3"/>
    <w:rsid w:val="005C183A"/>
    <w:rsid w:val="005C1949"/>
    <w:rsid w:val="005C1B3B"/>
    <w:rsid w:val="005C1E3C"/>
    <w:rsid w:val="005C1E7A"/>
    <w:rsid w:val="005C1F17"/>
    <w:rsid w:val="005C1FF4"/>
    <w:rsid w:val="005C1FF5"/>
    <w:rsid w:val="005C26E3"/>
    <w:rsid w:val="005C2768"/>
    <w:rsid w:val="005C29B3"/>
    <w:rsid w:val="005C2B53"/>
    <w:rsid w:val="005C2D47"/>
    <w:rsid w:val="005C2E40"/>
    <w:rsid w:val="005C2E8E"/>
    <w:rsid w:val="005C2F3A"/>
    <w:rsid w:val="005C3154"/>
    <w:rsid w:val="005C3241"/>
    <w:rsid w:val="005C366C"/>
    <w:rsid w:val="005C36B7"/>
    <w:rsid w:val="005C37F5"/>
    <w:rsid w:val="005C3843"/>
    <w:rsid w:val="005C3955"/>
    <w:rsid w:val="005C3E0B"/>
    <w:rsid w:val="005C3FC2"/>
    <w:rsid w:val="005C4403"/>
    <w:rsid w:val="005C4526"/>
    <w:rsid w:val="005C45E9"/>
    <w:rsid w:val="005C4B51"/>
    <w:rsid w:val="005C4BAF"/>
    <w:rsid w:val="005C4D6E"/>
    <w:rsid w:val="005C4F83"/>
    <w:rsid w:val="005C51D3"/>
    <w:rsid w:val="005C5636"/>
    <w:rsid w:val="005C58A2"/>
    <w:rsid w:val="005C58FA"/>
    <w:rsid w:val="005C5AF8"/>
    <w:rsid w:val="005C60D0"/>
    <w:rsid w:val="005C6163"/>
    <w:rsid w:val="005C63D5"/>
    <w:rsid w:val="005C6564"/>
    <w:rsid w:val="005C67D6"/>
    <w:rsid w:val="005C6BED"/>
    <w:rsid w:val="005C6C04"/>
    <w:rsid w:val="005C6CE1"/>
    <w:rsid w:val="005C6D36"/>
    <w:rsid w:val="005C6F98"/>
    <w:rsid w:val="005C72F1"/>
    <w:rsid w:val="005C752E"/>
    <w:rsid w:val="005C7774"/>
    <w:rsid w:val="005C78F9"/>
    <w:rsid w:val="005C7916"/>
    <w:rsid w:val="005C7AD5"/>
    <w:rsid w:val="005D02B1"/>
    <w:rsid w:val="005D0493"/>
    <w:rsid w:val="005D0A89"/>
    <w:rsid w:val="005D0C19"/>
    <w:rsid w:val="005D0E4A"/>
    <w:rsid w:val="005D1204"/>
    <w:rsid w:val="005D15BE"/>
    <w:rsid w:val="005D180B"/>
    <w:rsid w:val="005D1C0B"/>
    <w:rsid w:val="005D2057"/>
    <w:rsid w:val="005D229C"/>
    <w:rsid w:val="005D232E"/>
    <w:rsid w:val="005D253D"/>
    <w:rsid w:val="005D257C"/>
    <w:rsid w:val="005D29A8"/>
    <w:rsid w:val="005D2C7C"/>
    <w:rsid w:val="005D2D7D"/>
    <w:rsid w:val="005D2EF6"/>
    <w:rsid w:val="005D2F27"/>
    <w:rsid w:val="005D3013"/>
    <w:rsid w:val="005D32DE"/>
    <w:rsid w:val="005D371B"/>
    <w:rsid w:val="005D37F5"/>
    <w:rsid w:val="005D3880"/>
    <w:rsid w:val="005D38E9"/>
    <w:rsid w:val="005D3AB5"/>
    <w:rsid w:val="005D3DE9"/>
    <w:rsid w:val="005D3E36"/>
    <w:rsid w:val="005D46E6"/>
    <w:rsid w:val="005D4722"/>
    <w:rsid w:val="005D49CB"/>
    <w:rsid w:val="005D4A89"/>
    <w:rsid w:val="005D4DC8"/>
    <w:rsid w:val="005D4F6F"/>
    <w:rsid w:val="005D51C3"/>
    <w:rsid w:val="005D53F4"/>
    <w:rsid w:val="005D5487"/>
    <w:rsid w:val="005D55D7"/>
    <w:rsid w:val="005D5619"/>
    <w:rsid w:val="005D56B2"/>
    <w:rsid w:val="005D58BB"/>
    <w:rsid w:val="005D5ED4"/>
    <w:rsid w:val="005D5F73"/>
    <w:rsid w:val="005D60B8"/>
    <w:rsid w:val="005D60CA"/>
    <w:rsid w:val="005D62B8"/>
    <w:rsid w:val="005D637F"/>
    <w:rsid w:val="005D642D"/>
    <w:rsid w:val="005D6473"/>
    <w:rsid w:val="005D65AE"/>
    <w:rsid w:val="005D6656"/>
    <w:rsid w:val="005D66B3"/>
    <w:rsid w:val="005D679E"/>
    <w:rsid w:val="005D6F2D"/>
    <w:rsid w:val="005D7253"/>
    <w:rsid w:val="005D72E4"/>
    <w:rsid w:val="005D7354"/>
    <w:rsid w:val="005D793A"/>
    <w:rsid w:val="005D7DBB"/>
    <w:rsid w:val="005E01ED"/>
    <w:rsid w:val="005E0251"/>
    <w:rsid w:val="005E02F1"/>
    <w:rsid w:val="005E066D"/>
    <w:rsid w:val="005E0AD3"/>
    <w:rsid w:val="005E0C21"/>
    <w:rsid w:val="005E0C22"/>
    <w:rsid w:val="005E0E9D"/>
    <w:rsid w:val="005E0F99"/>
    <w:rsid w:val="005E0F9E"/>
    <w:rsid w:val="005E11AA"/>
    <w:rsid w:val="005E11B4"/>
    <w:rsid w:val="005E1359"/>
    <w:rsid w:val="005E13B7"/>
    <w:rsid w:val="005E140D"/>
    <w:rsid w:val="005E155E"/>
    <w:rsid w:val="005E15EC"/>
    <w:rsid w:val="005E16A1"/>
    <w:rsid w:val="005E1714"/>
    <w:rsid w:val="005E1858"/>
    <w:rsid w:val="005E1C15"/>
    <w:rsid w:val="005E1E22"/>
    <w:rsid w:val="005E203B"/>
    <w:rsid w:val="005E2051"/>
    <w:rsid w:val="005E2255"/>
    <w:rsid w:val="005E22D6"/>
    <w:rsid w:val="005E22F6"/>
    <w:rsid w:val="005E2311"/>
    <w:rsid w:val="005E2681"/>
    <w:rsid w:val="005E295D"/>
    <w:rsid w:val="005E2B3A"/>
    <w:rsid w:val="005E2BA2"/>
    <w:rsid w:val="005E2C1B"/>
    <w:rsid w:val="005E2C23"/>
    <w:rsid w:val="005E2D56"/>
    <w:rsid w:val="005E2F89"/>
    <w:rsid w:val="005E3185"/>
    <w:rsid w:val="005E327E"/>
    <w:rsid w:val="005E38CA"/>
    <w:rsid w:val="005E39D0"/>
    <w:rsid w:val="005E3B7C"/>
    <w:rsid w:val="005E3F39"/>
    <w:rsid w:val="005E4450"/>
    <w:rsid w:val="005E47DE"/>
    <w:rsid w:val="005E4962"/>
    <w:rsid w:val="005E497A"/>
    <w:rsid w:val="005E4A97"/>
    <w:rsid w:val="005E5090"/>
    <w:rsid w:val="005E50B0"/>
    <w:rsid w:val="005E50B7"/>
    <w:rsid w:val="005E5747"/>
    <w:rsid w:val="005E5921"/>
    <w:rsid w:val="005E59EE"/>
    <w:rsid w:val="005E5A27"/>
    <w:rsid w:val="005E5AC5"/>
    <w:rsid w:val="005E5BF4"/>
    <w:rsid w:val="005E5C17"/>
    <w:rsid w:val="005E6169"/>
    <w:rsid w:val="005E616E"/>
    <w:rsid w:val="005E625B"/>
    <w:rsid w:val="005E63C4"/>
    <w:rsid w:val="005E6922"/>
    <w:rsid w:val="005E69CD"/>
    <w:rsid w:val="005E6E3D"/>
    <w:rsid w:val="005E71F7"/>
    <w:rsid w:val="005E724D"/>
    <w:rsid w:val="005E76A2"/>
    <w:rsid w:val="005E78FE"/>
    <w:rsid w:val="005E7A41"/>
    <w:rsid w:val="005E7A70"/>
    <w:rsid w:val="005E7BAC"/>
    <w:rsid w:val="005E7C34"/>
    <w:rsid w:val="005E7C47"/>
    <w:rsid w:val="005E7F94"/>
    <w:rsid w:val="005EA4B3"/>
    <w:rsid w:val="005F02A7"/>
    <w:rsid w:val="005F058B"/>
    <w:rsid w:val="005F0658"/>
    <w:rsid w:val="005F06E3"/>
    <w:rsid w:val="005F071A"/>
    <w:rsid w:val="005F0A1E"/>
    <w:rsid w:val="005F0C4D"/>
    <w:rsid w:val="005F0D1D"/>
    <w:rsid w:val="005F0F4E"/>
    <w:rsid w:val="005F1071"/>
    <w:rsid w:val="005F10D0"/>
    <w:rsid w:val="005F1275"/>
    <w:rsid w:val="005F1342"/>
    <w:rsid w:val="005F13D1"/>
    <w:rsid w:val="005F14AF"/>
    <w:rsid w:val="005F177F"/>
    <w:rsid w:val="005F1861"/>
    <w:rsid w:val="005F1B8C"/>
    <w:rsid w:val="005F1C82"/>
    <w:rsid w:val="005F1C8D"/>
    <w:rsid w:val="005F1D5C"/>
    <w:rsid w:val="005F1DBC"/>
    <w:rsid w:val="005F1ED7"/>
    <w:rsid w:val="005F1F60"/>
    <w:rsid w:val="005F20DA"/>
    <w:rsid w:val="005F2652"/>
    <w:rsid w:val="005F2774"/>
    <w:rsid w:val="005F282C"/>
    <w:rsid w:val="005F28B2"/>
    <w:rsid w:val="005F2D70"/>
    <w:rsid w:val="005F2DFD"/>
    <w:rsid w:val="005F31DE"/>
    <w:rsid w:val="005F3248"/>
    <w:rsid w:val="005F32DA"/>
    <w:rsid w:val="005F3315"/>
    <w:rsid w:val="005F3417"/>
    <w:rsid w:val="005F3AD4"/>
    <w:rsid w:val="005F3C4D"/>
    <w:rsid w:val="005F3C59"/>
    <w:rsid w:val="005F3E07"/>
    <w:rsid w:val="005F3F66"/>
    <w:rsid w:val="005F4230"/>
    <w:rsid w:val="005F44EB"/>
    <w:rsid w:val="005F4568"/>
    <w:rsid w:val="005F46DF"/>
    <w:rsid w:val="005F49E6"/>
    <w:rsid w:val="005F4ABA"/>
    <w:rsid w:val="005F4BC1"/>
    <w:rsid w:val="005F4BF8"/>
    <w:rsid w:val="005F50E3"/>
    <w:rsid w:val="005F55D8"/>
    <w:rsid w:val="005F58E2"/>
    <w:rsid w:val="005F5BBB"/>
    <w:rsid w:val="005F5D1A"/>
    <w:rsid w:val="005F615B"/>
    <w:rsid w:val="005F6253"/>
    <w:rsid w:val="005F63DA"/>
    <w:rsid w:val="005F6428"/>
    <w:rsid w:val="005F672D"/>
    <w:rsid w:val="005F67EB"/>
    <w:rsid w:val="005F68A1"/>
    <w:rsid w:val="005F68EE"/>
    <w:rsid w:val="005F6999"/>
    <w:rsid w:val="005F69CC"/>
    <w:rsid w:val="005F6AE9"/>
    <w:rsid w:val="005F6CB9"/>
    <w:rsid w:val="005F6DE5"/>
    <w:rsid w:val="005F6F8F"/>
    <w:rsid w:val="005F74BD"/>
    <w:rsid w:val="005F7AA6"/>
    <w:rsid w:val="005F7D92"/>
    <w:rsid w:val="005F7DBB"/>
    <w:rsid w:val="005F7DCF"/>
    <w:rsid w:val="0060023E"/>
    <w:rsid w:val="006002A5"/>
    <w:rsid w:val="00600380"/>
    <w:rsid w:val="00600589"/>
    <w:rsid w:val="00600B01"/>
    <w:rsid w:val="00600B2D"/>
    <w:rsid w:val="00600B7B"/>
    <w:rsid w:val="00600DC8"/>
    <w:rsid w:val="00600E9A"/>
    <w:rsid w:val="00601149"/>
    <w:rsid w:val="006013A4"/>
    <w:rsid w:val="00601407"/>
    <w:rsid w:val="0060165F"/>
    <w:rsid w:val="00601CBC"/>
    <w:rsid w:val="00601D83"/>
    <w:rsid w:val="00601E63"/>
    <w:rsid w:val="00601FA8"/>
    <w:rsid w:val="006021CC"/>
    <w:rsid w:val="006024F1"/>
    <w:rsid w:val="006027D0"/>
    <w:rsid w:val="00602997"/>
    <w:rsid w:val="00602A12"/>
    <w:rsid w:val="00602A85"/>
    <w:rsid w:val="00602FB0"/>
    <w:rsid w:val="0060317B"/>
    <w:rsid w:val="00603238"/>
    <w:rsid w:val="0060324F"/>
    <w:rsid w:val="0060361F"/>
    <w:rsid w:val="00603684"/>
    <w:rsid w:val="006036A1"/>
    <w:rsid w:val="006039AE"/>
    <w:rsid w:val="00603AC5"/>
    <w:rsid w:val="00603B11"/>
    <w:rsid w:val="00603BB8"/>
    <w:rsid w:val="00603C8D"/>
    <w:rsid w:val="00603ED3"/>
    <w:rsid w:val="0060414F"/>
    <w:rsid w:val="006041FB"/>
    <w:rsid w:val="00604577"/>
    <w:rsid w:val="006047C7"/>
    <w:rsid w:val="0060482B"/>
    <w:rsid w:val="00604892"/>
    <w:rsid w:val="006049EC"/>
    <w:rsid w:val="00604B47"/>
    <w:rsid w:val="00604B92"/>
    <w:rsid w:val="00604DD4"/>
    <w:rsid w:val="00605026"/>
    <w:rsid w:val="00605127"/>
    <w:rsid w:val="00605161"/>
    <w:rsid w:val="006051DB"/>
    <w:rsid w:val="00605354"/>
    <w:rsid w:val="006055AE"/>
    <w:rsid w:val="0060577F"/>
    <w:rsid w:val="006057BF"/>
    <w:rsid w:val="00605A04"/>
    <w:rsid w:val="00605D75"/>
    <w:rsid w:val="00605E97"/>
    <w:rsid w:val="00606165"/>
    <w:rsid w:val="00606230"/>
    <w:rsid w:val="0060628B"/>
    <w:rsid w:val="00606427"/>
    <w:rsid w:val="00606500"/>
    <w:rsid w:val="00606739"/>
    <w:rsid w:val="00606844"/>
    <w:rsid w:val="00606887"/>
    <w:rsid w:val="006069B8"/>
    <w:rsid w:val="00606E94"/>
    <w:rsid w:val="00606E9E"/>
    <w:rsid w:val="006070C0"/>
    <w:rsid w:val="006072D4"/>
    <w:rsid w:val="006072E1"/>
    <w:rsid w:val="0060744E"/>
    <w:rsid w:val="00607829"/>
    <w:rsid w:val="00607BB1"/>
    <w:rsid w:val="00607C0C"/>
    <w:rsid w:val="00607EC1"/>
    <w:rsid w:val="00610277"/>
    <w:rsid w:val="006105F5"/>
    <w:rsid w:val="006107CB"/>
    <w:rsid w:val="00610D5B"/>
    <w:rsid w:val="00610D65"/>
    <w:rsid w:val="0061102B"/>
    <w:rsid w:val="0061118F"/>
    <w:rsid w:val="00611256"/>
    <w:rsid w:val="006113AC"/>
    <w:rsid w:val="0061171D"/>
    <w:rsid w:val="006119F4"/>
    <w:rsid w:val="00611B23"/>
    <w:rsid w:val="00611C6E"/>
    <w:rsid w:val="00611E1C"/>
    <w:rsid w:val="0061205F"/>
    <w:rsid w:val="006120F2"/>
    <w:rsid w:val="006121BB"/>
    <w:rsid w:val="006125D7"/>
    <w:rsid w:val="006125E4"/>
    <w:rsid w:val="006128E3"/>
    <w:rsid w:val="00612950"/>
    <w:rsid w:val="0061298A"/>
    <w:rsid w:val="00612A10"/>
    <w:rsid w:val="00612AFB"/>
    <w:rsid w:val="00612B45"/>
    <w:rsid w:val="00612DB1"/>
    <w:rsid w:val="00612F2C"/>
    <w:rsid w:val="00613097"/>
    <w:rsid w:val="00613235"/>
    <w:rsid w:val="00613365"/>
    <w:rsid w:val="0061343A"/>
    <w:rsid w:val="00613471"/>
    <w:rsid w:val="0061359D"/>
    <w:rsid w:val="0061377F"/>
    <w:rsid w:val="00613CC4"/>
    <w:rsid w:val="00613E41"/>
    <w:rsid w:val="00613E9B"/>
    <w:rsid w:val="00613F46"/>
    <w:rsid w:val="0061411F"/>
    <w:rsid w:val="006144D2"/>
    <w:rsid w:val="006147A5"/>
    <w:rsid w:val="00614C14"/>
    <w:rsid w:val="00614C27"/>
    <w:rsid w:val="00614C6C"/>
    <w:rsid w:val="00614E0E"/>
    <w:rsid w:val="00614E35"/>
    <w:rsid w:val="00614E6B"/>
    <w:rsid w:val="00614EBA"/>
    <w:rsid w:val="00614F00"/>
    <w:rsid w:val="006152A2"/>
    <w:rsid w:val="0061532E"/>
    <w:rsid w:val="0061551E"/>
    <w:rsid w:val="0061560A"/>
    <w:rsid w:val="00615642"/>
    <w:rsid w:val="00615725"/>
    <w:rsid w:val="00615E70"/>
    <w:rsid w:val="00615EC3"/>
    <w:rsid w:val="0061600B"/>
    <w:rsid w:val="006163BF"/>
    <w:rsid w:val="00616AA5"/>
    <w:rsid w:val="00616F4E"/>
    <w:rsid w:val="00617121"/>
    <w:rsid w:val="0061761B"/>
    <w:rsid w:val="00617696"/>
    <w:rsid w:val="00617C49"/>
    <w:rsid w:val="00617C51"/>
    <w:rsid w:val="00617FA3"/>
    <w:rsid w:val="0062031D"/>
    <w:rsid w:val="00620338"/>
    <w:rsid w:val="0062043B"/>
    <w:rsid w:val="00620469"/>
    <w:rsid w:val="006204E4"/>
    <w:rsid w:val="00620562"/>
    <w:rsid w:val="006205B9"/>
    <w:rsid w:val="00620888"/>
    <w:rsid w:val="00620B43"/>
    <w:rsid w:val="00620B83"/>
    <w:rsid w:val="00620CB9"/>
    <w:rsid w:val="00620F3F"/>
    <w:rsid w:val="00621057"/>
    <w:rsid w:val="0062144B"/>
    <w:rsid w:val="00621857"/>
    <w:rsid w:val="0062186C"/>
    <w:rsid w:val="006218C6"/>
    <w:rsid w:val="00621923"/>
    <w:rsid w:val="00621A28"/>
    <w:rsid w:val="00621AE8"/>
    <w:rsid w:val="00621BA6"/>
    <w:rsid w:val="00621E3C"/>
    <w:rsid w:val="00622046"/>
    <w:rsid w:val="006223D4"/>
    <w:rsid w:val="006224FB"/>
    <w:rsid w:val="00622812"/>
    <w:rsid w:val="00622936"/>
    <w:rsid w:val="00622CE9"/>
    <w:rsid w:val="006230C6"/>
    <w:rsid w:val="00623225"/>
    <w:rsid w:val="006234E1"/>
    <w:rsid w:val="006235AE"/>
    <w:rsid w:val="006237DF"/>
    <w:rsid w:val="00623800"/>
    <w:rsid w:val="00623845"/>
    <w:rsid w:val="00623B3A"/>
    <w:rsid w:val="00623BAC"/>
    <w:rsid w:val="00623ED2"/>
    <w:rsid w:val="0062423C"/>
    <w:rsid w:val="0062423D"/>
    <w:rsid w:val="00624284"/>
    <w:rsid w:val="006242B5"/>
    <w:rsid w:val="00624302"/>
    <w:rsid w:val="00624451"/>
    <w:rsid w:val="006246F4"/>
    <w:rsid w:val="0062482F"/>
    <w:rsid w:val="00624A3C"/>
    <w:rsid w:val="00624A46"/>
    <w:rsid w:val="00624BDC"/>
    <w:rsid w:val="00624C14"/>
    <w:rsid w:val="00624D17"/>
    <w:rsid w:val="00624DB1"/>
    <w:rsid w:val="00624E54"/>
    <w:rsid w:val="00624F0C"/>
    <w:rsid w:val="00624F56"/>
    <w:rsid w:val="006251A2"/>
    <w:rsid w:val="006251D8"/>
    <w:rsid w:val="006253AC"/>
    <w:rsid w:val="00625464"/>
    <w:rsid w:val="006259E9"/>
    <w:rsid w:val="00625B47"/>
    <w:rsid w:val="00625F17"/>
    <w:rsid w:val="00625F2F"/>
    <w:rsid w:val="0062628F"/>
    <w:rsid w:val="006268B7"/>
    <w:rsid w:val="00626B13"/>
    <w:rsid w:val="00626B85"/>
    <w:rsid w:val="00626CEB"/>
    <w:rsid w:val="00626FDD"/>
    <w:rsid w:val="006270A2"/>
    <w:rsid w:val="00627445"/>
    <w:rsid w:val="00627641"/>
    <w:rsid w:val="006276FE"/>
    <w:rsid w:val="0062779B"/>
    <w:rsid w:val="006278D5"/>
    <w:rsid w:val="00627BD7"/>
    <w:rsid w:val="00627C23"/>
    <w:rsid w:val="00627D44"/>
    <w:rsid w:val="00627E16"/>
    <w:rsid w:val="00630047"/>
    <w:rsid w:val="00630362"/>
    <w:rsid w:val="00630648"/>
    <w:rsid w:val="0063064D"/>
    <w:rsid w:val="00630919"/>
    <w:rsid w:val="00630937"/>
    <w:rsid w:val="006309DD"/>
    <w:rsid w:val="00630AE1"/>
    <w:rsid w:val="00630D51"/>
    <w:rsid w:val="00630E5E"/>
    <w:rsid w:val="00630F64"/>
    <w:rsid w:val="00630FE7"/>
    <w:rsid w:val="00631168"/>
    <w:rsid w:val="0063143F"/>
    <w:rsid w:val="00631501"/>
    <w:rsid w:val="00631691"/>
    <w:rsid w:val="0063190B"/>
    <w:rsid w:val="0063190F"/>
    <w:rsid w:val="00631935"/>
    <w:rsid w:val="00631B93"/>
    <w:rsid w:val="00631C8C"/>
    <w:rsid w:val="00631D01"/>
    <w:rsid w:val="00631EEC"/>
    <w:rsid w:val="00632207"/>
    <w:rsid w:val="0063240D"/>
    <w:rsid w:val="00632738"/>
    <w:rsid w:val="00632811"/>
    <w:rsid w:val="00632A4D"/>
    <w:rsid w:val="00632AB9"/>
    <w:rsid w:val="00632ACD"/>
    <w:rsid w:val="00632C4A"/>
    <w:rsid w:val="00632E6B"/>
    <w:rsid w:val="00632F19"/>
    <w:rsid w:val="006332A2"/>
    <w:rsid w:val="006333C0"/>
    <w:rsid w:val="006337DF"/>
    <w:rsid w:val="00633C6C"/>
    <w:rsid w:val="00633CD1"/>
    <w:rsid w:val="00633D1D"/>
    <w:rsid w:val="00633DAA"/>
    <w:rsid w:val="00633E3C"/>
    <w:rsid w:val="00634077"/>
    <w:rsid w:val="006341F5"/>
    <w:rsid w:val="006342C5"/>
    <w:rsid w:val="006343BD"/>
    <w:rsid w:val="00634444"/>
    <w:rsid w:val="00634467"/>
    <w:rsid w:val="00634484"/>
    <w:rsid w:val="006344B3"/>
    <w:rsid w:val="006345C3"/>
    <w:rsid w:val="00634629"/>
    <w:rsid w:val="006347E1"/>
    <w:rsid w:val="0063491C"/>
    <w:rsid w:val="00634ACC"/>
    <w:rsid w:val="00635083"/>
    <w:rsid w:val="0063508E"/>
    <w:rsid w:val="00635296"/>
    <w:rsid w:val="006352CC"/>
    <w:rsid w:val="0063530E"/>
    <w:rsid w:val="00635328"/>
    <w:rsid w:val="0063541D"/>
    <w:rsid w:val="0063554B"/>
    <w:rsid w:val="00635584"/>
    <w:rsid w:val="0063566B"/>
    <w:rsid w:val="00635684"/>
    <w:rsid w:val="006357CE"/>
    <w:rsid w:val="00635B59"/>
    <w:rsid w:val="00635DFC"/>
    <w:rsid w:val="00635F6C"/>
    <w:rsid w:val="00636153"/>
    <w:rsid w:val="00636392"/>
    <w:rsid w:val="0063654F"/>
    <w:rsid w:val="00636871"/>
    <w:rsid w:val="006368BA"/>
    <w:rsid w:val="006370E0"/>
    <w:rsid w:val="00637196"/>
    <w:rsid w:val="0063720F"/>
    <w:rsid w:val="00637309"/>
    <w:rsid w:val="006373AC"/>
    <w:rsid w:val="006376A0"/>
    <w:rsid w:val="00637B9E"/>
    <w:rsid w:val="00637BB4"/>
    <w:rsid w:val="00637E90"/>
    <w:rsid w:val="00637ED1"/>
    <w:rsid w:val="0064018B"/>
    <w:rsid w:val="0064056E"/>
    <w:rsid w:val="006406A2"/>
    <w:rsid w:val="00640788"/>
    <w:rsid w:val="00640B45"/>
    <w:rsid w:val="00640B9A"/>
    <w:rsid w:val="006410BD"/>
    <w:rsid w:val="0064113D"/>
    <w:rsid w:val="00641292"/>
    <w:rsid w:val="006412B8"/>
    <w:rsid w:val="0064176D"/>
    <w:rsid w:val="00641931"/>
    <w:rsid w:val="00641A5C"/>
    <w:rsid w:val="00641DC0"/>
    <w:rsid w:val="00641FAA"/>
    <w:rsid w:val="00642AE7"/>
    <w:rsid w:val="00642D31"/>
    <w:rsid w:val="00642D9E"/>
    <w:rsid w:val="00642F8E"/>
    <w:rsid w:val="00642FA3"/>
    <w:rsid w:val="006430B7"/>
    <w:rsid w:val="006432C4"/>
    <w:rsid w:val="0064392C"/>
    <w:rsid w:val="00643CC4"/>
    <w:rsid w:val="00643CC6"/>
    <w:rsid w:val="00643DF4"/>
    <w:rsid w:val="0064409C"/>
    <w:rsid w:val="006447F4"/>
    <w:rsid w:val="00644A72"/>
    <w:rsid w:val="00644B6F"/>
    <w:rsid w:val="00644F02"/>
    <w:rsid w:val="00644F0D"/>
    <w:rsid w:val="00644FC1"/>
    <w:rsid w:val="00645426"/>
    <w:rsid w:val="006454CE"/>
    <w:rsid w:val="006457EB"/>
    <w:rsid w:val="00645947"/>
    <w:rsid w:val="00645EE1"/>
    <w:rsid w:val="0064601E"/>
    <w:rsid w:val="0064627F"/>
    <w:rsid w:val="006463A3"/>
    <w:rsid w:val="00646635"/>
    <w:rsid w:val="00646805"/>
    <w:rsid w:val="0064681B"/>
    <w:rsid w:val="00646B73"/>
    <w:rsid w:val="00646C08"/>
    <w:rsid w:val="00646CAC"/>
    <w:rsid w:val="00646DD1"/>
    <w:rsid w:val="00647057"/>
    <w:rsid w:val="006472A8"/>
    <w:rsid w:val="006472BD"/>
    <w:rsid w:val="00647490"/>
    <w:rsid w:val="006475F6"/>
    <w:rsid w:val="00647600"/>
    <w:rsid w:val="006476D7"/>
    <w:rsid w:val="00647827"/>
    <w:rsid w:val="006478AF"/>
    <w:rsid w:val="00647C1B"/>
    <w:rsid w:val="006503C0"/>
    <w:rsid w:val="00650421"/>
    <w:rsid w:val="006507CD"/>
    <w:rsid w:val="00650945"/>
    <w:rsid w:val="00650B02"/>
    <w:rsid w:val="00650BF2"/>
    <w:rsid w:val="00650CB3"/>
    <w:rsid w:val="00650DB8"/>
    <w:rsid w:val="00650DFB"/>
    <w:rsid w:val="00650E06"/>
    <w:rsid w:val="00650E4F"/>
    <w:rsid w:val="00650EF0"/>
    <w:rsid w:val="00650F65"/>
    <w:rsid w:val="00651D41"/>
    <w:rsid w:val="006522FE"/>
    <w:rsid w:val="0065230A"/>
    <w:rsid w:val="0065231E"/>
    <w:rsid w:val="00652397"/>
    <w:rsid w:val="006523A7"/>
    <w:rsid w:val="0065243D"/>
    <w:rsid w:val="0065271C"/>
    <w:rsid w:val="00652864"/>
    <w:rsid w:val="00652B18"/>
    <w:rsid w:val="00652E52"/>
    <w:rsid w:val="006530AF"/>
    <w:rsid w:val="006530D1"/>
    <w:rsid w:val="006533AF"/>
    <w:rsid w:val="0065378A"/>
    <w:rsid w:val="00653A39"/>
    <w:rsid w:val="00653BFD"/>
    <w:rsid w:val="00653D01"/>
    <w:rsid w:val="00653FF2"/>
    <w:rsid w:val="006540D9"/>
    <w:rsid w:val="0065411C"/>
    <w:rsid w:val="00654124"/>
    <w:rsid w:val="0065437A"/>
    <w:rsid w:val="0065447B"/>
    <w:rsid w:val="0065449D"/>
    <w:rsid w:val="0065455B"/>
    <w:rsid w:val="006545BA"/>
    <w:rsid w:val="0065469D"/>
    <w:rsid w:val="00654817"/>
    <w:rsid w:val="006548BB"/>
    <w:rsid w:val="0065494C"/>
    <w:rsid w:val="00654993"/>
    <w:rsid w:val="00654B3F"/>
    <w:rsid w:val="00654E30"/>
    <w:rsid w:val="00654FB2"/>
    <w:rsid w:val="00654FED"/>
    <w:rsid w:val="00655425"/>
    <w:rsid w:val="006554EF"/>
    <w:rsid w:val="006556B0"/>
    <w:rsid w:val="00655858"/>
    <w:rsid w:val="006558B0"/>
    <w:rsid w:val="00655905"/>
    <w:rsid w:val="006559C1"/>
    <w:rsid w:val="00655C24"/>
    <w:rsid w:val="00655C71"/>
    <w:rsid w:val="00655E07"/>
    <w:rsid w:val="00656271"/>
    <w:rsid w:val="0065629C"/>
    <w:rsid w:val="00656487"/>
    <w:rsid w:val="00656585"/>
    <w:rsid w:val="0065661D"/>
    <w:rsid w:val="0065670C"/>
    <w:rsid w:val="006567CF"/>
    <w:rsid w:val="00656924"/>
    <w:rsid w:val="006569FA"/>
    <w:rsid w:val="00656BE6"/>
    <w:rsid w:val="00656F23"/>
    <w:rsid w:val="00657010"/>
    <w:rsid w:val="006571A1"/>
    <w:rsid w:val="0065735A"/>
    <w:rsid w:val="0065737E"/>
    <w:rsid w:val="006577A5"/>
    <w:rsid w:val="00657BFB"/>
    <w:rsid w:val="00657DDB"/>
    <w:rsid w:val="006603F2"/>
    <w:rsid w:val="00660472"/>
    <w:rsid w:val="006604FF"/>
    <w:rsid w:val="006605EE"/>
    <w:rsid w:val="006605F8"/>
    <w:rsid w:val="006609B9"/>
    <w:rsid w:val="006609E6"/>
    <w:rsid w:val="00660AD6"/>
    <w:rsid w:val="00660C78"/>
    <w:rsid w:val="00660E89"/>
    <w:rsid w:val="0066146F"/>
    <w:rsid w:val="0066165F"/>
    <w:rsid w:val="0066171B"/>
    <w:rsid w:val="006617C0"/>
    <w:rsid w:val="00661AFE"/>
    <w:rsid w:val="00661C35"/>
    <w:rsid w:val="00661C5A"/>
    <w:rsid w:val="006620EB"/>
    <w:rsid w:val="0066284B"/>
    <w:rsid w:val="00662A37"/>
    <w:rsid w:val="00662A62"/>
    <w:rsid w:val="00662B3E"/>
    <w:rsid w:val="00662FFE"/>
    <w:rsid w:val="00663086"/>
    <w:rsid w:val="0066340F"/>
    <w:rsid w:val="00663417"/>
    <w:rsid w:val="0066361E"/>
    <w:rsid w:val="0066381B"/>
    <w:rsid w:val="006638C6"/>
    <w:rsid w:val="006639EE"/>
    <w:rsid w:val="00663A34"/>
    <w:rsid w:val="00663E4B"/>
    <w:rsid w:val="00663F91"/>
    <w:rsid w:val="00663FAA"/>
    <w:rsid w:val="00664282"/>
    <w:rsid w:val="0066437D"/>
    <w:rsid w:val="006643F2"/>
    <w:rsid w:val="00664484"/>
    <w:rsid w:val="00664640"/>
    <w:rsid w:val="006646E0"/>
    <w:rsid w:val="00664748"/>
    <w:rsid w:val="00664851"/>
    <w:rsid w:val="00664A31"/>
    <w:rsid w:val="00664A3A"/>
    <w:rsid w:val="00664A79"/>
    <w:rsid w:val="00664B94"/>
    <w:rsid w:val="00664ECF"/>
    <w:rsid w:val="00664F2D"/>
    <w:rsid w:val="00665018"/>
    <w:rsid w:val="006651A1"/>
    <w:rsid w:val="0066548A"/>
    <w:rsid w:val="00665D2B"/>
    <w:rsid w:val="006660AC"/>
    <w:rsid w:val="00666298"/>
    <w:rsid w:val="00666598"/>
    <w:rsid w:val="006666CA"/>
    <w:rsid w:val="00666756"/>
    <w:rsid w:val="00666BB9"/>
    <w:rsid w:val="00666C6B"/>
    <w:rsid w:val="00666D11"/>
    <w:rsid w:val="00666DBA"/>
    <w:rsid w:val="00666FF7"/>
    <w:rsid w:val="006670E7"/>
    <w:rsid w:val="006670F6"/>
    <w:rsid w:val="0066732C"/>
    <w:rsid w:val="00667698"/>
    <w:rsid w:val="006677B9"/>
    <w:rsid w:val="0066792D"/>
    <w:rsid w:val="006679B3"/>
    <w:rsid w:val="00667A4B"/>
    <w:rsid w:val="00667B6D"/>
    <w:rsid w:val="00667E20"/>
    <w:rsid w:val="00667EB7"/>
    <w:rsid w:val="00667F09"/>
    <w:rsid w:val="00670065"/>
    <w:rsid w:val="0067011D"/>
    <w:rsid w:val="00670255"/>
    <w:rsid w:val="006704B9"/>
    <w:rsid w:val="0067067E"/>
    <w:rsid w:val="0067077A"/>
    <w:rsid w:val="0067080E"/>
    <w:rsid w:val="00670877"/>
    <w:rsid w:val="0067098C"/>
    <w:rsid w:val="00670ADC"/>
    <w:rsid w:val="00670B2E"/>
    <w:rsid w:val="00670DD5"/>
    <w:rsid w:val="00671006"/>
    <w:rsid w:val="006711D1"/>
    <w:rsid w:val="006711EB"/>
    <w:rsid w:val="0067123E"/>
    <w:rsid w:val="00671B9A"/>
    <w:rsid w:val="00672142"/>
    <w:rsid w:val="0067222E"/>
    <w:rsid w:val="00672588"/>
    <w:rsid w:val="00672706"/>
    <w:rsid w:val="00673167"/>
    <w:rsid w:val="0067325E"/>
    <w:rsid w:val="006732FB"/>
    <w:rsid w:val="0067337B"/>
    <w:rsid w:val="0067363F"/>
    <w:rsid w:val="0067376F"/>
    <w:rsid w:val="006739C4"/>
    <w:rsid w:val="00673B3F"/>
    <w:rsid w:val="00673B63"/>
    <w:rsid w:val="00673B6C"/>
    <w:rsid w:val="00673C1C"/>
    <w:rsid w:val="00673EAF"/>
    <w:rsid w:val="0067409D"/>
    <w:rsid w:val="006740BB"/>
    <w:rsid w:val="00674195"/>
    <w:rsid w:val="00674473"/>
    <w:rsid w:val="006747E8"/>
    <w:rsid w:val="006747F1"/>
    <w:rsid w:val="00674AD5"/>
    <w:rsid w:val="00674B49"/>
    <w:rsid w:val="00674D38"/>
    <w:rsid w:val="00674DE4"/>
    <w:rsid w:val="00674DF6"/>
    <w:rsid w:val="00674F35"/>
    <w:rsid w:val="00674F4F"/>
    <w:rsid w:val="00675050"/>
    <w:rsid w:val="006750F9"/>
    <w:rsid w:val="0067511A"/>
    <w:rsid w:val="006751A2"/>
    <w:rsid w:val="0067553A"/>
    <w:rsid w:val="0067593D"/>
    <w:rsid w:val="006759AC"/>
    <w:rsid w:val="00675ACE"/>
    <w:rsid w:val="00675C56"/>
    <w:rsid w:val="00675C9F"/>
    <w:rsid w:val="00675CA3"/>
    <w:rsid w:val="00675E5A"/>
    <w:rsid w:val="00675FDC"/>
    <w:rsid w:val="00675FE7"/>
    <w:rsid w:val="006760BC"/>
    <w:rsid w:val="006761F2"/>
    <w:rsid w:val="006767E7"/>
    <w:rsid w:val="00676A21"/>
    <w:rsid w:val="00677368"/>
    <w:rsid w:val="0067762D"/>
    <w:rsid w:val="00677761"/>
    <w:rsid w:val="006778A8"/>
    <w:rsid w:val="00677A5C"/>
    <w:rsid w:val="00677BFB"/>
    <w:rsid w:val="00677D61"/>
    <w:rsid w:val="00677F3C"/>
    <w:rsid w:val="00680198"/>
    <w:rsid w:val="006802AF"/>
    <w:rsid w:val="00680B5A"/>
    <w:rsid w:val="00680C2E"/>
    <w:rsid w:val="00680F19"/>
    <w:rsid w:val="00680F8D"/>
    <w:rsid w:val="00680FC5"/>
    <w:rsid w:val="00680FD7"/>
    <w:rsid w:val="00681098"/>
    <w:rsid w:val="0068115D"/>
    <w:rsid w:val="00681210"/>
    <w:rsid w:val="00681308"/>
    <w:rsid w:val="006814F8"/>
    <w:rsid w:val="00681628"/>
    <w:rsid w:val="00682095"/>
    <w:rsid w:val="006821FB"/>
    <w:rsid w:val="006823CF"/>
    <w:rsid w:val="006826ED"/>
    <w:rsid w:val="006829FD"/>
    <w:rsid w:val="00682A41"/>
    <w:rsid w:val="00682C15"/>
    <w:rsid w:val="00682DDC"/>
    <w:rsid w:val="00682E4A"/>
    <w:rsid w:val="00682F9B"/>
    <w:rsid w:val="006830D3"/>
    <w:rsid w:val="00683220"/>
    <w:rsid w:val="0068348D"/>
    <w:rsid w:val="00683701"/>
    <w:rsid w:val="00683942"/>
    <w:rsid w:val="006839BE"/>
    <w:rsid w:val="00683B2C"/>
    <w:rsid w:val="00683C06"/>
    <w:rsid w:val="0068412F"/>
    <w:rsid w:val="006842F2"/>
    <w:rsid w:val="00684B22"/>
    <w:rsid w:val="00684E62"/>
    <w:rsid w:val="00684E9F"/>
    <w:rsid w:val="00684FAC"/>
    <w:rsid w:val="0068515F"/>
    <w:rsid w:val="00685361"/>
    <w:rsid w:val="00685395"/>
    <w:rsid w:val="006853CC"/>
    <w:rsid w:val="006856C5"/>
    <w:rsid w:val="0068585A"/>
    <w:rsid w:val="00685ED4"/>
    <w:rsid w:val="00685FF4"/>
    <w:rsid w:val="006861C9"/>
    <w:rsid w:val="00686309"/>
    <w:rsid w:val="0068632A"/>
    <w:rsid w:val="006863B3"/>
    <w:rsid w:val="006863EE"/>
    <w:rsid w:val="006864EC"/>
    <w:rsid w:val="006869E5"/>
    <w:rsid w:val="00686CD3"/>
    <w:rsid w:val="00687311"/>
    <w:rsid w:val="006877F0"/>
    <w:rsid w:val="0068788D"/>
    <w:rsid w:val="006878FC"/>
    <w:rsid w:val="00687ACD"/>
    <w:rsid w:val="00687AFD"/>
    <w:rsid w:val="00687B02"/>
    <w:rsid w:val="00687B75"/>
    <w:rsid w:val="00687C12"/>
    <w:rsid w:val="00687C38"/>
    <w:rsid w:val="00687DB5"/>
    <w:rsid w:val="00690236"/>
    <w:rsid w:val="006906F1"/>
    <w:rsid w:val="00690801"/>
    <w:rsid w:val="00690A58"/>
    <w:rsid w:val="00690AC7"/>
    <w:rsid w:val="00690AD2"/>
    <w:rsid w:val="00690B35"/>
    <w:rsid w:val="00690BEC"/>
    <w:rsid w:val="00690CBA"/>
    <w:rsid w:val="00690D5A"/>
    <w:rsid w:val="0069107A"/>
    <w:rsid w:val="006913B3"/>
    <w:rsid w:val="006914EA"/>
    <w:rsid w:val="0069192B"/>
    <w:rsid w:val="006919C2"/>
    <w:rsid w:val="00691D5F"/>
    <w:rsid w:val="00691E83"/>
    <w:rsid w:val="00691EF3"/>
    <w:rsid w:val="00692110"/>
    <w:rsid w:val="006922EB"/>
    <w:rsid w:val="00692480"/>
    <w:rsid w:val="006924CF"/>
    <w:rsid w:val="00692537"/>
    <w:rsid w:val="006927C5"/>
    <w:rsid w:val="00692A05"/>
    <w:rsid w:val="00692E8A"/>
    <w:rsid w:val="00692FDA"/>
    <w:rsid w:val="00693335"/>
    <w:rsid w:val="00693417"/>
    <w:rsid w:val="00693A63"/>
    <w:rsid w:val="00693D60"/>
    <w:rsid w:val="00693EFF"/>
    <w:rsid w:val="00693F64"/>
    <w:rsid w:val="00694594"/>
    <w:rsid w:val="00694867"/>
    <w:rsid w:val="0069490B"/>
    <w:rsid w:val="00694A21"/>
    <w:rsid w:val="00694A8E"/>
    <w:rsid w:val="00694C7B"/>
    <w:rsid w:val="00694D81"/>
    <w:rsid w:val="00694E5E"/>
    <w:rsid w:val="00695086"/>
    <w:rsid w:val="006951D9"/>
    <w:rsid w:val="006955EE"/>
    <w:rsid w:val="00695823"/>
    <w:rsid w:val="00695826"/>
    <w:rsid w:val="006958B0"/>
    <w:rsid w:val="00695EB6"/>
    <w:rsid w:val="0069617E"/>
    <w:rsid w:val="0069652E"/>
    <w:rsid w:val="00696684"/>
    <w:rsid w:val="0069684C"/>
    <w:rsid w:val="006969D2"/>
    <w:rsid w:val="00696AB3"/>
    <w:rsid w:val="00696AC5"/>
    <w:rsid w:val="00696D53"/>
    <w:rsid w:val="00697079"/>
    <w:rsid w:val="0069711D"/>
    <w:rsid w:val="00697232"/>
    <w:rsid w:val="006972CD"/>
    <w:rsid w:val="00697595"/>
    <w:rsid w:val="00697689"/>
    <w:rsid w:val="0069799D"/>
    <w:rsid w:val="006979BF"/>
    <w:rsid w:val="006979EB"/>
    <w:rsid w:val="00697B31"/>
    <w:rsid w:val="00697DA9"/>
    <w:rsid w:val="00697F9B"/>
    <w:rsid w:val="00697FB0"/>
    <w:rsid w:val="006A0192"/>
    <w:rsid w:val="006A0414"/>
    <w:rsid w:val="006A0584"/>
    <w:rsid w:val="006A05C6"/>
    <w:rsid w:val="006A0A16"/>
    <w:rsid w:val="006A0B8D"/>
    <w:rsid w:val="006A0C98"/>
    <w:rsid w:val="006A0D21"/>
    <w:rsid w:val="006A0D8E"/>
    <w:rsid w:val="006A1207"/>
    <w:rsid w:val="006A13BD"/>
    <w:rsid w:val="006A15C9"/>
    <w:rsid w:val="006A1962"/>
    <w:rsid w:val="006A1AD3"/>
    <w:rsid w:val="006A1B09"/>
    <w:rsid w:val="006A1B84"/>
    <w:rsid w:val="006A1DF6"/>
    <w:rsid w:val="006A208C"/>
    <w:rsid w:val="006A2145"/>
    <w:rsid w:val="006A224E"/>
    <w:rsid w:val="006A22D8"/>
    <w:rsid w:val="006A22DE"/>
    <w:rsid w:val="006A23E4"/>
    <w:rsid w:val="006A24F6"/>
    <w:rsid w:val="006A25C1"/>
    <w:rsid w:val="006A25D5"/>
    <w:rsid w:val="006A2608"/>
    <w:rsid w:val="006A2621"/>
    <w:rsid w:val="006A27B1"/>
    <w:rsid w:val="006A27D4"/>
    <w:rsid w:val="006A288A"/>
    <w:rsid w:val="006A2B6E"/>
    <w:rsid w:val="006A2C96"/>
    <w:rsid w:val="006A3011"/>
    <w:rsid w:val="006A3385"/>
    <w:rsid w:val="006A33E6"/>
    <w:rsid w:val="006A3562"/>
    <w:rsid w:val="006A3583"/>
    <w:rsid w:val="006A3D68"/>
    <w:rsid w:val="006A3DB7"/>
    <w:rsid w:val="006A4015"/>
    <w:rsid w:val="006A408B"/>
    <w:rsid w:val="006A40C6"/>
    <w:rsid w:val="006A41D3"/>
    <w:rsid w:val="006A4387"/>
    <w:rsid w:val="006A4390"/>
    <w:rsid w:val="006A4530"/>
    <w:rsid w:val="006A4659"/>
    <w:rsid w:val="006A4967"/>
    <w:rsid w:val="006A498A"/>
    <w:rsid w:val="006A4A4B"/>
    <w:rsid w:val="006A4ADD"/>
    <w:rsid w:val="006A4B13"/>
    <w:rsid w:val="006A4C8A"/>
    <w:rsid w:val="006A4CBE"/>
    <w:rsid w:val="006A504B"/>
    <w:rsid w:val="006A50D4"/>
    <w:rsid w:val="006A53C7"/>
    <w:rsid w:val="006A5548"/>
    <w:rsid w:val="006A58CC"/>
    <w:rsid w:val="006A592B"/>
    <w:rsid w:val="006A5EA6"/>
    <w:rsid w:val="006A6100"/>
    <w:rsid w:val="006A6133"/>
    <w:rsid w:val="006A614B"/>
    <w:rsid w:val="006A6448"/>
    <w:rsid w:val="006A6493"/>
    <w:rsid w:val="006A6ADE"/>
    <w:rsid w:val="006A6C60"/>
    <w:rsid w:val="006A6CFD"/>
    <w:rsid w:val="006A6DC6"/>
    <w:rsid w:val="006A6E51"/>
    <w:rsid w:val="006A7137"/>
    <w:rsid w:val="006A715D"/>
    <w:rsid w:val="006A7178"/>
    <w:rsid w:val="006A7604"/>
    <w:rsid w:val="006A77D5"/>
    <w:rsid w:val="006A7C59"/>
    <w:rsid w:val="006A7CFE"/>
    <w:rsid w:val="006A7D95"/>
    <w:rsid w:val="006A7FF2"/>
    <w:rsid w:val="006B0067"/>
    <w:rsid w:val="006B0914"/>
    <w:rsid w:val="006B0920"/>
    <w:rsid w:val="006B0B03"/>
    <w:rsid w:val="006B0C61"/>
    <w:rsid w:val="006B0DA8"/>
    <w:rsid w:val="006B0E81"/>
    <w:rsid w:val="006B0F38"/>
    <w:rsid w:val="006B0F54"/>
    <w:rsid w:val="006B11ED"/>
    <w:rsid w:val="006B14BF"/>
    <w:rsid w:val="006B1AD4"/>
    <w:rsid w:val="006B1C09"/>
    <w:rsid w:val="006B1E7E"/>
    <w:rsid w:val="006B1FD3"/>
    <w:rsid w:val="006B27C6"/>
    <w:rsid w:val="006B2978"/>
    <w:rsid w:val="006B29BE"/>
    <w:rsid w:val="006B2A42"/>
    <w:rsid w:val="006B2B93"/>
    <w:rsid w:val="006B2CA9"/>
    <w:rsid w:val="006B30FB"/>
    <w:rsid w:val="006B3354"/>
    <w:rsid w:val="006B34CD"/>
    <w:rsid w:val="006B36FD"/>
    <w:rsid w:val="006B37F0"/>
    <w:rsid w:val="006B3BD3"/>
    <w:rsid w:val="006B3EF9"/>
    <w:rsid w:val="006B3F0D"/>
    <w:rsid w:val="006B4007"/>
    <w:rsid w:val="006B434B"/>
    <w:rsid w:val="006B44BB"/>
    <w:rsid w:val="006B482D"/>
    <w:rsid w:val="006B48B4"/>
    <w:rsid w:val="006B48BA"/>
    <w:rsid w:val="006B4B8E"/>
    <w:rsid w:val="006B4DD9"/>
    <w:rsid w:val="006B4E6A"/>
    <w:rsid w:val="006B5008"/>
    <w:rsid w:val="006B52C8"/>
    <w:rsid w:val="006B552F"/>
    <w:rsid w:val="006B5550"/>
    <w:rsid w:val="006B5568"/>
    <w:rsid w:val="006B566F"/>
    <w:rsid w:val="006B588E"/>
    <w:rsid w:val="006B59F5"/>
    <w:rsid w:val="006B5F80"/>
    <w:rsid w:val="006B602B"/>
    <w:rsid w:val="006B604C"/>
    <w:rsid w:val="006B60B4"/>
    <w:rsid w:val="006B644D"/>
    <w:rsid w:val="006B67CF"/>
    <w:rsid w:val="006B6B6C"/>
    <w:rsid w:val="006B6D4C"/>
    <w:rsid w:val="006B6D66"/>
    <w:rsid w:val="006B715B"/>
    <w:rsid w:val="006B75AA"/>
    <w:rsid w:val="006B769A"/>
    <w:rsid w:val="006B7718"/>
    <w:rsid w:val="006B78AB"/>
    <w:rsid w:val="006B794F"/>
    <w:rsid w:val="006B79A8"/>
    <w:rsid w:val="006B79D7"/>
    <w:rsid w:val="006B7AA0"/>
    <w:rsid w:val="006B7B6C"/>
    <w:rsid w:val="006B7C10"/>
    <w:rsid w:val="006B7E15"/>
    <w:rsid w:val="006B7F26"/>
    <w:rsid w:val="006B7F9D"/>
    <w:rsid w:val="006B7FE9"/>
    <w:rsid w:val="006C013A"/>
    <w:rsid w:val="006C0B8C"/>
    <w:rsid w:val="006C0E54"/>
    <w:rsid w:val="006C11D3"/>
    <w:rsid w:val="006C1227"/>
    <w:rsid w:val="006C1262"/>
    <w:rsid w:val="006C148A"/>
    <w:rsid w:val="006C1532"/>
    <w:rsid w:val="006C15F8"/>
    <w:rsid w:val="006C1793"/>
    <w:rsid w:val="006C18A4"/>
    <w:rsid w:val="006C18C3"/>
    <w:rsid w:val="006C1BF4"/>
    <w:rsid w:val="006C1F10"/>
    <w:rsid w:val="006C1FFC"/>
    <w:rsid w:val="006C212E"/>
    <w:rsid w:val="006C215F"/>
    <w:rsid w:val="006C2892"/>
    <w:rsid w:val="006C2997"/>
    <w:rsid w:val="006C2AAB"/>
    <w:rsid w:val="006C2C06"/>
    <w:rsid w:val="006C2CA8"/>
    <w:rsid w:val="006C2CE6"/>
    <w:rsid w:val="006C2E0C"/>
    <w:rsid w:val="006C2E86"/>
    <w:rsid w:val="006C2F4D"/>
    <w:rsid w:val="006C2FB6"/>
    <w:rsid w:val="006C2FD3"/>
    <w:rsid w:val="006C306A"/>
    <w:rsid w:val="006C30CF"/>
    <w:rsid w:val="006C345B"/>
    <w:rsid w:val="006C3860"/>
    <w:rsid w:val="006C3946"/>
    <w:rsid w:val="006C3D52"/>
    <w:rsid w:val="006C3E1C"/>
    <w:rsid w:val="006C3E82"/>
    <w:rsid w:val="006C3E8E"/>
    <w:rsid w:val="006C4048"/>
    <w:rsid w:val="006C407D"/>
    <w:rsid w:val="006C4093"/>
    <w:rsid w:val="006C4240"/>
    <w:rsid w:val="006C425A"/>
    <w:rsid w:val="006C444D"/>
    <w:rsid w:val="006C4559"/>
    <w:rsid w:val="006C491D"/>
    <w:rsid w:val="006C4A03"/>
    <w:rsid w:val="006C4C8C"/>
    <w:rsid w:val="006C5199"/>
    <w:rsid w:val="006C520B"/>
    <w:rsid w:val="006C523E"/>
    <w:rsid w:val="006C525D"/>
    <w:rsid w:val="006C54D6"/>
    <w:rsid w:val="006C5B37"/>
    <w:rsid w:val="006C5EBC"/>
    <w:rsid w:val="006C64CA"/>
    <w:rsid w:val="006C6579"/>
    <w:rsid w:val="006C6621"/>
    <w:rsid w:val="006C6CBC"/>
    <w:rsid w:val="006C6FE5"/>
    <w:rsid w:val="006C704B"/>
    <w:rsid w:val="006C7289"/>
    <w:rsid w:val="006C73FC"/>
    <w:rsid w:val="006C74EE"/>
    <w:rsid w:val="006C7509"/>
    <w:rsid w:val="006C76BB"/>
    <w:rsid w:val="006C7A4A"/>
    <w:rsid w:val="006C7B2D"/>
    <w:rsid w:val="006C7D14"/>
    <w:rsid w:val="006C7D1F"/>
    <w:rsid w:val="006C7F3B"/>
    <w:rsid w:val="006D01DC"/>
    <w:rsid w:val="006D0619"/>
    <w:rsid w:val="006D0907"/>
    <w:rsid w:val="006D0B16"/>
    <w:rsid w:val="006D10E0"/>
    <w:rsid w:val="006D1298"/>
    <w:rsid w:val="006D13CF"/>
    <w:rsid w:val="006D1510"/>
    <w:rsid w:val="006D16A8"/>
    <w:rsid w:val="006D1A9C"/>
    <w:rsid w:val="006D1CBF"/>
    <w:rsid w:val="006D1CC1"/>
    <w:rsid w:val="006D1E1E"/>
    <w:rsid w:val="006D2485"/>
    <w:rsid w:val="006D27F0"/>
    <w:rsid w:val="006D2A9F"/>
    <w:rsid w:val="006D2BF6"/>
    <w:rsid w:val="006D2C33"/>
    <w:rsid w:val="006D2F8D"/>
    <w:rsid w:val="006D304F"/>
    <w:rsid w:val="006D3289"/>
    <w:rsid w:val="006D3329"/>
    <w:rsid w:val="006D332C"/>
    <w:rsid w:val="006D3477"/>
    <w:rsid w:val="006D34EB"/>
    <w:rsid w:val="006D39BE"/>
    <w:rsid w:val="006D3B3B"/>
    <w:rsid w:val="006D3B65"/>
    <w:rsid w:val="006D3B9B"/>
    <w:rsid w:val="006D3C61"/>
    <w:rsid w:val="006D3DB0"/>
    <w:rsid w:val="006D41F5"/>
    <w:rsid w:val="006D43DE"/>
    <w:rsid w:val="006D451E"/>
    <w:rsid w:val="006D4613"/>
    <w:rsid w:val="006D46CF"/>
    <w:rsid w:val="006D4835"/>
    <w:rsid w:val="006D4866"/>
    <w:rsid w:val="006D4905"/>
    <w:rsid w:val="006D4952"/>
    <w:rsid w:val="006D4962"/>
    <w:rsid w:val="006D4BAE"/>
    <w:rsid w:val="006D4C69"/>
    <w:rsid w:val="006D4CD1"/>
    <w:rsid w:val="006D4F08"/>
    <w:rsid w:val="006D5090"/>
    <w:rsid w:val="006D53BE"/>
    <w:rsid w:val="006D556F"/>
    <w:rsid w:val="006D5744"/>
    <w:rsid w:val="006D581D"/>
    <w:rsid w:val="006D5838"/>
    <w:rsid w:val="006D595C"/>
    <w:rsid w:val="006D5B3D"/>
    <w:rsid w:val="006D5C03"/>
    <w:rsid w:val="006D5D06"/>
    <w:rsid w:val="006D5EA8"/>
    <w:rsid w:val="006D5EE2"/>
    <w:rsid w:val="006D5FB5"/>
    <w:rsid w:val="006D6381"/>
    <w:rsid w:val="006D645A"/>
    <w:rsid w:val="006D64F5"/>
    <w:rsid w:val="006D6587"/>
    <w:rsid w:val="006D6601"/>
    <w:rsid w:val="006D6779"/>
    <w:rsid w:val="006D6E4F"/>
    <w:rsid w:val="006D70F6"/>
    <w:rsid w:val="006D721D"/>
    <w:rsid w:val="006D7358"/>
    <w:rsid w:val="006D7607"/>
    <w:rsid w:val="006D7625"/>
    <w:rsid w:val="006D7768"/>
    <w:rsid w:val="006D7931"/>
    <w:rsid w:val="006D79EF"/>
    <w:rsid w:val="006D7B22"/>
    <w:rsid w:val="006D7CCD"/>
    <w:rsid w:val="006E0090"/>
    <w:rsid w:val="006E00B4"/>
    <w:rsid w:val="006E0208"/>
    <w:rsid w:val="006E029B"/>
    <w:rsid w:val="006E03BD"/>
    <w:rsid w:val="006E0624"/>
    <w:rsid w:val="006E097A"/>
    <w:rsid w:val="006E0A5E"/>
    <w:rsid w:val="006E0C92"/>
    <w:rsid w:val="006E0F5F"/>
    <w:rsid w:val="006E1346"/>
    <w:rsid w:val="006E168C"/>
    <w:rsid w:val="006E1699"/>
    <w:rsid w:val="006E1788"/>
    <w:rsid w:val="006E1B0E"/>
    <w:rsid w:val="006E1C12"/>
    <w:rsid w:val="006E2381"/>
    <w:rsid w:val="006E23C9"/>
    <w:rsid w:val="006E26DE"/>
    <w:rsid w:val="006E2BED"/>
    <w:rsid w:val="006E2D01"/>
    <w:rsid w:val="006E2D94"/>
    <w:rsid w:val="006E2DB1"/>
    <w:rsid w:val="006E2FC9"/>
    <w:rsid w:val="006E33C3"/>
    <w:rsid w:val="006E34D9"/>
    <w:rsid w:val="006E34DF"/>
    <w:rsid w:val="006E3C1C"/>
    <w:rsid w:val="006E3C3D"/>
    <w:rsid w:val="006E3E5E"/>
    <w:rsid w:val="006E3EF5"/>
    <w:rsid w:val="006E3F6C"/>
    <w:rsid w:val="006E4089"/>
    <w:rsid w:val="006E4185"/>
    <w:rsid w:val="006E4192"/>
    <w:rsid w:val="006E42B4"/>
    <w:rsid w:val="006E4439"/>
    <w:rsid w:val="006E4600"/>
    <w:rsid w:val="006E490A"/>
    <w:rsid w:val="006E4AB8"/>
    <w:rsid w:val="006E4E20"/>
    <w:rsid w:val="006E5031"/>
    <w:rsid w:val="006E505F"/>
    <w:rsid w:val="006E518E"/>
    <w:rsid w:val="006E5651"/>
    <w:rsid w:val="006E59C8"/>
    <w:rsid w:val="006E5A67"/>
    <w:rsid w:val="006E5C69"/>
    <w:rsid w:val="006E5D88"/>
    <w:rsid w:val="006E5DCD"/>
    <w:rsid w:val="006E5E28"/>
    <w:rsid w:val="006E5EB4"/>
    <w:rsid w:val="006E5F89"/>
    <w:rsid w:val="006E5FCC"/>
    <w:rsid w:val="006E5FE1"/>
    <w:rsid w:val="006E60C7"/>
    <w:rsid w:val="006E622B"/>
    <w:rsid w:val="006E632E"/>
    <w:rsid w:val="006E6574"/>
    <w:rsid w:val="006E6768"/>
    <w:rsid w:val="006E67FA"/>
    <w:rsid w:val="006E68A0"/>
    <w:rsid w:val="006E69BB"/>
    <w:rsid w:val="006E69F1"/>
    <w:rsid w:val="006E6BDF"/>
    <w:rsid w:val="006E6C1E"/>
    <w:rsid w:val="006E6CA1"/>
    <w:rsid w:val="006E6E8D"/>
    <w:rsid w:val="006E6F15"/>
    <w:rsid w:val="006E7850"/>
    <w:rsid w:val="006E7A13"/>
    <w:rsid w:val="006E7A39"/>
    <w:rsid w:val="006E7A41"/>
    <w:rsid w:val="006E7ACC"/>
    <w:rsid w:val="006E7D9E"/>
    <w:rsid w:val="006E7E79"/>
    <w:rsid w:val="006F05D7"/>
    <w:rsid w:val="006F0B51"/>
    <w:rsid w:val="006F0BA1"/>
    <w:rsid w:val="006F0E20"/>
    <w:rsid w:val="006F0F7B"/>
    <w:rsid w:val="006F1011"/>
    <w:rsid w:val="006F11E4"/>
    <w:rsid w:val="006F1217"/>
    <w:rsid w:val="006F12E8"/>
    <w:rsid w:val="006F142B"/>
    <w:rsid w:val="006F144E"/>
    <w:rsid w:val="006F158C"/>
    <w:rsid w:val="006F17F6"/>
    <w:rsid w:val="006F1C49"/>
    <w:rsid w:val="006F202E"/>
    <w:rsid w:val="006F21E9"/>
    <w:rsid w:val="006F221E"/>
    <w:rsid w:val="006F231E"/>
    <w:rsid w:val="006F233A"/>
    <w:rsid w:val="006F27B2"/>
    <w:rsid w:val="006F27C4"/>
    <w:rsid w:val="006F2842"/>
    <w:rsid w:val="006F2BBA"/>
    <w:rsid w:val="006F2DFC"/>
    <w:rsid w:val="006F2E24"/>
    <w:rsid w:val="006F2E5A"/>
    <w:rsid w:val="006F2EAB"/>
    <w:rsid w:val="006F2F05"/>
    <w:rsid w:val="006F301D"/>
    <w:rsid w:val="006F34C1"/>
    <w:rsid w:val="006F369D"/>
    <w:rsid w:val="006F386C"/>
    <w:rsid w:val="006F3970"/>
    <w:rsid w:val="006F3A03"/>
    <w:rsid w:val="006F3C60"/>
    <w:rsid w:val="006F3CC8"/>
    <w:rsid w:val="006F3E63"/>
    <w:rsid w:val="006F3F27"/>
    <w:rsid w:val="006F41A8"/>
    <w:rsid w:val="006F4294"/>
    <w:rsid w:val="006F47A2"/>
    <w:rsid w:val="006F47D8"/>
    <w:rsid w:val="006F49BF"/>
    <w:rsid w:val="006F4DB6"/>
    <w:rsid w:val="006F4DBB"/>
    <w:rsid w:val="006F50FB"/>
    <w:rsid w:val="006F529D"/>
    <w:rsid w:val="006F5899"/>
    <w:rsid w:val="006F5B06"/>
    <w:rsid w:val="006F5B64"/>
    <w:rsid w:val="006F5C85"/>
    <w:rsid w:val="006F5CC4"/>
    <w:rsid w:val="006F5E43"/>
    <w:rsid w:val="006F610C"/>
    <w:rsid w:val="006F6493"/>
    <w:rsid w:val="006F65A2"/>
    <w:rsid w:val="006F662E"/>
    <w:rsid w:val="006F66A6"/>
    <w:rsid w:val="006F6701"/>
    <w:rsid w:val="006F6849"/>
    <w:rsid w:val="006F686C"/>
    <w:rsid w:val="006F6880"/>
    <w:rsid w:val="006F6972"/>
    <w:rsid w:val="006F6C46"/>
    <w:rsid w:val="006F6D97"/>
    <w:rsid w:val="006F7002"/>
    <w:rsid w:val="006F70B8"/>
    <w:rsid w:val="006F7152"/>
    <w:rsid w:val="006F73B6"/>
    <w:rsid w:val="006F75C2"/>
    <w:rsid w:val="006F78D3"/>
    <w:rsid w:val="006F7A9D"/>
    <w:rsid w:val="006F7B42"/>
    <w:rsid w:val="006F7E52"/>
    <w:rsid w:val="007000E8"/>
    <w:rsid w:val="007001DF"/>
    <w:rsid w:val="0070023E"/>
    <w:rsid w:val="00700307"/>
    <w:rsid w:val="00700666"/>
    <w:rsid w:val="00700926"/>
    <w:rsid w:val="00700A3B"/>
    <w:rsid w:val="00700A85"/>
    <w:rsid w:val="00700ADC"/>
    <w:rsid w:val="00700C57"/>
    <w:rsid w:val="00700DAC"/>
    <w:rsid w:val="00700F8B"/>
    <w:rsid w:val="00700FAE"/>
    <w:rsid w:val="00700FFE"/>
    <w:rsid w:val="00701271"/>
    <w:rsid w:val="0070132E"/>
    <w:rsid w:val="00701357"/>
    <w:rsid w:val="0070141A"/>
    <w:rsid w:val="007014D0"/>
    <w:rsid w:val="00701C49"/>
    <w:rsid w:val="00701CC9"/>
    <w:rsid w:val="00701CD9"/>
    <w:rsid w:val="007023C6"/>
    <w:rsid w:val="0070266D"/>
    <w:rsid w:val="00702AF7"/>
    <w:rsid w:val="00702D6E"/>
    <w:rsid w:val="00702DD8"/>
    <w:rsid w:val="00702F68"/>
    <w:rsid w:val="00703090"/>
    <w:rsid w:val="00703682"/>
    <w:rsid w:val="00703812"/>
    <w:rsid w:val="007039A1"/>
    <w:rsid w:val="00703A55"/>
    <w:rsid w:val="00703C0F"/>
    <w:rsid w:val="00703C69"/>
    <w:rsid w:val="00703CEA"/>
    <w:rsid w:val="00703E39"/>
    <w:rsid w:val="00704078"/>
    <w:rsid w:val="00704796"/>
    <w:rsid w:val="00704840"/>
    <w:rsid w:val="007048F3"/>
    <w:rsid w:val="0070499A"/>
    <w:rsid w:val="00704B46"/>
    <w:rsid w:val="00704C83"/>
    <w:rsid w:val="00704E13"/>
    <w:rsid w:val="00704F1A"/>
    <w:rsid w:val="00704FDB"/>
    <w:rsid w:val="007054AE"/>
    <w:rsid w:val="0070552D"/>
    <w:rsid w:val="007056D5"/>
    <w:rsid w:val="00705834"/>
    <w:rsid w:val="007058A6"/>
    <w:rsid w:val="00705CEA"/>
    <w:rsid w:val="00705D84"/>
    <w:rsid w:val="00705FB9"/>
    <w:rsid w:val="007062F2"/>
    <w:rsid w:val="0070658E"/>
    <w:rsid w:val="007068A0"/>
    <w:rsid w:val="00706B7B"/>
    <w:rsid w:val="00706C0A"/>
    <w:rsid w:val="00706C48"/>
    <w:rsid w:val="00706D31"/>
    <w:rsid w:val="00706E53"/>
    <w:rsid w:val="00706F06"/>
    <w:rsid w:val="00706F29"/>
    <w:rsid w:val="00707071"/>
    <w:rsid w:val="00707139"/>
    <w:rsid w:val="0070720B"/>
    <w:rsid w:val="00707438"/>
    <w:rsid w:val="007079D9"/>
    <w:rsid w:val="00707B1B"/>
    <w:rsid w:val="00707C17"/>
    <w:rsid w:val="00710087"/>
    <w:rsid w:val="0071015A"/>
    <w:rsid w:val="00710312"/>
    <w:rsid w:val="007103A7"/>
    <w:rsid w:val="00710522"/>
    <w:rsid w:val="007105E9"/>
    <w:rsid w:val="0071066B"/>
    <w:rsid w:val="00710A77"/>
    <w:rsid w:val="00710B35"/>
    <w:rsid w:val="00710B87"/>
    <w:rsid w:val="00710D32"/>
    <w:rsid w:val="00710E76"/>
    <w:rsid w:val="00710EF6"/>
    <w:rsid w:val="00710F23"/>
    <w:rsid w:val="00710FBA"/>
    <w:rsid w:val="007111E2"/>
    <w:rsid w:val="00711514"/>
    <w:rsid w:val="007116EE"/>
    <w:rsid w:val="00711717"/>
    <w:rsid w:val="00711755"/>
    <w:rsid w:val="00711AD2"/>
    <w:rsid w:val="00711D00"/>
    <w:rsid w:val="00711EAD"/>
    <w:rsid w:val="00711F2A"/>
    <w:rsid w:val="00711FC0"/>
    <w:rsid w:val="00712052"/>
    <w:rsid w:val="00712446"/>
    <w:rsid w:val="007124C5"/>
    <w:rsid w:val="007125E4"/>
    <w:rsid w:val="007128B0"/>
    <w:rsid w:val="007129BC"/>
    <w:rsid w:val="00712A38"/>
    <w:rsid w:val="00712A97"/>
    <w:rsid w:val="00712BFD"/>
    <w:rsid w:val="00712F9D"/>
    <w:rsid w:val="007134FD"/>
    <w:rsid w:val="0071393F"/>
    <w:rsid w:val="007139EF"/>
    <w:rsid w:val="00713B76"/>
    <w:rsid w:val="00713BA1"/>
    <w:rsid w:val="00713C38"/>
    <w:rsid w:val="00713CA4"/>
    <w:rsid w:val="0071429C"/>
    <w:rsid w:val="00714556"/>
    <w:rsid w:val="00714773"/>
    <w:rsid w:val="00714C41"/>
    <w:rsid w:val="00714CF2"/>
    <w:rsid w:val="00714DC5"/>
    <w:rsid w:val="00714F07"/>
    <w:rsid w:val="00714FFA"/>
    <w:rsid w:val="0071503C"/>
    <w:rsid w:val="00715275"/>
    <w:rsid w:val="0071534E"/>
    <w:rsid w:val="00715368"/>
    <w:rsid w:val="00715382"/>
    <w:rsid w:val="007156B9"/>
    <w:rsid w:val="00715710"/>
    <w:rsid w:val="00715726"/>
    <w:rsid w:val="007158AE"/>
    <w:rsid w:val="007158C1"/>
    <w:rsid w:val="00715A86"/>
    <w:rsid w:val="00715A87"/>
    <w:rsid w:val="00715C58"/>
    <w:rsid w:val="00715DDB"/>
    <w:rsid w:val="00715DE4"/>
    <w:rsid w:val="00716150"/>
    <w:rsid w:val="007161D9"/>
    <w:rsid w:val="0071655B"/>
    <w:rsid w:val="0071685A"/>
    <w:rsid w:val="00716A53"/>
    <w:rsid w:val="00716B26"/>
    <w:rsid w:val="00716C86"/>
    <w:rsid w:val="00717063"/>
    <w:rsid w:val="007170F2"/>
    <w:rsid w:val="0071731B"/>
    <w:rsid w:val="00717394"/>
    <w:rsid w:val="007174FF"/>
    <w:rsid w:val="00717514"/>
    <w:rsid w:val="00717576"/>
    <w:rsid w:val="007175EE"/>
    <w:rsid w:val="007176AB"/>
    <w:rsid w:val="007176DC"/>
    <w:rsid w:val="00717734"/>
    <w:rsid w:val="00717798"/>
    <w:rsid w:val="0071799E"/>
    <w:rsid w:val="00717A51"/>
    <w:rsid w:val="00717B3B"/>
    <w:rsid w:val="00717BFF"/>
    <w:rsid w:val="00717DF4"/>
    <w:rsid w:val="00717E44"/>
    <w:rsid w:val="00717E47"/>
    <w:rsid w:val="00717E7C"/>
    <w:rsid w:val="00717FA9"/>
    <w:rsid w:val="0072007D"/>
    <w:rsid w:val="007201C6"/>
    <w:rsid w:val="0072033B"/>
    <w:rsid w:val="007207C3"/>
    <w:rsid w:val="00720817"/>
    <w:rsid w:val="00720958"/>
    <w:rsid w:val="00720972"/>
    <w:rsid w:val="00720A0A"/>
    <w:rsid w:val="00720B24"/>
    <w:rsid w:val="00720D70"/>
    <w:rsid w:val="00720D9B"/>
    <w:rsid w:val="00720E08"/>
    <w:rsid w:val="00720F4E"/>
    <w:rsid w:val="00720FE8"/>
    <w:rsid w:val="007212D1"/>
    <w:rsid w:val="0072141F"/>
    <w:rsid w:val="007214E0"/>
    <w:rsid w:val="007215A6"/>
    <w:rsid w:val="007215E0"/>
    <w:rsid w:val="00721634"/>
    <w:rsid w:val="00721694"/>
    <w:rsid w:val="0072175D"/>
    <w:rsid w:val="00721782"/>
    <w:rsid w:val="007217F7"/>
    <w:rsid w:val="00721990"/>
    <w:rsid w:val="00721CC3"/>
    <w:rsid w:val="00721D98"/>
    <w:rsid w:val="00721E0D"/>
    <w:rsid w:val="00721F65"/>
    <w:rsid w:val="0072216C"/>
    <w:rsid w:val="00722725"/>
    <w:rsid w:val="00722850"/>
    <w:rsid w:val="00722854"/>
    <w:rsid w:val="00722952"/>
    <w:rsid w:val="00722D44"/>
    <w:rsid w:val="007231FD"/>
    <w:rsid w:val="00723234"/>
    <w:rsid w:val="007232DD"/>
    <w:rsid w:val="00723327"/>
    <w:rsid w:val="0072354E"/>
    <w:rsid w:val="00723AE6"/>
    <w:rsid w:val="00723BB4"/>
    <w:rsid w:val="00723C5E"/>
    <w:rsid w:val="00723EE0"/>
    <w:rsid w:val="007241B6"/>
    <w:rsid w:val="007241DB"/>
    <w:rsid w:val="00724410"/>
    <w:rsid w:val="007244D0"/>
    <w:rsid w:val="00724939"/>
    <w:rsid w:val="00724947"/>
    <w:rsid w:val="00724A7F"/>
    <w:rsid w:val="00724BBA"/>
    <w:rsid w:val="00724BBC"/>
    <w:rsid w:val="00724EDF"/>
    <w:rsid w:val="00725154"/>
    <w:rsid w:val="007253EF"/>
    <w:rsid w:val="00725643"/>
    <w:rsid w:val="007256A0"/>
    <w:rsid w:val="007257B8"/>
    <w:rsid w:val="007258A9"/>
    <w:rsid w:val="00725A64"/>
    <w:rsid w:val="00725B44"/>
    <w:rsid w:val="00725C2E"/>
    <w:rsid w:val="00725C5B"/>
    <w:rsid w:val="007261AC"/>
    <w:rsid w:val="00726425"/>
    <w:rsid w:val="0072662C"/>
    <w:rsid w:val="0072675C"/>
    <w:rsid w:val="007267A7"/>
    <w:rsid w:val="00726914"/>
    <w:rsid w:val="00726D42"/>
    <w:rsid w:val="00726EB5"/>
    <w:rsid w:val="00726FFE"/>
    <w:rsid w:val="00727246"/>
    <w:rsid w:val="00727C27"/>
    <w:rsid w:val="00727C77"/>
    <w:rsid w:val="00727D3C"/>
    <w:rsid w:val="00727DA1"/>
    <w:rsid w:val="007300DD"/>
    <w:rsid w:val="00730113"/>
    <w:rsid w:val="0073017D"/>
    <w:rsid w:val="0073023E"/>
    <w:rsid w:val="007307AC"/>
    <w:rsid w:val="00730B1D"/>
    <w:rsid w:val="00730BD1"/>
    <w:rsid w:val="00730D53"/>
    <w:rsid w:val="00730E26"/>
    <w:rsid w:val="00730F77"/>
    <w:rsid w:val="00731494"/>
    <w:rsid w:val="007314AA"/>
    <w:rsid w:val="00731BA3"/>
    <w:rsid w:val="00731C22"/>
    <w:rsid w:val="00731C6D"/>
    <w:rsid w:val="00731F20"/>
    <w:rsid w:val="00731F5D"/>
    <w:rsid w:val="00732064"/>
    <w:rsid w:val="00732206"/>
    <w:rsid w:val="00732277"/>
    <w:rsid w:val="007325AE"/>
    <w:rsid w:val="007326B5"/>
    <w:rsid w:val="0073271F"/>
    <w:rsid w:val="00732776"/>
    <w:rsid w:val="007327AD"/>
    <w:rsid w:val="00732BF3"/>
    <w:rsid w:val="0073309C"/>
    <w:rsid w:val="007330C2"/>
    <w:rsid w:val="00733315"/>
    <w:rsid w:val="00733444"/>
    <w:rsid w:val="0073353F"/>
    <w:rsid w:val="0073363E"/>
    <w:rsid w:val="00733799"/>
    <w:rsid w:val="007337CA"/>
    <w:rsid w:val="00733CD9"/>
    <w:rsid w:val="00733E3A"/>
    <w:rsid w:val="00733E7B"/>
    <w:rsid w:val="00733EDA"/>
    <w:rsid w:val="007342F2"/>
    <w:rsid w:val="00734601"/>
    <w:rsid w:val="007346A4"/>
    <w:rsid w:val="00734A26"/>
    <w:rsid w:val="00734A31"/>
    <w:rsid w:val="00734A33"/>
    <w:rsid w:val="00734A6E"/>
    <w:rsid w:val="007351DC"/>
    <w:rsid w:val="007352BF"/>
    <w:rsid w:val="0073559F"/>
    <w:rsid w:val="00735604"/>
    <w:rsid w:val="00735710"/>
    <w:rsid w:val="00735A91"/>
    <w:rsid w:val="00735A98"/>
    <w:rsid w:val="00735DEF"/>
    <w:rsid w:val="0073610D"/>
    <w:rsid w:val="007364D7"/>
    <w:rsid w:val="00736898"/>
    <w:rsid w:val="00737267"/>
    <w:rsid w:val="00737454"/>
    <w:rsid w:val="0073745F"/>
    <w:rsid w:val="0073749B"/>
    <w:rsid w:val="007375B4"/>
    <w:rsid w:val="007379CB"/>
    <w:rsid w:val="00737C13"/>
    <w:rsid w:val="00737CF8"/>
    <w:rsid w:val="00737EBB"/>
    <w:rsid w:val="00737EE9"/>
    <w:rsid w:val="00740030"/>
    <w:rsid w:val="007400B4"/>
    <w:rsid w:val="0074036F"/>
    <w:rsid w:val="0074055B"/>
    <w:rsid w:val="0074092E"/>
    <w:rsid w:val="00740950"/>
    <w:rsid w:val="007409D7"/>
    <w:rsid w:val="00740AB4"/>
    <w:rsid w:val="00740C81"/>
    <w:rsid w:val="00740CB8"/>
    <w:rsid w:val="00740EAD"/>
    <w:rsid w:val="00741011"/>
    <w:rsid w:val="00741014"/>
    <w:rsid w:val="00741041"/>
    <w:rsid w:val="00741246"/>
    <w:rsid w:val="007414D0"/>
    <w:rsid w:val="007415DC"/>
    <w:rsid w:val="007417B6"/>
    <w:rsid w:val="00741870"/>
    <w:rsid w:val="007419FD"/>
    <w:rsid w:val="00741A25"/>
    <w:rsid w:val="00741B59"/>
    <w:rsid w:val="00741BBF"/>
    <w:rsid w:val="00741CB5"/>
    <w:rsid w:val="007421BB"/>
    <w:rsid w:val="007423E0"/>
    <w:rsid w:val="007424A8"/>
    <w:rsid w:val="0074271A"/>
    <w:rsid w:val="007427F4"/>
    <w:rsid w:val="00742995"/>
    <w:rsid w:val="00742A5A"/>
    <w:rsid w:val="00742BEB"/>
    <w:rsid w:val="00742C2C"/>
    <w:rsid w:val="00742E45"/>
    <w:rsid w:val="00742F1E"/>
    <w:rsid w:val="00742F68"/>
    <w:rsid w:val="00743028"/>
    <w:rsid w:val="0074350F"/>
    <w:rsid w:val="00743658"/>
    <w:rsid w:val="00743767"/>
    <w:rsid w:val="007438A7"/>
    <w:rsid w:val="00743AAE"/>
    <w:rsid w:val="00743C19"/>
    <w:rsid w:val="00743DF1"/>
    <w:rsid w:val="00743EB7"/>
    <w:rsid w:val="0074423A"/>
    <w:rsid w:val="00744270"/>
    <w:rsid w:val="00744320"/>
    <w:rsid w:val="0074450C"/>
    <w:rsid w:val="00744653"/>
    <w:rsid w:val="007447AF"/>
    <w:rsid w:val="007447D1"/>
    <w:rsid w:val="007447D7"/>
    <w:rsid w:val="00744B36"/>
    <w:rsid w:val="00744F38"/>
    <w:rsid w:val="007450AE"/>
    <w:rsid w:val="00745160"/>
    <w:rsid w:val="0074539E"/>
    <w:rsid w:val="00745419"/>
    <w:rsid w:val="00745687"/>
    <w:rsid w:val="0074578F"/>
    <w:rsid w:val="0074586B"/>
    <w:rsid w:val="00745BC5"/>
    <w:rsid w:val="00745BDB"/>
    <w:rsid w:val="00745D57"/>
    <w:rsid w:val="00745FB8"/>
    <w:rsid w:val="007462F5"/>
    <w:rsid w:val="007464AD"/>
    <w:rsid w:val="007468B1"/>
    <w:rsid w:val="007469B2"/>
    <w:rsid w:val="007469DB"/>
    <w:rsid w:val="00746B66"/>
    <w:rsid w:val="00746F7C"/>
    <w:rsid w:val="00746FC6"/>
    <w:rsid w:val="007471CB"/>
    <w:rsid w:val="007477DA"/>
    <w:rsid w:val="0074784B"/>
    <w:rsid w:val="007478CA"/>
    <w:rsid w:val="00747B87"/>
    <w:rsid w:val="00747D2A"/>
    <w:rsid w:val="00747E43"/>
    <w:rsid w:val="00747E74"/>
    <w:rsid w:val="00747EDE"/>
    <w:rsid w:val="00750052"/>
    <w:rsid w:val="0075018F"/>
    <w:rsid w:val="007503BE"/>
    <w:rsid w:val="00750683"/>
    <w:rsid w:val="00750816"/>
    <w:rsid w:val="00750850"/>
    <w:rsid w:val="00750B89"/>
    <w:rsid w:val="00750C7F"/>
    <w:rsid w:val="00750D37"/>
    <w:rsid w:val="00750F01"/>
    <w:rsid w:val="00750FBD"/>
    <w:rsid w:val="00750FC2"/>
    <w:rsid w:val="007510F2"/>
    <w:rsid w:val="00751308"/>
    <w:rsid w:val="00751526"/>
    <w:rsid w:val="00751BA4"/>
    <w:rsid w:val="00751C76"/>
    <w:rsid w:val="00751D5C"/>
    <w:rsid w:val="00751D78"/>
    <w:rsid w:val="00751FAF"/>
    <w:rsid w:val="00752190"/>
    <w:rsid w:val="007523CA"/>
    <w:rsid w:val="007527D0"/>
    <w:rsid w:val="00752CF6"/>
    <w:rsid w:val="00753061"/>
    <w:rsid w:val="007531CD"/>
    <w:rsid w:val="00753775"/>
    <w:rsid w:val="00753B34"/>
    <w:rsid w:val="00753B38"/>
    <w:rsid w:val="00753C33"/>
    <w:rsid w:val="00753D08"/>
    <w:rsid w:val="007540BE"/>
    <w:rsid w:val="0075445D"/>
    <w:rsid w:val="00754A93"/>
    <w:rsid w:val="00754F48"/>
    <w:rsid w:val="00755528"/>
    <w:rsid w:val="00755573"/>
    <w:rsid w:val="00755A1C"/>
    <w:rsid w:val="00755CD9"/>
    <w:rsid w:val="007560EB"/>
    <w:rsid w:val="00756110"/>
    <w:rsid w:val="007561AD"/>
    <w:rsid w:val="0075626F"/>
    <w:rsid w:val="007562B1"/>
    <w:rsid w:val="007565A4"/>
    <w:rsid w:val="00756BFB"/>
    <w:rsid w:val="00756D1A"/>
    <w:rsid w:val="00756DB9"/>
    <w:rsid w:val="00756F37"/>
    <w:rsid w:val="00757046"/>
    <w:rsid w:val="00757075"/>
    <w:rsid w:val="00757109"/>
    <w:rsid w:val="00757285"/>
    <w:rsid w:val="007575AD"/>
    <w:rsid w:val="007576D5"/>
    <w:rsid w:val="00757AAB"/>
    <w:rsid w:val="00757AAD"/>
    <w:rsid w:val="00757B9C"/>
    <w:rsid w:val="00757BE8"/>
    <w:rsid w:val="00757C0E"/>
    <w:rsid w:val="00757DF7"/>
    <w:rsid w:val="00757FA9"/>
    <w:rsid w:val="0076099A"/>
    <w:rsid w:val="00760B0C"/>
    <w:rsid w:val="00760DFF"/>
    <w:rsid w:val="00760FC5"/>
    <w:rsid w:val="00760FE1"/>
    <w:rsid w:val="0076108D"/>
    <w:rsid w:val="007611C3"/>
    <w:rsid w:val="00761256"/>
    <w:rsid w:val="00761278"/>
    <w:rsid w:val="007615F2"/>
    <w:rsid w:val="007616C0"/>
    <w:rsid w:val="007617DA"/>
    <w:rsid w:val="00761A90"/>
    <w:rsid w:val="00762167"/>
    <w:rsid w:val="007621E0"/>
    <w:rsid w:val="00762221"/>
    <w:rsid w:val="007622C3"/>
    <w:rsid w:val="00762356"/>
    <w:rsid w:val="007623A1"/>
    <w:rsid w:val="007624F2"/>
    <w:rsid w:val="00762512"/>
    <w:rsid w:val="00762630"/>
    <w:rsid w:val="00762646"/>
    <w:rsid w:val="0076279B"/>
    <w:rsid w:val="007629CD"/>
    <w:rsid w:val="00762AEB"/>
    <w:rsid w:val="00762B3F"/>
    <w:rsid w:val="00762BAF"/>
    <w:rsid w:val="00762CDC"/>
    <w:rsid w:val="00762DA5"/>
    <w:rsid w:val="00762EBC"/>
    <w:rsid w:val="00762F0A"/>
    <w:rsid w:val="00762FE0"/>
    <w:rsid w:val="00763264"/>
    <w:rsid w:val="007632D9"/>
    <w:rsid w:val="007635DE"/>
    <w:rsid w:val="0076370B"/>
    <w:rsid w:val="0076396A"/>
    <w:rsid w:val="00763E0F"/>
    <w:rsid w:val="00763E52"/>
    <w:rsid w:val="007640A1"/>
    <w:rsid w:val="007641E1"/>
    <w:rsid w:val="007642CE"/>
    <w:rsid w:val="00764370"/>
    <w:rsid w:val="007643BE"/>
    <w:rsid w:val="00764402"/>
    <w:rsid w:val="00764532"/>
    <w:rsid w:val="007645C8"/>
    <w:rsid w:val="007645DD"/>
    <w:rsid w:val="00764702"/>
    <w:rsid w:val="0076489A"/>
    <w:rsid w:val="007649AE"/>
    <w:rsid w:val="00764D63"/>
    <w:rsid w:val="00764E72"/>
    <w:rsid w:val="00764EE1"/>
    <w:rsid w:val="00765036"/>
    <w:rsid w:val="00765090"/>
    <w:rsid w:val="00765098"/>
    <w:rsid w:val="007655E2"/>
    <w:rsid w:val="007657C1"/>
    <w:rsid w:val="007657F6"/>
    <w:rsid w:val="007659BA"/>
    <w:rsid w:val="00765A6C"/>
    <w:rsid w:val="00765A78"/>
    <w:rsid w:val="00765B89"/>
    <w:rsid w:val="00765C74"/>
    <w:rsid w:val="00765E23"/>
    <w:rsid w:val="00766066"/>
    <w:rsid w:val="00766089"/>
    <w:rsid w:val="0076609A"/>
    <w:rsid w:val="00766186"/>
    <w:rsid w:val="007662D7"/>
    <w:rsid w:val="007662F7"/>
    <w:rsid w:val="00766468"/>
    <w:rsid w:val="0076660A"/>
    <w:rsid w:val="007666B0"/>
    <w:rsid w:val="00766C13"/>
    <w:rsid w:val="00766F09"/>
    <w:rsid w:val="007675DA"/>
    <w:rsid w:val="00767693"/>
    <w:rsid w:val="007678AE"/>
    <w:rsid w:val="00767B5B"/>
    <w:rsid w:val="00767B7F"/>
    <w:rsid w:val="00767B89"/>
    <w:rsid w:val="00767F36"/>
    <w:rsid w:val="007700B1"/>
    <w:rsid w:val="0077019B"/>
    <w:rsid w:val="007703DE"/>
    <w:rsid w:val="00770486"/>
    <w:rsid w:val="007704A1"/>
    <w:rsid w:val="007705C3"/>
    <w:rsid w:val="007705EB"/>
    <w:rsid w:val="00770618"/>
    <w:rsid w:val="00770800"/>
    <w:rsid w:val="00770949"/>
    <w:rsid w:val="00770A12"/>
    <w:rsid w:val="00770B5E"/>
    <w:rsid w:val="00770BAA"/>
    <w:rsid w:val="00770C0C"/>
    <w:rsid w:val="00770CC3"/>
    <w:rsid w:val="00770F1B"/>
    <w:rsid w:val="0077119F"/>
    <w:rsid w:val="00771232"/>
    <w:rsid w:val="0077130C"/>
    <w:rsid w:val="007713D2"/>
    <w:rsid w:val="0077152C"/>
    <w:rsid w:val="00771695"/>
    <w:rsid w:val="00771727"/>
    <w:rsid w:val="00771798"/>
    <w:rsid w:val="007719D3"/>
    <w:rsid w:val="007719D4"/>
    <w:rsid w:val="00771C38"/>
    <w:rsid w:val="00771DAC"/>
    <w:rsid w:val="00771DD2"/>
    <w:rsid w:val="00771DE4"/>
    <w:rsid w:val="007721B0"/>
    <w:rsid w:val="00772216"/>
    <w:rsid w:val="00772390"/>
    <w:rsid w:val="007723F3"/>
    <w:rsid w:val="00772489"/>
    <w:rsid w:val="007724F7"/>
    <w:rsid w:val="007725C0"/>
    <w:rsid w:val="007728D2"/>
    <w:rsid w:val="00772B3D"/>
    <w:rsid w:val="00773189"/>
    <w:rsid w:val="00773449"/>
    <w:rsid w:val="00773598"/>
    <w:rsid w:val="0077376A"/>
    <w:rsid w:val="00773925"/>
    <w:rsid w:val="0077392F"/>
    <w:rsid w:val="00773A90"/>
    <w:rsid w:val="00773C83"/>
    <w:rsid w:val="00773D5D"/>
    <w:rsid w:val="00773D9A"/>
    <w:rsid w:val="00773F3A"/>
    <w:rsid w:val="00774106"/>
    <w:rsid w:val="007741E2"/>
    <w:rsid w:val="00774439"/>
    <w:rsid w:val="007745AB"/>
    <w:rsid w:val="007745E3"/>
    <w:rsid w:val="00774621"/>
    <w:rsid w:val="00774C3F"/>
    <w:rsid w:val="007751A2"/>
    <w:rsid w:val="0077521E"/>
    <w:rsid w:val="00775512"/>
    <w:rsid w:val="0077576B"/>
    <w:rsid w:val="007758FD"/>
    <w:rsid w:val="007759BD"/>
    <w:rsid w:val="007759EF"/>
    <w:rsid w:val="00775A83"/>
    <w:rsid w:val="00775BE6"/>
    <w:rsid w:val="00776211"/>
    <w:rsid w:val="007768BE"/>
    <w:rsid w:val="00776C40"/>
    <w:rsid w:val="00776E2C"/>
    <w:rsid w:val="00776F8B"/>
    <w:rsid w:val="00777091"/>
    <w:rsid w:val="00777210"/>
    <w:rsid w:val="0077755F"/>
    <w:rsid w:val="00777985"/>
    <w:rsid w:val="00777CE2"/>
    <w:rsid w:val="00777D97"/>
    <w:rsid w:val="00777E30"/>
    <w:rsid w:val="00777EC3"/>
    <w:rsid w:val="00780245"/>
    <w:rsid w:val="00780258"/>
    <w:rsid w:val="007802AF"/>
    <w:rsid w:val="007803F6"/>
    <w:rsid w:val="0078041D"/>
    <w:rsid w:val="007807AE"/>
    <w:rsid w:val="0078097A"/>
    <w:rsid w:val="00780A04"/>
    <w:rsid w:val="00780B35"/>
    <w:rsid w:val="00780C4B"/>
    <w:rsid w:val="007810C9"/>
    <w:rsid w:val="0078121B"/>
    <w:rsid w:val="0078147A"/>
    <w:rsid w:val="00781630"/>
    <w:rsid w:val="0078175F"/>
    <w:rsid w:val="00781ABB"/>
    <w:rsid w:val="00781C72"/>
    <w:rsid w:val="00781E17"/>
    <w:rsid w:val="00782109"/>
    <w:rsid w:val="007821B0"/>
    <w:rsid w:val="00782217"/>
    <w:rsid w:val="00782255"/>
    <w:rsid w:val="00782283"/>
    <w:rsid w:val="00782379"/>
    <w:rsid w:val="0078242E"/>
    <w:rsid w:val="007825BF"/>
    <w:rsid w:val="00782679"/>
    <w:rsid w:val="0078282E"/>
    <w:rsid w:val="0078283A"/>
    <w:rsid w:val="00782894"/>
    <w:rsid w:val="007828C2"/>
    <w:rsid w:val="00782A52"/>
    <w:rsid w:val="00782A59"/>
    <w:rsid w:val="00782B46"/>
    <w:rsid w:val="00782BF3"/>
    <w:rsid w:val="00782D63"/>
    <w:rsid w:val="00782DFF"/>
    <w:rsid w:val="00783150"/>
    <w:rsid w:val="007831D7"/>
    <w:rsid w:val="007838A9"/>
    <w:rsid w:val="00783B20"/>
    <w:rsid w:val="00783B29"/>
    <w:rsid w:val="00783C8D"/>
    <w:rsid w:val="00784222"/>
    <w:rsid w:val="00784303"/>
    <w:rsid w:val="00784324"/>
    <w:rsid w:val="0078436D"/>
    <w:rsid w:val="007843C0"/>
    <w:rsid w:val="007847DA"/>
    <w:rsid w:val="00784863"/>
    <w:rsid w:val="00784936"/>
    <w:rsid w:val="00784B67"/>
    <w:rsid w:val="00784C5F"/>
    <w:rsid w:val="00784EB5"/>
    <w:rsid w:val="00784F0B"/>
    <w:rsid w:val="007853E2"/>
    <w:rsid w:val="00785669"/>
    <w:rsid w:val="007858D8"/>
    <w:rsid w:val="007859A5"/>
    <w:rsid w:val="00785A1B"/>
    <w:rsid w:val="00785B81"/>
    <w:rsid w:val="00785B86"/>
    <w:rsid w:val="00785D6F"/>
    <w:rsid w:val="00785D98"/>
    <w:rsid w:val="00785EB4"/>
    <w:rsid w:val="007863A0"/>
    <w:rsid w:val="00786615"/>
    <w:rsid w:val="007867DE"/>
    <w:rsid w:val="007868A7"/>
    <w:rsid w:val="007868C0"/>
    <w:rsid w:val="00787082"/>
    <w:rsid w:val="00787386"/>
    <w:rsid w:val="007873B0"/>
    <w:rsid w:val="007873F8"/>
    <w:rsid w:val="00787463"/>
    <w:rsid w:val="00787564"/>
    <w:rsid w:val="00787A84"/>
    <w:rsid w:val="00787BB8"/>
    <w:rsid w:val="00787D80"/>
    <w:rsid w:val="00787FF0"/>
    <w:rsid w:val="0079012F"/>
    <w:rsid w:val="0079014A"/>
    <w:rsid w:val="00790201"/>
    <w:rsid w:val="00790866"/>
    <w:rsid w:val="00790FB3"/>
    <w:rsid w:val="0079116E"/>
    <w:rsid w:val="00791244"/>
    <w:rsid w:val="00791582"/>
    <w:rsid w:val="00791A42"/>
    <w:rsid w:val="00791ACA"/>
    <w:rsid w:val="00791BB2"/>
    <w:rsid w:val="00791BEE"/>
    <w:rsid w:val="00791C2C"/>
    <w:rsid w:val="00791C7D"/>
    <w:rsid w:val="00791CE0"/>
    <w:rsid w:val="00791F55"/>
    <w:rsid w:val="0079272D"/>
    <w:rsid w:val="0079288C"/>
    <w:rsid w:val="00792982"/>
    <w:rsid w:val="00792E45"/>
    <w:rsid w:val="00792F00"/>
    <w:rsid w:val="00793141"/>
    <w:rsid w:val="007931CA"/>
    <w:rsid w:val="0079339B"/>
    <w:rsid w:val="0079351C"/>
    <w:rsid w:val="00793521"/>
    <w:rsid w:val="00793682"/>
    <w:rsid w:val="007936DE"/>
    <w:rsid w:val="00793788"/>
    <w:rsid w:val="0079388E"/>
    <w:rsid w:val="00793969"/>
    <w:rsid w:val="00793A84"/>
    <w:rsid w:val="00793BE5"/>
    <w:rsid w:val="00793E7F"/>
    <w:rsid w:val="0079430A"/>
    <w:rsid w:val="00794361"/>
    <w:rsid w:val="00794A37"/>
    <w:rsid w:val="00794C3D"/>
    <w:rsid w:val="00794FC1"/>
    <w:rsid w:val="00795028"/>
    <w:rsid w:val="00795083"/>
    <w:rsid w:val="007950F0"/>
    <w:rsid w:val="007953AA"/>
    <w:rsid w:val="00795510"/>
    <w:rsid w:val="0079566C"/>
    <w:rsid w:val="007956BC"/>
    <w:rsid w:val="0079572F"/>
    <w:rsid w:val="00795842"/>
    <w:rsid w:val="0079584F"/>
    <w:rsid w:val="00795870"/>
    <w:rsid w:val="007958E3"/>
    <w:rsid w:val="00795914"/>
    <w:rsid w:val="00795CB7"/>
    <w:rsid w:val="00795CC0"/>
    <w:rsid w:val="00795F6B"/>
    <w:rsid w:val="00795FE5"/>
    <w:rsid w:val="0079652D"/>
    <w:rsid w:val="007968D4"/>
    <w:rsid w:val="00796932"/>
    <w:rsid w:val="00796BD4"/>
    <w:rsid w:val="007970D8"/>
    <w:rsid w:val="0079735A"/>
    <w:rsid w:val="007975B1"/>
    <w:rsid w:val="0079760F"/>
    <w:rsid w:val="0079769F"/>
    <w:rsid w:val="00797713"/>
    <w:rsid w:val="007978D9"/>
    <w:rsid w:val="00797AD8"/>
    <w:rsid w:val="00797F4C"/>
    <w:rsid w:val="007A026A"/>
    <w:rsid w:val="007A03DF"/>
    <w:rsid w:val="007A0692"/>
    <w:rsid w:val="007A07FF"/>
    <w:rsid w:val="007A0B8F"/>
    <w:rsid w:val="007A0CEC"/>
    <w:rsid w:val="007A0ED9"/>
    <w:rsid w:val="007A0FB0"/>
    <w:rsid w:val="007A10BC"/>
    <w:rsid w:val="007A10EC"/>
    <w:rsid w:val="007A133F"/>
    <w:rsid w:val="007A1431"/>
    <w:rsid w:val="007A15E2"/>
    <w:rsid w:val="007A15FF"/>
    <w:rsid w:val="007A1AEE"/>
    <w:rsid w:val="007A1BA4"/>
    <w:rsid w:val="007A1C85"/>
    <w:rsid w:val="007A1F66"/>
    <w:rsid w:val="007A2012"/>
    <w:rsid w:val="007A26B2"/>
    <w:rsid w:val="007A287C"/>
    <w:rsid w:val="007A289F"/>
    <w:rsid w:val="007A2A0C"/>
    <w:rsid w:val="007A2A4E"/>
    <w:rsid w:val="007A2B05"/>
    <w:rsid w:val="007A2BFC"/>
    <w:rsid w:val="007A2F4D"/>
    <w:rsid w:val="007A31AE"/>
    <w:rsid w:val="007A31C4"/>
    <w:rsid w:val="007A338B"/>
    <w:rsid w:val="007A33DF"/>
    <w:rsid w:val="007A348E"/>
    <w:rsid w:val="007A36E7"/>
    <w:rsid w:val="007A37BA"/>
    <w:rsid w:val="007A3804"/>
    <w:rsid w:val="007A3820"/>
    <w:rsid w:val="007A3851"/>
    <w:rsid w:val="007A3CA7"/>
    <w:rsid w:val="007A406D"/>
    <w:rsid w:val="007A40D0"/>
    <w:rsid w:val="007A40D2"/>
    <w:rsid w:val="007A4519"/>
    <w:rsid w:val="007A4559"/>
    <w:rsid w:val="007A45DF"/>
    <w:rsid w:val="007A48E7"/>
    <w:rsid w:val="007A4973"/>
    <w:rsid w:val="007A4AA7"/>
    <w:rsid w:val="007A4C7E"/>
    <w:rsid w:val="007A4E3A"/>
    <w:rsid w:val="007A50AC"/>
    <w:rsid w:val="007A51F0"/>
    <w:rsid w:val="007A5244"/>
    <w:rsid w:val="007A525B"/>
    <w:rsid w:val="007A5633"/>
    <w:rsid w:val="007A57D6"/>
    <w:rsid w:val="007A5859"/>
    <w:rsid w:val="007A5A51"/>
    <w:rsid w:val="007A5BDC"/>
    <w:rsid w:val="007A5CF5"/>
    <w:rsid w:val="007A5EAF"/>
    <w:rsid w:val="007A5EB4"/>
    <w:rsid w:val="007A5FB3"/>
    <w:rsid w:val="007A6212"/>
    <w:rsid w:val="007A62B0"/>
    <w:rsid w:val="007A6308"/>
    <w:rsid w:val="007A642B"/>
    <w:rsid w:val="007A645A"/>
    <w:rsid w:val="007A6563"/>
    <w:rsid w:val="007A66DF"/>
    <w:rsid w:val="007A6BE7"/>
    <w:rsid w:val="007A6E96"/>
    <w:rsid w:val="007A6F50"/>
    <w:rsid w:val="007A7083"/>
    <w:rsid w:val="007A7163"/>
    <w:rsid w:val="007A78E4"/>
    <w:rsid w:val="007A7C4C"/>
    <w:rsid w:val="007B0770"/>
    <w:rsid w:val="007B0ABA"/>
    <w:rsid w:val="007B10F9"/>
    <w:rsid w:val="007B1353"/>
    <w:rsid w:val="007B1522"/>
    <w:rsid w:val="007B1812"/>
    <w:rsid w:val="007B18B8"/>
    <w:rsid w:val="007B1926"/>
    <w:rsid w:val="007B1C82"/>
    <w:rsid w:val="007B1DA2"/>
    <w:rsid w:val="007B1FBA"/>
    <w:rsid w:val="007B21DB"/>
    <w:rsid w:val="007B22A0"/>
    <w:rsid w:val="007B23A7"/>
    <w:rsid w:val="007B262C"/>
    <w:rsid w:val="007B2914"/>
    <w:rsid w:val="007B2922"/>
    <w:rsid w:val="007B2A2D"/>
    <w:rsid w:val="007B2AF7"/>
    <w:rsid w:val="007B2B13"/>
    <w:rsid w:val="007B35F7"/>
    <w:rsid w:val="007B36F7"/>
    <w:rsid w:val="007B3BB5"/>
    <w:rsid w:val="007B3E79"/>
    <w:rsid w:val="007B3F91"/>
    <w:rsid w:val="007B4133"/>
    <w:rsid w:val="007B463F"/>
    <w:rsid w:val="007B4751"/>
    <w:rsid w:val="007B4905"/>
    <w:rsid w:val="007B4AF7"/>
    <w:rsid w:val="007B4C96"/>
    <w:rsid w:val="007B4CC4"/>
    <w:rsid w:val="007B4E53"/>
    <w:rsid w:val="007B4E65"/>
    <w:rsid w:val="007B4FA7"/>
    <w:rsid w:val="007B4FCD"/>
    <w:rsid w:val="007B5083"/>
    <w:rsid w:val="007B5682"/>
    <w:rsid w:val="007B570B"/>
    <w:rsid w:val="007B5754"/>
    <w:rsid w:val="007B585A"/>
    <w:rsid w:val="007B58BD"/>
    <w:rsid w:val="007B5AC9"/>
    <w:rsid w:val="007B5D2C"/>
    <w:rsid w:val="007B5F2B"/>
    <w:rsid w:val="007B631D"/>
    <w:rsid w:val="007B65CC"/>
    <w:rsid w:val="007B6A06"/>
    <w:rsid w:val="007B6A68"/>
    <w:rsid w:val="007B6B52"/>
    <w:rsid w:val="007B6C49"/>
    <w:rsid w:val="007B6C58"/>
    <w:rsid w:val="007B6FD1"/>
    <w:rsid w:val="007B7306"/>
    <w:rsid w:val="007B74D1"/>
    <w:rsid w:val="007B754A"/>
    <w:rsid w:val="007B7751"/>
    <w:rsid w:val="007B7D98"/>
    <w:rsid w:val="007C0061"/>
    <w:rsid w:val="007C035B"/>
    <w:rsid w:val="007C0571"/>
    <w:rsid w:val="007C073D"/>
    <w:rsid w:val="007C07DB"/>
    <w:rsid w:val="007C0870"/>
    <w:rsid w:val="007C09B6"/>
    <w:rsid w:val="007C0AB9"/>
    <w:rsid w:val="007C0EE7"/>
    <w:rsid w:val="007C0F4B"/>
    <w:rsid w:val="007C10EB"/>
    <w:rsid w:val="007C1194"/>
    <w:rsid w:val="007C1304"/>
    <w:rsid w:val="007C130A"/>
    <w:rsid w:val="007C1421"/>
    <w:rsid w:val="007C1490"/>
    <w:rsid w:val="007C14EB"/>
    <w:rsid w:val="007C151D"/>
    <w:rsid w:val="007C1543"/>
    <w:rsid w:val="007C1908"/>
    <w:rsid w:val="007C1A4A"/>
    <w:rsid w:val="007C1B00"/>
    <w:rsid w:val="007C1D20"/>
    <w:rsid w:val="007C1E9C"/>
    <w:rsid w:val="007C215D"/>
    <w:rsid w:val="007C2225"/>
    <w:rsid w:val="007C2246"/>
    <w:rsid w:val="007C241C"/>
    <w:rsid w:val="007C250A"/>
    <w:rsid w:val="007C27E1"/>
    <w:rsid w:val="007C2E64"/>
    <w:rsid w:val="007C2FF0"/>
    <w:rsid w:val="007C3232"/>
    <w:rsid w:val="007C3452"/>
    <w:rsid w:val="007C34B3"/>
    <w:rsid w:val="007C356B"/>
    <w:rsid w:val="007C3642"/>
    <w:rsid w:val="007C38F7"/>
    <w:rsid w:val="007C3F45"/>
    <w:rsid w:val="007C40B5"/>
    <w:rsid w:val="007C40D8"/>
    <w:rsid w:val="007C41B2"/>
    <w:rsid w:val="007C43D9"/>
    <w:rsid w:val="007C45C3"/>
    <w:rsid w:val="007C461C"/>
    <w:rsid w:val="007C468B"/>
    <w:rsid w:val="007C4AC5"/>
    <w:rsid w:val="007C4B30"/>
    <w:rsid w:val="007C4B32"/>
    <w:rsid w:val="007C4C1A"/>
    <w:rsid w:val="007C4C3E"/>
    <w:rsid w:val="007C4C99"/>
    <w:rsid w:val="007C51C7"/>
    <w:rsid w:val="007C526C"/>
    <w:rsid w:val="007C5307"/>
    <w:rsid w:val="007C567E"/>
    <w:rsid w:val="007C57AC"/>
    <w:rsid w:val="007C597B"/>
    <w:rsid w:val="007C5A0C"/>
    <w:rsid w:val="007C5B9D"/>
    <w:rsid w:val="007C5CAA"/>
    <w:rsid w:val="007C5CEA"/>
    <w:rsid w:val="007C5EDC"/>
    <w:rsid w:val="007C605F"/>
    <w:rsid w:val="007C6301"/>
    <w:rsid w:val="007C63E0"/>
    <w:rsid w:val="007C6567"/>
    <w:rsid w:val="007C6718"/>
    <w:rsid w:val="007C6CB0"/>
    <w:rsid w:val="007C6CF2"/>
    <w:rsid w:val="007C6E0F"/>
    <w:rsid w:val="007C6E9A"/>
    <w:rsid w:val="007C6EFF"/>
    <w:rsid w:val="007C71C3"/>
    <w:rsid w:val="007C73F3"/>
    <w:rsid w:val="007C7490"/>
    <w:rsid w:val="007C75B0"/>
    <w:rsid w:val="007C7608"/>
    <w:rsid w:val="007C761C"/>
    <w:rsid w:val="007C76D1"/>
    <w:rsid w:val="007C7976"/>
    <w:rsid w:val="007C7997"/>
    <w:rsid w:val="007C7B50"/>
    <w:rsid w:val="007C7B5A"/>
    <w:rsid w:val="007C7BCF"/>
    <w:rsid w:val="007C7F11"/>
    <w:rsid w:val="007D0009"/>
    <w:rsid w:val="007D023C"/>
    <w:rsid w:val="007D028C"/>
    <w:rsid w:val="007D0366"/>
    <w:rsid w:val="007D036B"/>
    <w:rsid w:val="007D0396"/>
    <w:rsid w:val="007D044B"/>
    <w:rsid w:val="007D06B2"/>
    <w:rsid w:val="007D08C1"/>
    <w:rsid w:val="007D0A43"/>
    <w:rsid w:val="007D0AF8"/>
    <w:rsid w:val="007D0B7E"/>
    <w:rsid w:val="007D0D5F"/>
    <w:rsid w:val="007D0E42"/>
    <w:rsid w:val="007D117E"/>
    <w:rsid w:val="007D129B"/>
    <w:rsid w:val="007D1649"/>
    <w:rsid w:val="007D21FC"/>
    <w:rsid w:val="007D261B"/>
    <w:rsid w:val="007D26EE"/>
    <w:rsid w:val="007D298B"/>
    <w:rsid w:val="007D2DC2"/>
    <w:rsid w:val="007D3184"/>
    <w:rsid w:val="007D322B"/>
    <w:rsid w:val="007D3469"/>
    <w:rsid w:val="007D3471"/>
    <w:rsid w:val="007D36E3"/>
    <w:rsid w:val="007D3DAD"/>
    <w:rsid w:val="007D3DD3"/>
    <w:rsid w:val="007D3E6E"/>
    <w:rsid w:val="007D3F00"/>
    <w:rsid w:val="007D4043"/>
    <w:rsid w:val="007D4308"/>
    <w:rsid w:val="007D43A3"/>
    <w:rsid w:val="007D457D"/>
    <w:rsid w:val="007D45D3"/>
    <w:rsid w:val="007D46E2"/>
    <w:rsid w:val="007D471D"/>
    <w:rsid w:val="007D4749"/>
    <w:rsid w:val="007D482C"/>
    <w:rsid w:val="007D48A7"/>
    <w:rsid w:val="007D49A3"/>
    <w:rsid w:val="007D4A4D"/>
    <w:rsid w:val="007D4B15"/>
    <w:rsid w:val="007D4B8F"/>
    <w:rsid w:val="007D4C08"/>
    <w:rsid w:val="007D4CA1"/>
    <w:rsid w:val="007D52D7"/>
    <w:rsid w:val="007D5393"/>
    <w:rsid w:val="007D55AF"/>
    <w:rsid w:val="007D56B1"/>
    <w:rsid w:val="007D5730"/>
    <w:rsid w:val="007D5C22"/>
    <w:rsid w:val="007D5E32"/>
    <w:rsid w:val="007D5F49"/>
    <w:rsid w:val="007D606D"/>
    <w:rsid w:val="007D6360"/>
    <w:rsid w:val="007D63F3"/>
    <w:rsid w:val="007D64BD"/>
    <w:rsid w:val="007D64BE"/>
    <w:rsid w:val="007D669B"/>
    <w:rsid w:val="007D68F9"/>
    <w:rsid w:val="007D69FB"/>
    <w:rsid w:val="007D6DFA"/>
    <w:rsid w:val="007D6E28"/>
    <w:rsid w:val="007D6E53"/>
    <w:rsid w:val="007D6E8D"/>
    <w:rsid w:val="007D6F5D"/>
    <w:rsid w:val="007D6FD7"/>
    <w:rsid w:val="007D7358"/>
    <w:rsid w:val="007D760C"/>
    <w:rsid w:val="007D7C30"/>
    <w:rsid w:val="007E00C6"/>
    <w:rsid w:val="007E02EC"/>
    <w:rsid w:val="007E0384"/>
    <w:rsid w:val="007E07E4"/>
    <w:rsid w:val="007E085A"/>
    <w:rsid w:val="007E0985"/>
    <w:rsid w:val="007E0C18"/>
    <w:rsid w:val="007E0C49"/>
    <w:rsid w:val="007E0E6E"/>
    <w:rsid w:val="007E0E78"/>
    <w:rsid w:val="007E0F1C"/>
    <w:rsid w:val="007E0F29"/>
    <w:rsid w:val="007E0FA4"/>
    <w:rsid w:val="007E0FEE"/>
    <w:rsid w:val="007E0FFC"/>
    <w:rsid w:val="007E1477"/>
    <w:rsid w:val="007E15E9"/>
    <w:rsid w:val="007E18E1"/>
    <w:rsid w:val="007E1A8A"/>
    <w:rsid w:val="007E1A98"/>
    <w:rsid w:val="007E1C70"/>
    <w:rsid w:val="007E1F2F"/>
    <w:rsid w:val="007E1FCC"/>
    <w:rsid w:val="007E1FDB"/>
    <w:rsid w:val="007E25CA"/>
    <w:rsid w:val="007E2657"/>
    <w:rsid w:val="007E28D6"/>
    <w:rsid w:val="007E2B5D"/>
    <w:rsid w:val="007E34B4"/>
    <w:rsid w:val="007E36EF"/>
    <w:rsid w:val="007E3777"/>
    <w:rsid w:val="007E37E1"/>
    <w:rsid w:val="007E381A"/>
    <w:rsid w:val="007E38FE"/>
    <w:rsid w:val="007E3B25"/>
    <w:rsid w:val="007E3CDA"/>
    <w:rsid w:val="007E3E53"/>
    <w:rsid w:val="007E40AD"/>
    <w:rsid w:val="007E4415"/>
    <w:rsid w:val="007E44F2"/>
    <w:rsid w:val="007E466C"/>
    <w:rsid w:val="007E4CAE"/>
    <w:rsid w:val="007E4CBA"/>
    <w:rsid w:val="007E4DFA"/>
    <w:rsid w:val="007E50DE"/>
    <w:rsid w:val="007E5124"/>
    <w:rsid w:val="007E524B"/>
    <w:rsid w:val="007E5359"/>
    <w:rsid w:val="007E546A"/>
    <w:rsid w:val="007E5597"/>
    <w:rsid w:val="007E577B"/>
    <w:rsid w:val="007E5D1D"/>
    <w:rsid w:val="007E5FB5"/>
    <w:rsid w:val="007E6009"/>
    <w:rsid w:val="007E60A5"/>
    <w:rsid w:val="007E6100"/>
    <w:rsid w:val="007E6214"/>
    <w:rsid w:val="007E6693"/>
    <w:rsid w:val="007E6822"/>
    <w:rsid w:val="007E6834"/>
    <w:rsid w:val="007E6AE1"/>
    <w:rsid w:val="007E6D2D"/>
    <w:rsid w:val="007E6D71"/>
    <w:rsid w:val="007E6E98"/>
    <w:rsid w:val="007E6F2A"/>
    <w:rsid w:val="007E710C"/>
    <w:rsid w:val="007E72B2"/>
    <w:rsid w:val="007E72E0"/>
    <w:rsid w:val="007E7307"/>
    <w:rsid w:val="007E7377"/>
    <w:rsid w:val="007E73E3"/>
    <w:rsid w:val="007E749C"/>
    <w:rsid w:val="007E7A98"/>
    <w:rsid w:val="007E7B49"/>
    <w:rsid w:val="007E7B7B"/>
    <w:rsid w:val="007E7CF6"/>
    <w:rsid w:val="007E7DC1"/>
    <w:rsid w:val="007E7DCB"/>
    <w:rsid w:val="007E7E45"/>
    <w:rsid w:val="007E7F1C"/>
    <w:rsid w:val="007E7F75"/>
    <w:rsid w:val="007F0066"/>
    <w:rsid w:val="007F01B2"/>
    <w:rsid w:val="007F07ED"/>
    <w:rsid w:val="007F0A6E"/>
    <w:rsid w:val="007F0C09"/>
    <w:rsid w:val="007F0D1B"/>
    <w:rsid w:val="007F1038"/>
    <w:rsid w:val="007F12F2"/>
    <w:rsid w:val="007F1313"/>
    <w:rsid w:val="007F1363"/>
    <w:rsid w:val="007F13CC"/>
    <w:rsid w:val="007F1446"/>
    <w:rsid w:val="007F166F"/>
    <w:rsid w:val="007F1755"/>
    <w:rsid w:val="007F1C7B"/>
    <w:rsid w:val="007F1C91"/>
    <w:rsid w:val="007F1DD9"/>
    <w:rsid w:val="007F1FBD"/>
    <w:rsid w:val="007F2017"/>
    <w:rsid w:val="007F2251"/>
    <w:rsid w:val="007F237E"/>
    <w:rsid w:val="007F2431"/>
    <w:rsid w:val="007F2F12"/>
    <w:rsid w:val="007F32A0"/>
    <w:rsid w:val="007F32C3"/>
    <w:rsid w:val="007F32EE"/>
    <w:rsid w:val="007F34BE"/>
    <w:rsid w:val="007F35B6"/>
    <w:rsid w:val="007F35C5"/>
    <w:rsid w:val="007F3995"/>
    <w:rsid w:val="007F3CC2"/>
    <w:rsid w:val="007F3D0E"/>
    <w:rsid w:val="007F3DBE"/>
    <w:rsid w:val="007F3E0D"/>
    <w:rsid w:val="007F3E38"/>
    <w:rsid w:val="007F3E4B"/>
    <w:rsid w:val="007F3E62"/>
    <w:rsid w:val="007F3F47"/>
    <w:rsid w:val="007F3F66"/>
    <w:rsid w:val="007F40E1"/>
    <w:rsid w:val="007F4105"/>
    <w:rsid w:val="007F4329"/>
    <w:rsid w:val="007F47C0"/>
    <w:rsid w:val="007F47CF"/>
    <w:rsid w:val="007F4937"/>
    <w:rsid w:val="007F49B5"/>
    <w:rsid w:val="007F49D2"/>
    <w:rsid w:val="007F4EA3"/>
    <w:rsid w:val="007F4EE1"/>
    <w:rsid w:val="007F4EF7"/>
    <w:rsid w:val="007F5283"/>
    <w:rsid w:val="007F533C"/>
    <w:rsid w:val="007F536E"/>
    <w:rsid w:val="007F53C8"/>
    <w:rsid w:val="007F55AD"/>
    <w:rsid w:val="007F55ED"/>
    <w:rsid w:val="007F56F1"/>
    <w:rsid w:val="007F572A"/>
    <w:rsid w:val="007F5A94"/>
    <w:rsid w:val="007F5ABF"/>
    <w:rsid w:val="007F5B54"/>
    <w:rsid w:val="007F5E1B"/>
    <w:rsid w:val="007F5F0B"/>
    <w:rsid w:val="007F6217"/>
    <w:rsid w:val="007F6E3E"/>
    <w:rsid w:val="007F6E50"/>
    <w:rsid w:val="007F7031"/>
    <w:rsid w:val="007F7074"/>
    <w:rsid w:val="007F7123"/>
    <w:rsid w:val="007F7693"/>
    <w:rsid w:val="007F772D"/>
    <w:rsid w:val="007F7AC7"/>
    <w:rsid w:val="007F7D94"/>
    <w:rsid w:val="007F7E62"/>
    <w:rsid w:val="007F7EE1"/>
    <w:rsid w:val="007F7FF9"/>
    <w:rsid w:val="0080001F"/>
    <w:rsid w:val="008000BE"/>
    <w:rsid w:val="008000E4"/>
    <w:rsid w:val="0080012C"/>
    <w:rsid w:val="008002EB"/>
    <w:rsid w:val="008002FA"/>
    <w:rsid w:val="00800389"/>
    <w:rsid w:val="00800489"/>
    <w:rsid w:val="008004E3"/>
    <w:rsid w:val="00800755"/>
    <w:rsid w:val="00800913"/>
    <w:rsid w:val="00800D98"/>
    <w:rsid w:val="00800EEA"/>
    <w:rsid w:val="008012FC"/>
    <w:rsid w:val="0080146E"/>
    <w:rsid w:val="008015A6"/>
    <w:rsid w:val="0080160A"/>
    <w:rsid w:val="00801822"/>
    <w:rsid w:val="00801A4E"/>
    <w:rsid w:val="00801AA1"/>
    <w:rsid w:val="00801DBD"/>
    <w:rsid w:val="00801EE6"/>
    <w:rsid w:val="00802224"/>
    <w:rsid w:val="008022F8"/>
    <w:rsid w:val="0080230C"/>
    <w:rsid w:val="008027DA"/>
    <w:rsid w:val="00802A8A"/>
    <w:rsid w:val="00802AC3"/>
    <w:rsid w:val="00802BE5"/>
    <w:rsid w:val="00802CE1"/>
    <w:rsid w:val="00802D2A"/>
    <w:rsid w:val="00803055"/>
    <w:rsid w:val="008030B5"/>
    <w:rsid w:val="0080310F"/>
    <w:rsid w:val="00803562"/>
    <w:rsid w:val="0080390E"/>
    <w:rsid w:val="00803A98"/>
    <w:rsid w:val="00803AA3"/>
    <w:rsid w:val="00803C05"/>
    <w:rsid w:val="00803F3D"/>
    <w:rsid w:val="00804318"/>
    <w:rsid w:val="0080462D"/>
    <w:rsid w:val="0080464A"/>
    <w:rsid w:val="0080466A"/>
    <w:rsid w:val="008047A2"/>
    <w:rsid w:val="00804B2E"/>
    <w:rsid w:val="00804C71"/>
    <w:rsid w:val="00804E03"/>
    <w:rsid w:val="00805008"/>
    <w:rsid w:val="00805274"/>
    <w:rsid w:val="00805361"/>
    <w:rsid w:val="00805387"/>
    <w:rsid w:val="0080544A"/>
    <w:rsid w:val="008056ED"/>
    <w:rsid w:val="0080571D"/>
    <w:rsid w:val="0080592B"/>
    <w:rsid w:val="00805B15"/>
    <w:rsid w:val="00805C0D"/>
    <w:rsid w:val="00805E55"/>
    <w:rsid w:val="00805F46"/>
    <w:rsid w:val="00806169"/>
    <w:rsid w:val="00806615"/>
    <w:rsid w:val="00806AC6"/>
    <w:rsid w:val="00806B51"/>
    <w:rsid w:val="00806C71"/>
    <w:rsid w:val="00806DCB"/>
    <w:rsid w:val="00807080"/>
    <w:rsid w:val="00807099"/>
    <w:rsid w:val="008071D4"/>
    <w:rsid w:val="00807292"/>
    <w:rsid w:val="008075B6"/>
    <w:rsid w:val="00807AF5"/>
    <w:rsid w:val="00807B9A"/>
    <w:rsid w:val="00807D6F"/>
    <w:rsid w:val="00807E5D"/>
    <w:rsid w:val="00810019"/>
    <w:rsid w:val="0081001E"/>
    <w:rsid w:val="00810181"/>
    <w:rsid w:val="0081043C"/>
    <w:rsid w:val="008104B7"/>
    <w:rsid w:val="0081082D"/>
    <w:rsid w:val="008108CF"/>
    <w:rsid w:val="00810A89"/>
    <w:rsid w:val="00810BD2"/>
    <w:rsid w:val="00810C8A"/>
    <w:rsid w:val="00810CD2"/>
    <w:rsid w:val="00810CE0"/>
    <w:rsid w:val="00810F62"/>
    <w:rsid w:val="008111B6"/>
    <w:rsid w:val="008111F7"/>
    <w:rsid w:val="00811217"/>
    <w:rsid w:val="0081126D"/>
    <w:rsid w:val="0081149D"/>
    <w:rsid w:val="008116AC"/>
    <w:rsid w:val="0081179E"/>
    <w:rsid w:val="008117A8"/>
    <w:rsid w:val="00811BAC"/>
    <w:rsid w:val="00811BEF"/>
    <w:rsid w:val="00811E98"/>
    <w:rsid w:val="0081203C"/>
    <w:rsid w:val="008120C9"/>
    <w:rsid w:val="00812478"/>
    <w:rsid w:val="00812496"/>
    <w:rsid w:val="00812895"/>
    <w:rsid w:val="00812A15"/>
    <w:rsid w:val="00812B26"/>
    <w:rsid w:val="00813031"/>
    <w:rsid w:val="008130CC"/>
    <w:rsid w:val="0081311F"/>
    <w:rsid w:val="008134E7"/>
    <w:rsid w:val="00813550"/>
    <w:rsid w:val="0081372B"/>
    <w:rsid w:val="00813758"/>
    <w:rsid w:val="0081381E"/>
    <w:rsid w:val="00813C4F"/>
    <w:rsid w:val="00813E26"/>
    <w:rsid w:val="00813F5F"/>
    <w:rsid w:val="00814348"/>
    <w:rsid w:val="008146D6"/>
    <w:rsid w:val="0081486E"/>
    <w:rsid w:val="0081487A"/>
    <w:rsid w:val="00814DBA"/>
    <w:rsid w:val="00814E65"/>
    <w:rsid w:val="00815013"/>
    <w:rsid w:val="00815134"/>
    <w:rsid w:val="0081530A"/>
    <w:rsid w:val="0081533E"/>
    <w:rsid w:val="008153C8"/>
    <w:rsid w:val="00815690"/>
    <w:rsid w:val="008156FC"/>
    <w:rsid w:val="008157F4"/>
    <w:rsid w:val="008159CF"/>
    <w:rsid w:val="00815D94"/>
    <w:rsid w:val="00815DF2"/>
    <w:rsid w:val="00815E06"/>
    <w:rsid w:val="00815E4E"/>
    <w:rsid w:val="00815E5A"/>
    <w:rsid w:val="00816101"/>
    <w:rsid w:val="0081611D"/>
    <w:rsid w:val="00816291"/>
    <w:rsid w:val="00816414"/>
    <w:rsid w:val="0081645A"/>
    <w:rsid w:val="00816547"/>
    <w:rsid w:val="00816548"/>
    <w:rsid w:val="0081666D"/>
    <w:rsid w:val="008166B3"/>
    <w:rsid w:val="008169CE"/>
    <w:rsid w:val="00816A11"/>
    <w:rsid w:val="00816AAD"/>
    <w:rsid w:val="00816AEE"/>
    <w:rsid w:val="00816E05"/>
    <w:rsid w:val="00817415"/>
    <w:rsid w:val="0081741C"/>
    <w:rsid w:val="0081749D"/>
    <w:rsid w:val="008175F2"/>
    <w:rsid w:val="0081766B"/>
    <w:rsid w:val="00817758"/>
    <w:rsid w:val="00817B36"/>
    <w:rsid w:val="00817FD4"/>
    <w:rsid w:val="0082001C"/>
    <w:rsid w:val="008201CE"/>
    <w:rsid w:val="008201F4"/>
    <w:rsid w:val="00820360"/>
    <w:rsid w:val="008206F9"/>
    <w:rsid w:val="0082070D"/>
    <w:rsid w:val="008209AE"/>
    <w:rsid w:val="00820BFD"/>
    <w:rsid w:val="00820DA3"/>
    <w:rsid w:val="00820E94"/>
    <w:rsid w:val="008213AE"/>
    <w:rsid w:val="008214B7"/>
    <w:rsid w:val="008214C6"/>
    <w:rsid w:val="0082163A"/>
    <w:rsid w:val="008218D9"/>
    <w:rsid w:val="008219B2"/>
    <w:rsid w:val="00821C56"/>
    <w:rsid w:val="00821C5B"/>
    <w:rsid w:val="00821DE3"/>
    <w:rsid w:val="00822093"/>
    <w:rsid w:val="0082218D"/>
    <w:rsid w:val="0082221F"/>
    <w:rsid w:val="00822705"/>
    <w:rsid w:val="0082273E"/>
    <w:rsid w:val="00822BEE"/>
    <w:rsid w:val="00822E74"/>
    <w:rsid w:val="008231AD"/>
    <w:rsid w:val="00823391"/>
    <w:rsid w:val="00823AAE"/>
    <w:rsid w:val="00823AB0"/>
    <w:rsid w:val="0082403A"/>
    <w:rsid w:val="008242DC"/>
    <w:rsid w:val="00824757"/>
    <w:rsid w:val="008248EF"/>
    <w:rsid w:val="008249DE"/>
    <w:rsid w:val="00824E83"/>
    <w:rsid w:val="0082507D"/>
    <w:rsid w:val="00825766"/>
    <w:rsid w:val="008258E8"/>
    <w:rsid w:val="008259A8"/>
    <w:rsid w:val="00825DCF"/>
    <w:rsid w:val="00826067"/>
    <w:rsid w:val="0082640F"/>
    <w:rsid w:val="00826615"/>
    <w:rsid w:val="008266D8"/>
    <w:rsid w:val="0082678D"/>
    <w:rsid w:val="0082689B"/>
    <w:rsid w:val="00826A8C"/>
    <w:rsid w:val="00826BD8"/>
    <w:rsid w:val="00826F21"/>
    <w:rsid w:val="00826FAA"/>
    <w:rsid w:val="008270F8"/>
    <w:rsid w:val="008276EB"/>
    <w:rsid w:val="00827A16"/>
    <w:rsid w:val="00827B0D"/>
    <w:rsid w:val="00827BD6"/>
    <w:rsid w:val="00827C5E"/>
    <w:rsid w:val="0083010B"/>
    <w:rsid w:val="00830354"/>
    <w:rsid w:val="00830572"/>
    <w:rsid w:val="0083066D"/>
    <w:rsid w:val="008307E8"/>
    <w:rsid w:val="008308F8"/>
    <w:rsid w:val="00830A98"/>
    <w:rsid w:val="0083107B"/>
    <w:rsid w:val="008313D5"/>
    <w:rsid w:val="0083183D"/>
    <w:rsid w:val="00831AE2"/>
    <w:rsid w:val="00831D33"/>
    <w:rsid w:val="00831F01"/>
    <w:rsid w:val="00832333"/>
    <w:rsid w:val="008323F9"/>
    <w:rsid w:val="0083246C"/>
    <w:rsid w:val="008325B0"/>
    <w:rsid w:val="00832A71"/>
    <w:rsid w:val="00833074"/>
    <w:rsid w:val="00833658"/>
    <w:rsid w:val="008339BB"/>
    <w:rsid w:val="008339F1"/>
    <w:rsid w:val="00833D8C"/>
    <w:rsid w:val="00833DF7"/>
    <w:rsid w:val="00833E89"/>
    <w:rsid w:val="00834085"/>
    <w:rsid w:val="0083419B"/>
    <w:rsid w:val="00834478"/>
    <w:rsid w:val="00834526"/>
    <w:rsid w:val="008346D4"/>
    <w:rsid w:val="008346DD"/>
    <w:rsid w:val="00834E81"/>
    <w:rsid w:val="00835400"/>
    <w:rsid w:val="008359A6"/>
    <w:rsid w:val="00835D73"/>
    <w:rsid w:val="0083608E"/>
    <w:rsid w:val="008361A5"/>
    <w:rsid w:val="0083621B"/>
    <w:rsid w:val="00836474"/>
    <w:rsid w:val="008365BD"/>
    <w:rsid w:val="008368E0"/>
    <w:rsid w:val="00836A7D"/>
    <w:rsid w:val="00836B52"/>
    <w:rsid w:val="00836B5A"/>
    <w:rsid w:val="00836B9C"/>
    <w:rsid w:val="00836BA6"/>
    <w:rsid w:val="00836EDC"/>
    <w:rsid w:val="00837039"/>
    <w:rsid w:val="00837063"/>
    <w:rsid w:val="00837198"/>
    <w:rsid w:val="00837781"/>
    <w:rsid w:val="008378E4"/>
    <w:rsid w:val="00837B94"/>
    <w:rsid w:val="00837C66"/>
    <w:rsid w:val="0084000E"/>
    <w:rsid w:val="0084013D"/>
    <w:rsid w:val="008402CD"/>
    <w:rsid w:val="0084036C"/>
    <w:rsid w:val="008407B7"/>
    <w:rsid w:val="00840880"/>
    <w:rsid w:val="0084088D"/>
    <w:rsid w:val="00840B72"/>
    <w:rsid w:val="0084116F"/>
    <w:rsid w:val="00841306"/>
    <w:rsid w:val="00841560"/>
    <w:rsid w:val="008415A9"/>
    <w:rsid w:val="00841661"/>
    <w:rsid w:val="0084183F"/>
    <w:rsid w:val="008419D4"/>
    <w:rsid w:val="00841B50"/>
    <w:rsid w:val="00841BDE"/>
    <w:rsid w:val="00841BEE"/>
    <w:rsid w:val="00841D73"/>
    <w:rsid w:val="00841E4E"/>
    <w:rsid w:val="00841E6B"/>
    <w:rsid w:val="00841EE2"/>
    <w:rsid w:val="008421EC"/>
    <w:rsid w:val="0084220A"/>
    <w:rsid w:val="00842241"/>
    <w:rsid w:val="0084274D"/>
    <w:rsid w:val="0084285A"/>
    <w:rsid w:val="00842DC0"/>
    <w:rsid w:val="00842E01"/>
    <w:rsid w:val="00842E50"/>
    <w:rsid w:val="00842F76"/>
    <w:rsid w:val="0084305E"/>
    <w:rsid w:val="00843061"/>
    <w:rsid w:val="00843071"/>
    <w:rsid w:val="0084309C"/>
    <w:rsid w:val="008433A9"/>
    <w:rsid w:val="008437AB"/>
    <w:rsid w:val="00843F54"/>
    <w:rsid w:val="00844012"/>
    <w:rsid w:val="00844057"/>
    <w:rsid w:val="008440BE"/>
    <w:rsid w:val="00844238"/>
    <w:rsid w:val="00844242"/>
    <w:rsid w:val="0084439E"/>
    <w:rsid w:val="00844460"/>
    <w:rsid w:val="00844545"/>
    <w:rsid w:val="00844691"/>
    <w:rsid w:val="00844854"/>
    <w:rsid w:val="0084489D"/>
    <w:rsid w:val="0084489E"/>
    <w:rsid w:val="0084495B"/>
    <w:rsid w:val="008449E5"/>
    <w:rsid w:val="00844BBC"/>
    <w:rsid w:val="00844D23"/>
    <w:rsid w:val="00844D35"/>
    <w:rsid w:val="00844D96"/>
    <w:rsid w:val="00844DE6"/>
    <w:rsid w:val="00845294"/>
    <w:rsid w:val="008453AD"/>
    <w:rsid w:val="00845AA4"/>
    <w:rsid w:val="00845C18"/>
    <w:rsid w:val="00845D07"/>
    <w:rsid w:val="00845D32"/>
    <w:rsid w:val="008460F8"/>
    <w:rsid w:val="0084618F"/>
    <w:rsid w:val="00846294"/>
    <w:rsid w:val="00846299"/>
    <w:rsid w:val="00846476"/>
    <w:rsid w:val="0084692D"/>
    <w:rsid w:val="00846BFC"/>
    <w:rsid w:val="00846D00"/>
    <w:rsid w:val="008471A0"/>
    <w:rsid w:val="008471AC"/>
    <w:rsid w:val="008472D7"/>
    <w:rsid w:val="008475B7"/>
    <w:rsid w:val="008475C8"/>
    <w:rsid w:val="0084770E"/>
    <w:rsid w:val="00847846"/>
    <w:rsid w:val="00847C07"/>
    <w:rsid w:val="00847C7B"/>
    <w:rsid w:val="00847E69"/>
    <w:rsid w:val="00847E7B"/>
    <w:rsid w:val="00847F11"/>
    <w:rsid w:val="00847F16"/>
    <w:rsid w:val="0085008B"/>
    <w:rsid w:val="008504C0"/>
    <w:rsid w:val="00850518"/>
    <w:rsid w:val="0085057C"/>
    <w:rsid w:val="008506DD"/>
    <w:rsid w:val="00850834"/>
    <w:rsid w:val="008509C4"/>
    <w:rsid w:val="00850AF8"/>
    <w:rsid w:val="00850D7B"/>
    <w:rsid w:val="00851036"/>
    <w:rsid w:val="008512C4"/>
    <w:rsid w:val="00851500"/>
    <w:rsid w:val="008515AC"/>
    <w:rsid w:val="008516A7"/>
    <w:rsid w:val="00851CB3"/>
    <w:rsid w:val="00851CDA"/>
    <w:rsid w:val="00851D30"/>
    <w:rsid w:val="00851D63"/>
    <w:rsid w:val="00851E62"/>
    <w:rsid w:val="00851E65"/>
    <w:rsid w:val="00851F2F"/>
    <w:rsid w:val="0085210C"/>
    <w:rsid w:val="00852112"/>
    <w:rsid w:val="00852214"/>
    <w:rsid w:val="00852424"/>
    <w:rsid w:val="0085249F"/>
    <w:rsid w:val="008529BA"/>
    <w:rsid w:val="00852E50"/>
    <w:rsid w:val="00852E7B"/>
    <w:rsid w:val="00853265"/>
    <w:rsid w:val="00853502"/>
    <w:rsid w:val="00853906"/>
    <w:rsid w:val="0085396E"/>
    <w:rsid w:val="00853AE5"/>
    <w:rsid w:val="00853B0A"/>
    <w:rsid w:val="00853B20"/>
    <w:rsid w:val="00853C3B"/>
    <w:rsid w:val="00853C73"/>
    <w:rsid w:val="00853E4C"/>
    <w:rsid w:val="00853EC4"/>
    <w:rsid w:val="00853F3B"/>
    <w:rsid w:val="00853FEC"/>
    <w:rsid w:val="00854143"/>
    <w:rsid w:val="00854239"/>
    <w:rsid w:val="008544C6"/>
    <w:rsid w:val="008549B6"/>
    <w:rsid w:val="00854DF6"/>
    <w:rsid w:val="00854F95"/>
    <w:rsid w:val="00854FE3"/>
    <w:rsid w:val="008551A2"/>
    <w:rsid w:val="008552F0"/>
    <w:rsid w:val="008556F2"/>
    <w:rsid w:val="00855702"/>
    <w:rsid w:val="0085598C"/>
    <w:rsid w:val="00855DBF"/>
    <w:rsid w:val="00855DCC"/>
    <w:rsid w:val="00855FCF"/>
    <w:rsid w:val="008561CF"/>
    <w:rsid w:val="0085635B"/>
    <w:rsid w:val="008563BF"/>
    <w:rsid w:val="00856450"/>
    <w:rsid w:val="008568B6"/>
    <w:rsid w:val="008569AB"/>
    <w:rsid w:val="00856F01"/>
    <w:rsid w:val="00857326"/>
    <w:rsid w:val="0085734C"/>
    <w:rsid w:val="00857522"/>
    <w:rsid w:val="00857699"/>
    <w:rsid w:val="00857A14"/>
    <w:rsid w:val="00857B05"/>
    <w:rsid w:val="00857E52"/>
    <w:rsid w:val="00857EE1"/>
    <w:rsid w:val="00857F17"/>
    <w:rsid w:val="00860326"/>
    <w:rsid w:val="00860557"/>
    <w:rsid w:val="008607D2"/>
    <w:rsid w:val="00860927"/>
    <w:rsid w:val="00860A63"/>
    <w:rsid w:val="00860DEC"/>
    <w:rsid w:val="00861387"/>
    <w:rsid w:val="00861785"/>
    <w:rsid w:val="00861902"/>
    <w:rsid w:val="00861B41"/>
    <w:rsid w:val="00861BD2"/>
    <w:rsid w:val="00861C48"/>
    <w:rsid w:val="00861C4A"/>
    <w:rsid w:val="00861DC0"/>
    <w:rsid w:val="00861F28"/>
    <w:rsid w:val="00862123"/>
    <w:rsid w:val="00862199"/>
    <w:rsid w:val="008621FA"/>
    <w:rsid w:val="008624CF"/>
    <w:rsid w:val="00862622"/>
    <w:rsid w:val="0086291B"/>
    <w:rsid w:val="008629F1"/>
    <w:rsid w:val="00862B68"/>
    <w:rsid w:val="00862CE5"/>
    <w:rsid w:val="00862ED7"/>
    <w:rsid w:val="00862FDD"/>
    <w:rsid w:val="00863197"/>
    <w:rsid w:val="0086337D"/>
    <w:rsid w:val="0086360A"/>
    <w:rsid w:val="008636A0"/>
    <w:rsid w:val="0086392A"/>
    <w:rsid w:val="00863D7B"/>
    <w:rsid w:val="0086419A"/>
    <w:rsid w:val="0086442D"/>
    <w:rsid w:val="00864548"/>
    <w:rsid w:val="008645A6"/>
    <w:rsid w:val="008645E9"/>
    <w:rsid w:val="0086465E"/>
    <w:rsid w:val="0086481B"/>
    <w:rsid w:val="00864911"/>
    <w:rsid w:val="008649BF"/>
    <w:rsid w:val="00864AC8"/>
    <w:rsid w:val="00864B6A"/>
    <w:rsid w:val="00865018"/>
    <w:rsid w:val="008655A8"/>
    <w:rsid w:val="008656D7"/>
    <w:rsid w:val="008658BC"/>
    <w:rsid w:val="00865909"/>
    <w:rsid w:val="00865B47"/>
    <w:rsid w:val="00865CA6"/>
    <w:rsid w:val="00865FAF"/>
    <w:rsid w:val="0086612F"/>
    <w:rsid w:val="00866142"/>
    <w:rsid w:val="008664D1"/>
    <w:rsid w:val="0086667E"/>
    <w:rsid w:val="00866D51"/>
    <w:rsid w:val="00866DC7"/>
    <w:rsid w:val="00866ECC"/>
    <w:rsid w:val="00866FBA"/>
    <w:rsid w:val="00866FFD"/>
    <w:rsid w:val="0086710E"/>
    <w:rsid w:val="0086724E"/>
    <w:rsid w:val="008676C8"/>
    <w:rsid w:val="00867BDF"/>
    <w:rsid w:val="00867C67"/>
    <w:rsid w:val="00867E11"/>
    <w:rsid w:val="00870043"/>
    <w:rsid w:val="0087023B"/>
    <w:rsid w:val="00870854"/>
    <w:rsid w:val="00870D99"/>
    <w:rsid w:val="00870F88"/>
    <w:rsid w:val="0087198F"/>
    <w:rsid w:val="00871B04"/>
    <w:rsid w:val="00871B2B"/>
    <w:rsid w:val="00872048"/>
    <w:rsid w:val="00872216"/>
    <w:rsid w:val="0087245B"/>
    <w:rsid w:val="00872806"/>
    <w:rsid w:val="00872864"/>
    <w:rsid w:val="0087294E"/>
    <w:rsid w:val="00872DAC"/>
    <w:rsid w:val="00872E38"/>
    <w:rsid w:val="00872E56"/>
    <w:rsid w:val="00872EB1"/>
    <w:rsid w:val="00872FD9"/>
    <w:rsid w:val="0087324D"/>
    <w:rsid w:val="008733F3"/>
    <w:rsid w:val="00873406"/>
    <w:rsid w:val="00873529"/>
    <w:rsid w:val="00873780"/>
    <w:rsid w:val="008737E9"/>
    <w:rsid w:val="00873962"/>
    <w:rsid w:val="00873983"/>
    <w:rsid w:val="00873B5F"/>
    <w:rsid w:val="008748CE"/>
    <w:rsid w:val="008748D3"/>
    <w:rsid w:val="00874C82"/>
    <w:rsid w:val="00874D34"/>
    <w:rsid w:val="00874FB2"/>
    <w:rsid w:val="008751B3"/>
    <w:rsid w:val="00875283"/>
    <w:rsid w:val="0087544E"/>
    <w:rsid w:val="00875534"/>
    <w:rsid w:val="00875641"/>
    <w:rsid w:val="008759AB"/>
    <w:rsid w:val="00875AEF"/>
    <w:rsid w:val="00875B09"/>
    <w:rsid w:val="00875FE5"/>
    <w:rsid w:val="0087605B"/>
    <w:rsid w:val="008760DF"/>
    <w:rsid w:val="008761D7"/>
    <w:rsid w:val="008763A4"/>
    <w:rsid w:val="00876937"/>
    <w:rsid w:val="0087694A"/>
    <w:rsid w:val="00876AF2"/>
    <w:rsid w:val="00876DF9"/>
    <w:rsid w:val="00876E0F"/>
    <w:rsid w:val="00877168"/>
    <w:rsid w:val="0087749C"/>
    <w:rsid w:val="008774BE"/>
    <w:rsid w:val="00877782"/>
    <w:rsid w:val="0087779B"/>
    <w:rsid w:val="00877963"/>
    <w:rsid w:val="008779F0"/>
    <w:rsid w:val="008779F6"/>
    <w:rsid w:val="00877AEA"/>
    <w:rsid w:val="00877E05"/>
    <w:rsid w:val="00880033"/>
    <w:rsid w:val="00880241"/>
    <w:rsid w:val="0088027D"/>
    <w:rsid w:val="008804D5"/>
    <w:rsid w:val="00880607"/>
    <w:rsid w:val="00880987"/>
    <w:rsid w:val="008809C9"/>
    <w:rsid w:val="00880A86"/>
    <w:rsid w:val="00880B5B"/>
    <w:rsid w:val="00880B7F"/>
    <w:rsid w:val="00880B90"/>
    <w:rsid w:val="00880E97"/>
    <w:rsid w:val="0088102F"/>
    <w:rsid w:val="00881040"/>
    <w:rsid w:val="008810A4"/>
    <w:rsid w:val="0088114B"/>
    <w:rsid w:val="008811B9"/>
    <w:rsid w:val="008811C7"/>
    <w:rsid w:val="008815BC"/>
    <w:rsid w:val="00881723"/>
    <w:rsid w:val="008817FB"/>
    <w:rsid w:val="00881836"/>
    <w:rsid w:val="008818D7"/>
    <w:rsid w:val="00881A1F"/>
    <w:rsid w:val="00881A3B"/>
    <w:rsid w:val="00881B39"/>
    <w:rsid w:val="00881BDF"/>
    <w:rsid w:val="00881C6B"/>
    <w:rsid w:val="00881EAA"/>
    <w:rsid w:val="00881FF2"/>
    <w:rsid w:val="008821C0"/>
    <w:rsid w:val="008826AB"/>
    <w:rsid w:val="008826BE"/>
    <w:rsid w:val="008826D2"/>
    <w:rsid w:val="008827B4"/>
    <w:rsid w:val="00882954"/>
    <w:rsid w:val="00882BBC"/>
    <w:rsid w:val="008835E0"/>
    <w:rsid w:val="008839E7"/>
    <w:rsid w:val="00883C9E"/>
    <w:rsid w:val="00883E19"/>
    <w:rsid w:val="00884046"/>
    <w:rsid w:val="00884190"/>
    <w:rsid w:val="0088437C"/>
    <w:rsid w:val="0088465E"/>
    <w:rsid w:val="008846CD"/>
    <w:rsid w:val="00884737"/>
    <w:rsid w:val="008848B3"/>
    <w:rsid w:val="00884A8F"/>
    <w:rsid w:val="00884AB1"/>
    <w:rsid w:val="00884C18"/>
    <w:rsid w:val="00884CFD"/>
    <w:rsid w:val="00884DE8"/>
    <w:rsid w:val="00884EE6"/>
    <w:rsid w:val="00884FEA"/>
    <w:rsid w:val="0088505B"/>
    <w:rsid w:val="008851EC"/>
    <w:rsid w:val="008855E1"/>
    <w:rsid w:val="008856A3"/>
    <w:rsid w:val="00885870"/>
    <w:rsid w:val="00885E2E"/>
    <w:rsid w:val="00885F22"/>
    <w:rsid w:val="00886121"/>
    <w:rsid w:val="00886196"/>
    <w:rsid w:val="0088622F"/>
    <w:rsid w:val="00886236"/>
    <w:rsid w:val="00886A23"/>
    <w:rsid w:val="00886A6F"/>
    <w:rsid w:val="00886B14"/>
    <w:rsid w:val="00886B22"/>
    <w:rsid w:val="00886B6D"/>
    <w:rsid w:val="00886CDA"/>
    <w:rsid w:val="00886F29"/>
    <w:rsid w:val="008870A1"/>
    <w:rsid w:val="008870A5"/>
    <w:rsid w:val="008873C7"/>
    <w:rsid w:val="008874BF"/>
    <w:rsid w:val="0088776D"/>
    <w:rsid w:val="00887782"/>
    <w:rsid w:val="0088786D"/>
    <w:rsid w:val="00887ACC"/>
    <w:rsid w:val="00887DE6"/>
    <w:rsid w:val="00887E13"/>
    <w:rsid w:val="0089030F"/>
    <w:rsid w:val="00890367"/>
    <w:rsid w:val="00890446"/>
    <w:rsid w:val="008905C3"/>
    <w:rsid w:val="00890930"/>
    <w:rsid w:val="00890A3D"/>
    <w:rsid w:val="00890A7B"/>
    <w:rsid w:val="00890FA3"/>
    <w:rsid w:val="008910C6"/>
    <w:rsid w:val="00891292"/>
    <w:rsid w:val="00891437"/>
    <w:rsid w:val="00891553"/>
    <w:rsid w:val="00891592"/>
    <w:rsid w:val="008915BB"/>
    <w:rsid w:val="0089161B"/>
    <w:rsid w:val="008918B6"/>
    <w:rsid w:val="008918BE"/>
    <w:rsid w:val="00891B5D"/>
    <w:rsid w:val="00891D0B"/>
    <w:rsid w:val="00891FFE"/>
    <w:rsid w:val="008923FB"/>
    <w:rsid w:val="008929C7"/>
    <w:rsid w:val="00892A8E"/>
    <w:rsid w:val="00892A92"/>
    <w:rsid w:val="00892AF2"/>
    <w:rsid w:val="00892AFF"/>
    <w:rsid w:val="00892BE2"/>
    <w:rsid w:val="00892C23"/>
    <w:rsid w:val="00892DB1"/>
    <w:rsid w:val="00892EFE"/>
    <w:rsid w:val="00892FD0"/>
    <w:rsid w:val="00892FDF"/>
    <w:rsid w:val="008930C4"/>
    <w:rsid w:val="00893A69"/>
    <w:rsid w:val="00893C28"/>
    <w:rsid w:val="00893C4C"/>
    <w:rsid w:val="00893FBB"/>
    <w:rsid w:val="00893FD0"/>
    <w:rsid w:val="00894165"/>
    <w:rsid w:val="00894262"/>
    <w:rsid w:val="00894307"/>
    <w:rsid w:val="0089434A"/>
    <w:rsid w:val="00894619"/>
    <w:rsid w:val="00894790"/>
    <w:rsid w:val="008948A8"/>
    <w:rsid w:val="008948FF"/>
    <w:rsid w:val="00894AC4"/>
    <w:rsid w:val="008953F8"/>
    <w:rsid w:val="008955AB"/>
    <w:rsid w:val="0089577B"/>
    <w:rsid w:val="0089585C"/>
    <w:rsid w:val="00895962"/>
    <w:rsid w:val="00895E28"/>
    <w:rsid w:val="00895FB4"/>
    <w:rsid w:val="00896068"/>
    <w:rsid w:val="008964BD"/>
    <w:rsid w:val="00896803"/>
    <w:rsid w:val="00896B34"/>
    <w:rsid w:val="00896E56"/>
    <w:rsid w:val="00896E8C"/>
    <w:rsid w:val="00896FFC"/>
    <w:rsid w:val="0089721A"/>
    <w:rsid w:val="00897280"/>
    <w:rsid w:val="008972DE"/>
    <w:rsid w:val="00897399"/>
    <w:rsid w:val="0089751D"/>
    <w:rsid w:val="00897571"/>
    <w:rsid w:val="00897965"/>
    <w:rsid w:val="00897A6A"/>
    <w:rsid w:val="00897B51"/>
    <w:rsid w:val="00897F97"/>
    <w:rsid w:val="00897FBB"/>
    <w:rsid w:val="008A008A"/>
    <w:rsid w:val="008A00A5"/>
    <w:rsid w:val="008A02C5"/>
    <w:rsid w:val="008A033F"/>
    <w:rsid w:val="008A0343"/>
    <w:rsid w:val="008A0394"/>
    <w:rsid w:val="008A0566"/>
    <w:rsid w:val="008A05FB"/>
    <w:rsid w:val="008A08BF"/>
    <w:rsid w:val="008A0904"/>
    <w:rsid w:val="008A0A16"/>
    <w:rsid w:val="008A1039"/>
    <w:rsid w:val="008A15A3"/>
    <w:rsid w:val="008A163E"/>
    <w:rsid w:val="008A179F"/>
    <w:rsid w:val="008A18EB"/>
    <w:rsid w:val="008A18FA"/>
    <w:rsid w:val="008A196A"/>
    <w:rsid w:val="008A1B37"/>
    <w:rsid w:val="008A1BD6"/>
    <w:rsid w:val="008A1C80"/>
    <w:rsid w:val="008A1E4C"/>
    <w:rsid w:val="008A23B2"/>
    <w:rsid w:val="008A2785"/>
    <w:rsid w:val="008A2838"/>
    <w:rsid w:val="008A2F22"/>
    <w:rsid w:val="008A335C"/>
    <w:rsid w:val="008A33E5"/>
    <w:rsid w:val="008A34A3"/>
    <w:rsid w:val="008A34FD"/>
    <w:rsid w:val="008A34FE"/>
    <w:rsid w:val="008A360C"/>
    <w:rsid w:val="008A365B"/>
    <w:rsid w:val="008A37C9"/>
    <w:rsid w:val="008A3809"/>
    <w:rsid w:val="008A382A"/>
    <w:rsid w:val="008A38B6"/>
    <w:rsid w:val="008A3947"/>
    <w:rsid w:val="008A3AD8"/>
    <w:rsid w:val="008A3CF3"/>
    <w:rsid w:val="008A3EF5"/>
    <w:rsid w:val="008A3F6B"/>
    <w:rsid w:val="008A44F4"/>
    <w:rsid w:val="008A4685"/>
    <w:rsid w:val="008A4817"/>
    <w:rsid w:val="008A4A58"/>
    <w:rsid w:val="008A4B80"/>
    <w:rsid w:val="008A4E16"/>
    <w:rsid w:val="008A4F0E"/>
    <w:rsid w:val="008A5215"/>
    <w:rsid w:val="008A5344"/>
    <w:rsid w:val="008A53AC"/>
    <w:rsid w:val="008A53B7"/>
    <w:rsid w:val="008A55F0"/>
    <w:rsid w:val="008A5B53"/>
    <w:rsid w:val="008A5DFA"/>
    <w:rsid w:val="008A5E57"/>
    <w:rsid w:val="008A62C2"/>
    <w:rsid w:val="008A641C"/>
    <w:rsid w:val="008A6506"/>
    <w:rsid w:val="008A65B4"/>
    <w:rsid w:val="008A68E0"/>
    <w:rsid w:val="008A6B76"/>
    <w:rsid w:val="008A6B7F"/>
    <w:rsid w:val="008A6B82"/>
    <w:rsid w:val="008A6E9E"/>
    <w:rsid w:val="008A709F"/>
    <w:rsid w:val="008A716B"/>
    <w:rsid w:val="008A722B"/>
    <w:rsid w:val="008A7766"/>
    <w:rsid w:val="008A7807"/>
    <w:rsid w:val="008A789A"/>
    <w:rsid w:val="008A78B1"/>
    <w:rsid w:val="008A7AC3"/>
    <w:rsid w:val="008A7BCE"/>
    <w:rsid w:val="008A7D13"/>
    <w:rsid w:val="008A7EBB"/>
    <w:rsid w:val="008B00DB"/>
    <w:rsid w:val="008B0130"/>
    <w:rsid w:val="008B02DF"/>
    <w:rsid w:val="008B042A"/>
    <w:rsid w:val="008B054C"/>
    <w:rsid w:val="008B0572"/>
    <w:rsid w:val="008B0627"/>
    <w:rsid w:val="008B06A7"/>
    <w:rsid w:val="008B06C9"/>
    <w:rsid w:val="008B082A"/>
    <w:rsid w:val="008B0864"/>
    <w:rsid w:val="008B0A04"/>
    <w:rsid w:val="008B0BF1"/>
    <w:rsid w:val="008B0DB4"/>
    <w:rsid w:val="008B0ECF"/>
    <w:rsid w:val="008B0F60"/>
    <w:rsid w:val="008B0F8E"/>
    <w:rsid w:val="008B10AB"/>
    <w:rsid w:val="008B12EA"/>
    <w:rsid w:val="008B175A"/>
    <w:rsid w:val="008B190A"/>
    <w:rsid w:val="008B1B90"/>
    <w:rsid w:val="008B1D8B"/>
    <w:rsid w:val="008B1F50"/>
    <w:rsid w:val="008B1F93"/>
    <w:rsid w:val="008B2172"/>
    <w:rsid w:val="008B21BA"/>
    <w:rsid w:val="008B2234"/>
    <w:rsid w:val="008B2282"/>
    <w:rsid w:val="008B2514"/>
    <w:rsid w:val="008B2989"/>
    <w:rsid w:val="008B2CCC"/>
    <w:rsid w:val="008B2D32"/>
    <w:rsid w:val="008B2D5D"/>
    <w:rsid w:val="008B2D6D"/>
    <w:rsid w:val="008B2DE1"/>
    <w:rsid w:val="008B2E01"/>
    <w:rsid w:val="008B2E30"/>
    <w:rsid w:val="008B2ED1"/>
    <w:rsid w:val="008B2FA3"/>
    <w:rsid w:val="008B31EF"/>
    <w:rsid w:val="008B325D"/>
    <w:rsid w:val="008B3417"/>
    <w:rsid w:val="008B3594"/>
    <w:rsid w:val="008B37D2"/>
    <w:rsid w:val="008B38DB"/>
    <w:rsid w:val="008B3A6A"/>
    <w:rsid w:val="008B3B98"/>
    <w:rsid w:val="008B3C42"/>
    <w:rsid w:val="008B3E4F"/>
    <w:rsid w:val="008B417E"/>
    <w:rsid w:val="008B4272"/>
    <w:rsid w:val="008B44F7"/>
    <w:rsid w:val="008B4AD2"/>
    <w:rsid w:val="008B4B16"/>
    <w:rsid w:val="008B4C74"/>
    <w:rsid w:val="008B4C7C"/>
    <w:rsid w:val="008B4EB8"/>
    <w:rsid w:val="008B503C"/>
    <w:rsid w:val="008B524F"/>
    <w:rsid w:val="008B5260"/>
    <w:rsid w:val="008B545D"/>
    <w:rsid w:val="008B5469"/>
    <w:rsid w:val="008B559F"/>
    <w:rsid w:val="008B55C7"/>
    <w:rsid w:val="008B589D"/>
    <w:rsid w:val="008B58A6"/>
    <w:rsid w:val="008B5927"/>
    <w:rsid w:val="008B5A35"/>
    <w:rsid w:val="008B5BBB"/>
    <w:rsid w:val="008B601D"/>
    <w:rsid w:val="008B619D"/>
    <w:rsid w:val="008B6222"/>
    <w:rsid w:val="008B626D"/>
    <w:rsid w:val="008B6400"/>
    <w:rsid w:val="008B6495"/>
    <w:rsid w:val="008B6A24"/>
    <w:rsid w:val="008B6BD3"/>
    <w:rsid w:val="008B700A"/>
    <w:rsid w:val="008B7307"/>
    <w:rsid w:val="008B7522"/>
    <w:rsid w:val="008B7585"/>
    <w:rsid w:val="008B7679"/>
    <w:rsid w:val="008B76AF"/>
    <w:rsid w:val="008B779C"/>
    <w:rsid w:val="008B79C5"/>
    <w:rsid w:val="008B7B3F"/>
    <w:rsid w:val="008B7B78"/>
    <w:rsid w:val="008B7CD9"/>
    <w:rsid w:val="008B7F8A"/>
    <w:rsid w:val="008C00CD"/>
    <w:rsid w:val="008C0212"/>
    <w:rsid w:val="008C0713"/>
    <w:rsid w:val="008C0817"/>
    <w:rsid w:val="008C0882"/>
    <w:rsid w:val="008C0A0E"/>
    <w:rsid w:val="008C0BE6"/>
    <w:rsid w:val="008C0BEB"/>
    <w:rsid w:val="008C0E99"/>
    <w:rsid w:val="008C0F84"/>
    <w:rsid w:val="008C1044"/>
    <w:rsid w:val="008C10F2"/>
    <w:rsid w:val="008C1302"/>
    <w:rsid w:val="008C1319"/>
    <w:rsid w:val="008C1458"/>
    <w:rsid w:val="008C1570"/>
    <w:rsid w:val="008C195F"/>
    <w:rsid w:val="008C1D99"/>
    <w:rsid w:val="008C20E4"/>
    <w:rsid w:val="008C2295"/>
    <w:rsid w:val="008C22A7"/>
    <w:rsid w:val="008C2313"/>
    <w:rsid w:val="008C2395"/>
    <w:rsid w:val="008C24E3"/>
    <w:rsid w:val="008C25CC"/>
    <w:rsid w:val="008C260D"/>
    <w:rsid w:val="008C265F"/>
    <w:rsid w:val="008C289A"/>
    <w:rsid w:val="008C2A27"/>
    <w:rsid w:val="008C2BF2"/>
    <w:rsid w:val="008C2E78"/>
    <w:rsid w:val="008C2ED7"/>
    <w:rsid w:val="008C2F28"/>
    <w:rsid w:val="008C3385"/>
    <w:rsid w:val="008C3528"/>
    <w:rsid w:val="008C36CF"/>
    <w:rsid w:val="008C374D"/>
    <w:rsid w:val="008C394E"/>
    <w:rsid w:val="008C3B69"/>
    <w:rsid w:val="008C3BA0"/>
    <w:rsid w:val="008C3C26"/>
    <w:rsid w:val="008C3CB7"/>
    <w:rsid w:val="008C3DE4"/>
    <w:rsid w:val="008C4589"/>
    <w:rsid w:val="008C4611"/>
    <w:rsid w:val="008C4939"/>
    <w:rsid w:val="008C499B"/>
    <w:rsid w:val="008C4A32"/>
    <w:rsid w:val="008C519E"/>
    <w:rsid w:val="008C5528"/>
    <w:rsid w:val="008C58CF"/>
    <w:rsid w:val="008C58FC"/>
    <w:rsid w:val="008C5915"/>
    <w:rsid w:val="008C59DB"/>
    <w:rsid w:val="008C5C87"/>
    <w:rsid w:val="008C6488"/>
    <w:rsid w:val="008C6626"/>
    <w:rsid w:val="008C6629"/>
    <w:rsid w:val="008C68CD"/>
    <w:rsid w:val="008C6BAF"/>
    <w:rsid w:val="008C6C14"/>
    <w:rsid w:val="008C6F19"/>
    <w:rsid w:val="008C708B"/>
    <w:rsid w:val="008C7125"/>
    <w:rsid w:val="008C7413"/>
    <w:rsid w:val="008C752D"/>
    <w:rsid w:val="008C7707"/>
    <w:rsid w:val="008C7812"/>
    <w:rsid w:val="008C784B"/>
    <w:rsid w:val="008C78E4"/>
    <w:rsid w:val="008C79C8"/>
    <w:rsid w:val="008C7A05"/>
    <w:rsid w:val="008C7B2C"/>
    <w:rsid w:val="008C7B8B"/>
    <w:rsid w:val="008C7E6F"/>
    <w:rsid w:val="008D00D4"/>
    <w:rsid w:val="008D01DA"/>
    <w:rsid w:val="008D0218"/>
    <w:rsid w:val="008D040E"/>
    <w:rsid w:val="008D04B2"/>
    <w:rsid w:val="008D0775"/>
    <w:rsid w:val="008D079C"/>
    <w:rsid w:val="008D0814"/>
    <w:rsid w:val="008D0A0C"/>
    <w:rsid w:val="008D0AC6"/>
    <w:rsid w:val="008D0B12"/>
    <w:rsid w:val="008D0B61"/>
    <w:rsid w:val="008D0CF9"/>
    <w:rsid w:val="008D0D16"/>
    <w:rsid w:val="008D1099"/>
    <w:rsid w:val="008D10CC"/>
    <w:rsid w:val="008D12CF"/>
    <w:rsid w:val="008D165F"/>
    <w:rsid w:val="008D16B7"/>
    <w:rsid w:val="008D1893"/>
    <w:rsid w:val="008D18A9"/>
    <w:rsid w:val="008D1A48"/>
    <w:rsid w:val="008D1B89"/>
    <w:rsid w:val="008D1C99"/>
    <w:rsid w:val="008D1D95"/>
    <w:rsid w:val="008D1E93"/>
    <w:rsid w:val="008D2056"/>
    <w:rsid w:val="008D2854"/>
    <w:rsid w:val="008D2D84"/>
    <w:rsid w:val="008D2E2E"/>
    <w:rsid w:val="008D30FF"/>
    <w:rsid w:val="008D317D"/>
    <w:rsid w:val="008D35B1"/>
    <w:rsid w:val="008D3AC8"/>
    <w:rsid w:val="008D3C58"/>
    <w:rsid w:val="008D3D3F"/>
    <w:rsid w:val="008D3E38"/>
    <w:rsid w:val="008D3F9C"/>
    <w:rsid w:val="008D4107"/>
    <w:rsid w:val="008D4232"/>
    <w:rsid w:val="008D42E1"/>
    <w:rsid w:val="008D434B"/>
    <w:rsid w:val="008D4ED5"/>
    <w:rsid w:val="008D4FC3"/>
    <w:rsid w:val="008D4FFB"/>
    <w:rsid w:val="008D503E"/>
    <w:rsid w:val="008D509D"/>
    <w:rsid w:val="008D52F1"/>
    <w:rsid w:val="008D56BC"/>
    <w:rsid w:val="008D56CB"/>
    <w:rsid w:val="008D56E7"/>
    <w:rsid w:val="008D5938"/>
    <w:rsid w:val="008D5BAB"/>
    <w:rsid w:val="008D5E03"/>
    <w:rsid w:val="008D5F7D"/>
    <w:rsid w:val="008D61A5"/>
    <w:rsid w:val="008D6294"/>
    <w:rsid w:val="008D6369"/>
    <w:rsid w:val="008D63ED"/>
    <w:rsid w:val="008D64A2"/>
    <w:rsid w:val="008D6655"/>
    <w:rsid w:val="008D66BF"/>
    <w:rsid w:val="008D68C0"/>
    <w:rsid w:val="008D6C25"/>
    <w:rsid w:val="008D6D91"/>
    <w:rsid w:val="008D6DA9"/>
    <w:rsid w:val="008D70A1"/>
    <w:rsid w:val="008D7193"/>
    <w:rsid w:val="008D71C2"/>
    <w:rsid w:val="008D736D"/>
    <w:rsid w:val="008D7414"/>
    <w:rsid w:val="008D758B"/>
    <w:rsid w:val="008D76E9"/>
    <w:rsid w:val="008D772A"/>
    <w:rsid w:val="008D77C8"/>
    <w:rsid w:val="008D77F7"/>
    <w:rsid w:val="008D7813"/>
    <w:rsid w:val="008D7B13"/>
    <w:rsid w:val="008D7C49"/>
    <w:rsid w:val="008E025D"/>
    <w:rsid w:val="008E028F"/>
    <w:rsid w:val="008E0320"/>
    <w:rsid w:val="008E049D"/>
    <w:rsid w:val="008E05D0"/>
    <w:rsid w:val="008E08A0"/>
    <w:rsid w:val="008E0B64"/>
    <w:rsid w:val="008E0E7D"/>
    <w:rsid w:val="008E1229"/>
    <w:rsid w:val="008E12A8"/>
    <w:rsid w:val="008E160D"/>
    <w:rsid w:val="008E16F5"/>
    <w:rsid w:val="008E17AF"/>
    <w:rsid w:val="008E1928"/>
    <w:rsid w:val="008E1A2D"/>
    <w:rsid w:val="008E1A9B"/>
    <w:rsid w:val="008E1D4D"/>
    <w:rsid w:val="008E1E4B"/>
    <w:rsid w:val="008E274A"/>
    <w:rsid w:val="008E2AEC"/>
    <w:rsid w:val="008E3025"/>
    <w:rsid w:val="008E30CF"/>
    <w:rsid w:val="008E33A2"/>
    <w:rsid w:val="008E33C2"/>
    <w:rsid w:val="008E33D2"/>
    <w:rsid w:val="008E3566"/>
    <w:rsid w:val="008E360B"/>
    <w:rsid w:val="008E3651"/>
    <w:rsid w:val="008E3652"/>
    <w:rsid w:val="008E368A"/>
    <w:rsid w:val="008E36D7"/>
    <w:rsid w:val="008E36E8"/>
    <w:rsid w:val="008E375B"/>
    <w:rsid w:val="008E3D3B"/>
    <w:rsid w:val="008E3D5D"/>
    <w:rsid w:val="008E3F29"/>
    <w:rsid w:val="008E400D"/>
    <w:rsid w:val="008E4014"/>
    <w:rsid w:val="008E41BF"/>
    <w:rsid w:val="008E4309"/>
    <w:rsid w:val="008E452B"/>
    <w:rsid w:val="008E4CDD"/>
    <w:rsid w:val="008E4F73"/>
    <w:rsid w:val="008E5009"/>
    <w:rsid w:val="008E58A7"/>
    <w:rsid w:val="008E596B"/>
    <w:rsid w:val="008E5A4A"/>
    <w:rsid w:val="008E5AF9"/>
    <w:rsid w:val="008E5D1F"/>
    <w:rsid w:val="008E5FDD"/>
    <w:rsid w:val="008E624C"/>
    <w:rsid w:val="008E6293"/>
    <w:rsid w:val="008E62BD"/>
    <w:rsid w:val="008E62E0"/>
    <w:rsid w:val="008E6338"/>
    <w:rsid w:val="008E656B"/>
    <w:rsid w:val="008E6737"/>
    <w:rsid w:val="008E6829"/>
    <w:rsid w:val="008E6AE6"/>
    <w:rsid w:val="008E6BA7"/>
    <w:rsid w:val="008E6CBA"/>
    <w:rsid w:val="008E6D8E"/>
    <w:rsid w:val="008E71C2"/>
    <w:rsid w:val="008E73C5"/>
    <w:rsid w:val="008E7845"/>
    <w:rsid w:val="008E7A86"/>
    <w:rsid w:val="008F00CB"/>
    <w:rsid w:val="008F0116"/>
    <w:rsid w:val="008F04B2"/>
    <w:rsid w:val="008F07FE"/>
    <w:rsid w:val="008F09A4"/>
    <w:rsid w:val="008F09C8"/>
    <w:rsid w:val="008F0AEC"/>
    <w:rsid w:val="008F0F5B"/>
    <w:rsid w:val="008F1076"/>
    <w:rsid w:val="008F11B1"/>
    <w:rsid w:val="008F11C5"/>
    <w:rsid w:val="008F143D"/>
    <w:rsid w:val="008F1578"/>
    <w:rsid w:val="008F15BC"/>
    <w:rsid w:val="008F1666"/>
    <w:rsid w:val="008F1801"/>
    <w:rsid w:val="008F18A2"/>
    <w:rsid w:val="008F2101"/>
    <w:rsid w:val="008F217F"/>
    <w:rsid w:val="008F2385"/>
    <w:rsid w:val="008F25BE"/>
    <w:rsid w:val="008F2671"/>
    <w:rsid w:val="008F2878"/>
    <w:rsid w:val="008F2C5B"/>
    <w:rsid w:val="008F2D44"/>
    <w:rsid w:val="008F2E34"/>
    <w:rsid w:val="008F3400"/>
    <w:rsid w:val="008F349B"/>
    <w:rsid w:val="008F3539"/>
    <w:rsid w:val="008F38B9"/>
    <w:rsid w:val="008F3E66"/>
    <w:rsid w:val="008F4850"/>
    <w:rsid w:val="008F48C6"/>
    <w:rsid w:val="008F49DD"/>
    <w:rsid w:val="008F4EF8"/>
    <w:rsid w:val="008F5425"/>
    <w:rsid w:val="008F544B"/>
    <w:rsid w:val="008F5643"/>
    <w:rsid w:val="008F568F"/>
    <w:rsid w:val="008F56F6"/>
    <w:rsid w:val="008F5996"/>
    <w:rsid w:val="008F59B5"/>
    <w:rsid w:val="008F5A9B"/>
    <w:rsid w:val="008F5ED8"/>
    <w:rsid w:val="008F606A"/>
    <w:rsid w:val="008F620B"/>
    <w:rsid w:val="008F62FA"/>
    <w:rsid w:val="008F63F9"/>
    <w:rsid w:val="008F642B"/>
    <w:rsid w:val="008F6815"/>
    <w:rsid w:val="008F68E4"/>
    <w:rsid w:val="008F693B"/>
    <w:rsid w:val="008F6D7D"/>
    <w:rsid w:val="008F6DEC"/>
    <w:rsid w:val="008F6F46"/>
    <w:rsid w:val="008F6FBC"/>
    <w:rsid w:val="008F707E"/>
    <w:rsid w:val="008F70A8"/>
    <w:rsid w:val="008F73DE"/>
    <w:rsid w:val="008F790A"/>
    <w:rsid w:val="008F79AD"/>
    <w:rsid w:val="008F79E0"/>
    <w:rsid w:val="0090010E"/>
    <w:rsid w:val="00900110"/>
    <w:rsid w:val="0090012B"/>
    <w:rsid w:val="00900C5B"/>
    <w:rsid w:val="00900E8B"/>
    <w:rsid w:val="00900E8F"/>
    <w:rsid w:val="00900EF2"/>
    <w:rsid w:val="00900FDC"/>
    <w:rsid w:val="00901141"/>
    <w:rsid w:val="00901532"/>
    <w:rsid w:val="009015A3"/>
    <w:rsid w:val="0090182D"/>
    <w:rsid w:val="00901A4F"/>
    <w:rsid w:val="00901B5F"/>
    <w:rsid w:val="00901CB8"/>
    <w:rsid w:val="009021CE"/>
    <w:rsid w:val="009021FD"/>
    <w:rsid w:val="00902281"/>
    <w:rsid w:val="009022CF"/>
    <w:rsid w:val="0090261B"/>
    <w:rsid w:val="00902843"/>
    <w:rsid w:val="0090294A"/>
    <w:rsid w:val="00902A8B"/>
    <w:rsid w:val="00902C36"/>
    <w:rsid w:val="00902C6F"/>
    <w:rsid w:val="00902FA6"/>
    <w:rsid w:val="009031FD"/>
    <w:rsid w:val="00903396"/>
    <w:rsid w:val="00903451"/>
    <w:rsid w:val="00903757"/>
    <w:rsid w:val="009038B0"/>
    <w:rsid w:val="009038DB"/>
    <w:rsid w:val="0090399C"/>
    <w:rsid w:val="00903CDC"/>
    <w:rsid w:val="00903E94"/>
    <w:rsid w:val="00904030"/>
    <w:rsid w:val="009041FD"/>
    <w:rsid w:val="009046C1"/>
    <w:rsid w:val="009046C8"/>
    <w:rsid w:val="009049AD"/>
    <w:rsid w:val="00904B9A"/>
    <w:rsid w:val="00904C4D"/>
    <w:rsid w:val="00904D44"/>
    <w:rsid w:val="00905013"/>
    <w:rsid w:val="00905218"/>
    <w:rsid w:val="009055BE"/>
    <w:rsid w:val="00905BE6"/>
    <w:rsid w:val="00905D8F"/>
    <w:rsid w:val="009060B7"/>
    <w:rsid w:val="009061E4"/>
    <w:rsid w:val="00906312"/>
    <w:rsid w:val="0090638F"/>
    <w:rsid w:val="00906495"/>
    <w:rsid w:val="0090671A"/>
    <w:rsid w:val="0090679B"/>
    <w:rsid w:val="00906B1C"/>
    <w:rsid w:val="00906B4E"/>
    <w:rsid w:val="00906E8B"/>
    <w:rsid w:val="00906EAC"/>
    <w:rsid w:val="00907200"/>
    <w:rsid w:val="00907387"/>
    <w:rsid w:val="00907544"/>
    <w:rsid w:val="00907646"/>
    <w:rsid w:val="00907675"/>
    <w:rsid w:val="00907951"/>
    <w:rsid w:val="00907C18"/>
    <w:rsid w:val="00907F7E"/>
    <w:rsid w:val="00910039"/>
    <w:rsid w:val="009105CA"/>
    <w:rsid w:val="00910672"/>
    <w:rsid w:val="009106F0"/>
    <w:rsid w:val="00910748"/>
    <w:rsid w:val="009108FA"/>
    <w:rsid w:val="00910D2F"/>
    <w:rsid w:val="00910EB6"/>
    <w:rsid w:val="00910F4A"/>
    <w:rsid w:val="00910F96"/>
    <w:rsid w:val="009110B4"/>
    <w:rsid w:val="009111E8"/>
    <w:rsid w:val="00911329"/>
    <w:rsid w:val="009113E3"/>
    <w:rsid w:val="00911598"/>
    <w:rsid w:val="009118F1"/>
    <w:rsid w:val="00911900"/>
    <w:rsid w:val="00911908"/>
    <w:rsid w:val="00911D0D"/>
    <w:rsid w:val="00912140"/>
    <w:rsid w:val="00912208"/>
    <w:rsid w:val="009122E4"/>
    <w:rsid w:val="0091260B"/>
    <w:rsid w:val="00912637"/>
    <w:rsid w:val="00912650"/>
    <w:rsid w:val="00912843"/>
    <w:rsid w:val="00912934"/>
    <w:rsid w:val="009129EE"/>
    <w:rsid w:val="00912E31"/>
    <w:rsid w:val="00912E54"/>
    <w:rsid w:val="009131E1"/>
    <w:rsid w:val="00913736"/>
    <w:rsid w:val="009137ED"/>
    <w:rsid w:val="00913ABF"/>
    <w:rsid w:val="00913B14"/>
    <w:rsid w:val="00913C6D"/>
    <w:rsid w:val="00913EBC"/>
    <w:rsid w:val="00913EC4"/>
    <w:rsid w:val="00914095"/>
    <w:rsid w:val="009141A1"/>
    <w:rsid w:val="00914368"/>
    <w:rsid w:val="00914470"/>
    <w:rsid w:val="00914676"/>
    <w:rsid w:val="00914ADC"/>
    <w:rsid w:val="00914B5B"/>
    <w:rsid w:val="00914B74"/>
    <w:rsid w:val="00914D8C"/>
    <w:rsid w:val="00914F6B"/>
    <w:rsid w:val="00915063"/>
    <w:rsid w:val="009152A6"/>
    <w:rsid w:val="009154B5"/>
    <w:rsid w:val="009154B8"/>
    <w:rsid w:val="00915662"/>
    <w:rsid w:val="00915762"/>
    <w:rsid w:val="00915EEB"/>
    <w:rsid w:val="00915F3F"/>
    <w:rsid w:val="00915FF1"/>
    <w:rsid w:val="00915FFD"/>
    <w:rsid w:val="009162FC"/>
    <w:rsid w:val="009165C0"/>
    <w:rsid w:val="00916702"/>
    <w:rsid w:val="00916750"/>
    <w:rsid w:val="00916886"/>
    <w:rsid w:val="009168AB"/>
    <w:rsid w:val="00916947"/>
    <w:rsid w:val="00916A90"/>
    <w:rsid w:val="00916B41"/>
    <w:rsid w:val="00916C0A"/>
    <w:rsid w:val="00916E5D"/>
    <w:rsid w:val="00916FE8"/>
    <w:rsid w:val="00917080"/>
    <w:rsid w:val="009170AF"/>
    <w:rsid w:val="0091711B"/>
    <w:rsid w:val="009172D2"/>
    <w:rsid w:val="009172ED"/>
    <w:rsid w:val="009173A1"/>
    <w:rsid w:val="00917563"/>
    <w:rsid w:val="009175F8"/>
    <w:rsid w:val="009177CA"/>
    <w:rsid w:val="009179DD"/>
    <w:rsid w:val="00917ADB"/>
    <w:rsid w:val="00917AF9"/>
    <w:rsid w:val="00917B3E"/>
    <w:rsid w:val="00917C74"/>
    <w:rsid w:val="00917D61"/>
    <w:rsid w:val="00917E71"/>
    <w:rsid w:val="0092005A"/>
    <w:rsid w:val="0092012F"/>
    <w:rsid w:val="0092014C"/>
    <w:rsid w:val="00920240"/>
    <w:rsid w:val="009203CA"/>
    <w:rsid w:val="009204BC"/>
    <w:rsid w:val="00920574"/>
    <w:rsid w:val="00920980"/>
    <w:rsid w:val="00920E83"/>
    <w:rsid w:val="009210BC"/>
    <w:rsid w:val="009210C6"/>
    <w:rsid w:val="00921148"/>
    <w:rsid w:val="009211E8"/>
    <w:rsid w:val="009217BC"/>
    <w:rsid w:val="00921B7F"/>
    <w:rsid w:val="0092216C"/>
    <w:rsid w:val="00922269"/>
    <w:rsid w:val="00922279"/>
    <w:rsid w:val="009226F2"/>
    <w:rsid w:val="00922712"/>
    <w:rsid w:val="009227BE"/>
    <w:rsid w:val="00922838"/>
    <w:rsid w:val="009228C1"/>
    <w:rsid w:val="00922920"/>
    <w:rsid w:val="0092299E"/>
    <w:rsid w:val="00922A2A"/>
    <w:rsid w:val="00922A63"/>
    <w:rsid w:val="00922C10"/>
    <w:rsid w:val="00922CE4"/>
    <w:rsid w:val="00922EF6"/>
    <w:rsid w:val="00922F46"/>
    <w:rsid w:val="009230D7"/>
    <w:rsid w:val="009234C6"/>
    <w:rsid w:val="009237DB"/>
    <w:rsid w:val="0092383F"/>
    <w:rsid w:val="009238E8"/>
    <w:rsid w:val="00923DDB"/>
    <w:rsid w:val="00923E2E"/>
    <w:rsid w:val="00924086"/>
    <w:rsid w:val="009241A6"/>
    <w:rsid w:val="00924251"/>
    <w:rsid w:val="00924673"/>
    <w:rsid w:val="0092488F"/>
    <w:rsid w:val="00924DBF"/>
    <w:rsid w:val="00924E54"/>
    <w:rsid w:val="00924F5F"/>
    <w:rsid w:val="009250A1"/>
    <w:rsid w:val="009253F8"/>
    <w:rsid w:val="00925584"/>
    <w:rsid w:val="00925E43"/>
    <w:rsid w:val="00925EE3"/>
    <w:rsid w:val="00926072"/>
    <w:rsid w:val="00926123"/>
    <w:rsid w:val="00926152"/>
    <w:rsid w:val="009261AE"/>
    <w:rsid w:val="00926213"/>
    <w:rsid w:val="00926565"/>
    <w:rsid w:val="00926633"/>
    <w:rsid w:val="00926C70"/>
    <w:rsid w:val="00926E0C"/>
    <w:rsid w:val="00926ED0"/>
    <w:rsid w:val="0092753A"/>
    <w:rsid w:val="00927604"/>
    <w:rsid w:val="00927794"/>
    <w:rsid w:val="0092779B"/>
    <w:rsid w:val="00927961"/>
    <w:rsid w:val="00927AE7"/>
    <w:rsid w:val="00927B92"/>
    <w:rsid w:val="00927BD0"/>
    <w:rsid w:val="00927D88"/>
    <w:rsid w:val="00927F11"/>
    <w:rsid w:val="00927F9B"/>
    <w:rsid w:val="00927FF0"/>
    <w:rsid w:val="0093033F"/>
    <w:rsid w:val="00930745"/>
    <w:rsid w:val="0093076E"/>
    <w:rsid w:val="009307E6"/>
    <w:rsid w:val="00930837"/>
    <w:rsid w:val="009308CD"/>
    <w:rsid w:val="00930A71"/>
    <w:rsid w:val="00930B2F"/>
    <w:rsid w:val="00930C59"/>
    <w:rsid w:val="00930C8D"/>
    <w:rsid w:val="00930D0F"/>
    <w:rsid w:val="00930E5F"/>
    <w:rsid w:val="00930F6E"/>
    <w:rsid w:val="009313EB"/>
    <w:rsid w:val="0093142C"/>
    <w:rsid w:val="009317D6"/>
    <w:rsid w:val="00931833"/>
    <w:rsid w:val="0093192C"/>
    <w:rsid w:val="00931CEB"/>
    <w:rsid w:val="00931E19"/>
    <w:rsid w:val="00931EFF"/>
    <w:rsid w:val="00931F7E"/>
    <w:rsid w:val="00932062"/>
    <w:rsid w:val="009320E4"/>
    <w:rsid w:val="009321DD"/>
    <w:rsid w:val="00932399"/>
    <w:rsid w:val="009323DD"/>
    <w:rsid w:val="00932585"/>
    <w:rsid w:val="00932607"/>
    <w:rsid w:val="00932865"/>
    <w:rsid w:val="00932871"/>
    <w:rsid w:val="00932933"/>
    <w:rsid w:val="009329B4"/>
    <w:rsid w:val="009329CF"/>
    <w:rsid w:val="00932BBB"/>
    <w:rsid w:val="00932DDA"/>
    <w:rsid w:val="009332CC"/>
    <w:rsid w:val="00933469"/>
    <w:rsid w:val="0093356D"/>
    <w:rsid w:val="00933869"/>
    <w:rsid w:val="009338AB"/>
    <w:rsid w:val="00933C6E"/>
    <w:rsid w:val="00933D4E"/>
    <w:rsid w:val="00933DD2"/>
    <w:rsid w:val="00933DF6"/>
    <w:rsid w:val="00933E5C"/>
    <w:rsid w:val="0093416B"/>
    <w:rsid w:val="0093431F"/>
    <w:rsid w:val="009343EE"/>
    <w:rsid w:val="00934449"/>
    <w:rsid w:val="0093449D"/>
    <w:rsid w:val="0093463F"/>
    <w:rsid w:val="00934681"/>
    <w:rsid w:val="00934BBB"/>
    <w:rsid w:val="00934D20"/>
    <w:rsid w:val="00934D2A"/>
    <w:rsid w:val="00935138"/>
    <w:rsid w:val="009351EB"/>
    <w:rsid w:val="009352E7"/>
    <w:rsid w:val="0093547F"/>
    <w:rsid w:val="009355D4"/>
    <w:rsid w:val="009359CB"/>
    <w:rsid w:val="009359D5"/>
    <w:rsid w:val="00935DDD"/>
    <w:rsid w:val="00935E7B"/>
    <w:rsid w:val="00935ECE"/>
    <w:rsid w:val="00936612"/>
    <w:rsid w:val="009369E9"/>
    <w:rsid w:val="00936ADF"/>
    <w:rsid w:val="00936F75"/>
    <w:rsid w:val="00936FF9"/>
    <w:rsid w:val="00937456"/>
    <w:rsid w:val="00937500"/>
    <w:rsid w:val="009375A2"/>
    <w:rsid w:val="00937836"/>
    <w:rsid w:val="0093786D"/>
    <w:rsid w:val="00937B48"/>
    <w:rsid w:val="009383B8"/>
    <w:rsid w:val="009400B1"/>
    <w:rsid w:val="00940178"/>
    <w:rsid w:val="009401AD"/>
    <w:rsid w:val="00940286"/>
    <w:rsid w:val="00940305"/>
    <w:rsid w:val="00940486"/>
    <w:rsid w:val="00940660"/>
    <w:rsid w:val="009406C9"/>
    <w:rsid w:val="009406CD"/>
    <w:rsid w:val="0094084B"/>
    <w:rsid w:val="00940AE1"/>
    <w:rsid w:val="00940B4F"/>
    <w:rsid w:val="00940B8A"/>
    <w:rsid w:val="00940BBF"/>
    <w:rsid w:val="00940CCE"/>
    <w:rsid w:val="00940F72"/>
    <w:rsid w:val="00941081"/>
    <w:rsid w:val="009411E7"/>
    <w:rsid w:val="00941212"/>
    <w:rsid w:val="009412B7"/>
    <w:rsid w:val="0094174B"/>
    <w:rsid w:val="00941AC9"/>
    <w:rsid w:val="00941BDB"/>
    <w:rsid w:val="00941C3D"/>
    <w:rsid w:val="00941EA9"/>
    <w:rsid w:val="00941F2F"/>
    <w:rsid w:val="009424D9"/>
    <w:rsid w:val="00942595"/>
    <w:rsid w:val="00942654"/>
    <w:rsid w:val="00942872"/>
    <w:rsid w:val="00942910"/>
    <w:rsid w:val="00942B2D"/>
    <w:rsid w:val="00942C73"/>
    <w:rsid w:val="00942D64"/>
    <w:rsid w:val="00942E3B"/>
    <w:rsid w:val="009433BA"/>
    <w:rsid w:val="0094393C"/>
    <w:rsid w:val="00943ADA"/>
    <w:rsid w:val="00943CEE"/>
    <w:rsid w:val="00943FF8"/>
    <w:rsid w:val="00944366"/>
    <w:rsid w:val="00944552"/>
    <w:rsid w:val="00944668"/>
    <w:rsid w:val="00944BEB"/>
    <w:rsid w:val="00944DC1"/>
    <w:rsid w:val="00945165"/>
    <w:rsid w:val="00945571"/>
    <w:rsid w:val="009456EB"/>
    <w:rsid w:val="009457F2"/>
    <w:rsid w:val="009458A9"/>
    <w:rsid w:val="00945AEF"/>
    <w:rsid w:val="0094602C"/>
    <w:rsid w:val="00946136"/>
    <w:rsid w:val="009462E4"/>
    <w:rsid w:val="0094645D"/>
    <w:rsid w:val="009467B1"/>
    <w:rsid w:val="009467F7"/>
    <w:rsid w:val="009469D0"/>
    <w:rsid w:val="00946A42"/>
    <w:rsid w:val="00946D59"/>
    <w:rsid w:val="00946D5E"/>
    <w:rsid w:val="0094715C"/>
    <w:rsid w:val="00947190"/>
    <w:rsid w:val="009473C7"/>
    <w:rsid w:val="0094743B"/>
    <w:rsid w:val="00947508"/>
    <w:rsid w:val="00947563"/>
    <w:rsid w:val="00947774"/>
    <w:rsid w:val="00947972"/>
    <w:rsid w:val="00947A77"/>
    <w:rsid w:val="00947A88"/>
    <w:rsid w:val="00947DC7"/>
    <w:rsid w:val="009500E3"/>
    <w:rsid w:val="009501F6"/>
    <w:rsid w:val="0095028B"/>
    <w:rsid w:val="00950408"/>
    <w:rsid w:val="00950759"/>
    <w:rsid w:val="00950775"/>
    <w:rsid w:val="00950785"/>
    <w:rsid w:val="00950862"/>
    <w:rsid w:val="00950B6A"/>
    <w:rsid w:val="00951050"/>
    <w:rsid w:val="00951526"/>
    <w:rsid w:val="0095172D"/>
    <w:rsid w:val="009517A8"/>
    <w:rsid w:val="00951984"/>
    <w:rsid w:val="00951B1E"/>
    <w:rsid w:val="00951CAF"/>
    <w:rsid w:val="00951F68"/>
    <w:rsid w:val="00952063"/>
    <w:rsid w:val="0095237C"/>
    <w:rsid w:val="009523D1"/>
    <w:rsid w:val="00952405"/>
    <w:rsid w:val="00952444"/>
    <w:rsid w:val="00952593"/>
    <w:rsid w:val="00952848"/>
    <w:rsid w:val="0095298E"/>
    <w:rsid w:val="00952B5E"/>
    <w:rsid w:val="00952B7B"/>
    <w:rsid w:val="00952DF2"/>
    <w:rsid w:val="00953082"/>
    <w:rsid w:val="009531D0"/>
    <w:rsid w:val="00953287"/>
    <w:rsid w:val="009532F5"/>
    <w:rsid w:val="009533F4"/>
    <w:rsid w:val="00953C17"/>
    <w:rsid w:val="00953C32"/>
    <w:rsid w:val="00953C68"/>
    <w:rsid w:val="00953E21"/>
    <w:rsid w:val="00953EAC"/>
    <w:rsid w:val="00953F0B"/>
    <w:rsid w:val="0095403C"/>
    <w:rsid w:val="00954357"/>
    <w:rsid w:val="009543D0"/>
    <w:rsid w:val="0095446F"/>
    <w:rsid w:val="00954726"/>
    <w:rsid w:val="0095479F"/>
    <w:rsid w:val="009548A0"/>
    <w:rsid w:val="009550E2"/>
    <w:rsid w:val="009551F4"/>
    <w:rsid w:val="00955373"/>
    <w:rsid w:val="00955526"/>
    <w:rsid w:val="009555F0"/>
    <w:rsid w:val="009556F6"/>
    <w:rsid w:val="00955884"/>
    <w:rsid w:val="009558B5"/>
    <w:rsid w:val="00955A2A"/>
    <w:rsid w:val="00955A3D"/>
    <w:rsid w:val="00955AFE"/>
    <w:rsid w:val="00955B88"/>
    <w:rsid w:val="00955D33"/>
    <w:rsid w:val="00955E57"/>
    <w:rsid w:val="0095616F"/>
    <w:rsid w:val="009562D2"/>
    <w:rsid w:val="00956363"/>
    <w:rsid w:val="00956570"/>
    <w:rsid w:val="009568AF"/>
    <w:rsid w:val="009569C7"/>
    <w:rsid w:val="00956D76"/>
    <w:rsid w:val="00956E50"/>
    <w:rsid w:val="00956E64"/>
    <w:rsid w:val="00956F10"/>
    <w:rsid w:val="00957017"/>
    <w:rsid w:val="00957167"/>
    <w:rsid w:val="0095716D"/>
    <w:rsid w:val="009572F2"/>
    <w:rsid w:val="0095764D"/>
    <w:rsid w:val="0095786A"/>
    <w:rsid w:val="00957B7E"/>
    <w:rsid w:val="00957C72"/>
    <w:rsid w:val="00957D6C"/>
    <w:rsid w:val="00957E1E"/>
    <w:rsid w:val="00957FC0"/>
    <w:rsid w:val="0096023D"/>
    <w:rsid w:val="00960242"/>
    <w:rsid w:val="009602A2"/>
    <w:rsid w:val="009603AD"/>
    <w:rsid w:val="00960482"/>
    <w:rsid w:val="00960745"/>
    <w:rsid w:val="00960B91"/>
    <w:rsid w:val="00961199"/>
    <w:rsid w:val="009613DE"/>
    <w:rsid w:val="009613E2"/>
    <w:rsid w:val="009614E2"/>
    <w:rsid w:val="00961566"/>
    <w:rsid w:val="00961692"/>
    <w:rsid w:val="009618BD"/>
    <w:rsid w:val="009618BE"/>
    <w:rsid w:val="00961A2E"/>
    <w:rsid w:val="00961C5A"/>
    <w:rsid w:val="00961D5A"/>
    <w:rsid w:val="00961DFB"/>
    <w:rsid w:val="00961E27"/>
    <w:rsid w:val="009620D2"/>
    <w:rsid w:val="00962295"/>
    <w:rsid w:val="00962378"/>
    <w:rsid w:val="009623FC"/>
    <w:rsid w:val="00962A8C"/>
    <w:rsid w:val="00962B01"/>
    <w:rsid w:val="00962B15"/>
    <w:rsid w:val="00962BA1"/>
    <w:rsid w:val="00962FC2"/>
    <w:rsid w:val="00962FDF"/>
    <w:rsid w:val="00962FE6"/>
    <w:rsid w:val="00963021"/>
    <w:rsid w:val="0096317A"/>
    <w:rsid w:val="0096395C"/>
    <w:rsid w:val="0096419A"/>
    <w:rsid w:val="0096448E"/>
    <w:rsid w:val="009644EC"/>
    <w:rsid w:val="00964558"/>
    <w:rsid w:val="009647CF"/>
    <w:rsid w:val="00964890"/>
    <w:rsid w:val="00964B4F"/>
    <w:rsid w:val="00964F91"/>
    <w:rsid w:val="00964FD4"/>
    <w:rsid w:val="00965125"/>
    <w:rsid w:val="009652BF"/>
    <w:rsid w:val="0096536B"/>
    <w:rsid w:val="0096541D"/>
    <w:rsid w:val="009655BF"/>
    <w:rsid w:val="00965724"/>
    <w:rsid w:val="0096578C"/>
    <w:rsid w:val="00965874"/>
    <w:rsid w:val="00965925"/>
    <w:rsid w:val="00965CE4"/>
    <w:rsid w:val="00965D8B"/>
    <w:rsid w:val="00965F18"/>
    <w:rsid w:val="009661B0"/>
    <w:rsid w:val="00966A86"/>
    <w:rsid w:val="00966AFF"/>
    <w:rsid w:val="00966BE5"/>
    <w:rsid w:val="00966C61"/>
    <w:rsid w:val="00966E62"/>
    <w:rsid w:val="00966FF9"/>
    <w:rsid w:val="009670C1"/>
    <w:rsid w:val="009671B0"/>
    <w:rsid w:val="0096735A"/>
    <w:rsid w:val="009675EC"/>
    <w:rsid w:val="00967645"/>
    <w:rsid w:val="009676AB"/>
    <w:rsid w:val="00967803"/>
    <w:rsid w:val="00967AB4"/>
    <w:rsid w:val="00967D00"/>
    <w:rsid w:val="00967E5E"/>
    <w:rsid w:val="00970151"/>
    <w:rsid w:val="00970189"/>
    <w:rsid w:val="009701B3"/>
    <w:rsid w:val="0097038B"/>
    <w:rsid w:val="009703B1"/>
    <w:rsid w:val="00970B53"/>
    <w:rsid w:val="00970B7E"/>
    <w:rsid w:val="00970F0B"/>
    <w:rsid w:val="00971559"/>
    <w:rsid w:val="0097183F"/>
    <w:rsid w:val="009719E7"/>
    <w:rsid w:val="00971FC8"/>
    <w:rsid w:val="00972030"/>
    <w:rsid w:val="00972168"/>
    <w:rsid w:val="00972169"/>
    <w:rsid w:val="009721B4"/>
    <w:rsid w:val="0097257F"/>
    <w:rsid w:val="009728FE"/>
    <w:rsid w:val="009729CC"/>
    <w:rsid w:val="00972D46"/>
    <w:rsid w:val="009730D0"/>
    <w:rsid w:val="00973332"/>
    <w:rsid w:val="00973573"/>
    <w:rsid w:val="009736FE"/>
    <w:rsid w:val="0097391A"/>
    <w:rsid w:val="00973BBD"/>
    <w:rsid w:val="00974161"/>
    <w:rsid w:val="00974348"/>
    <w:rsid w:val="009745D0"/>
    <w:rsid w:val="0097475D"/>
    <w:rsid w:val="00974868"/>
    <w:rsid w:val="00974A4E"/>
    <w:rsid w:val="00974B60"/>
    <w:rsid w:val="00974CDC"/>
    <w:rsid w:val="00974D25"/>
    <w:rsid w:val="00975091"/>
    <w:rsid w:val="009750E6"/>
    <w:rsid w:val="0097549A"/>
    <w:rsid w:val="00975563"/>
    <w:rsid w:val="009755D3"/>
    <w:rsid w:val="009757E5"/>
    <w:rsid w:val="00975836"/>
    <w:rsid w:val="00975A79"/>
    <w:rsid w:val="00975BB1"/>
    <w:rsid w:val="00975CC6"/>
    <w:rsid w:val="00976241"/>
    <w:rsid w:val="009762AB"/>
    <w:rsid w:val="009764FE"/>
    <w:rsid w:val="00976BCB"/>
    <w:rsid w:val="00976F33"/>
    <w:rsid w:val="00977332"/>
    <w:rsid w:val="00977576"/>
    <w:rsid w:val="00977629"/>
    <w:rsid w:val="009776A7"/>
    <w:rsid w:val="00977707"/>
    <w:rsid w:val="00977865"/>
    <w:rsid w:val="00977AFD"/>
    <w:rsid w:val="00977C14"/>
    <w:rsid w:val="00977C2E"/>
    <w:rsid w:val="00977CCC"/>
    <w:rsid w:val="00977D0B"/>
    <w:rsid w:val="00977D54"/>
    <w:rsid w:val="00977F32"/>
    <w:rsid w:val="0098034C"/>
    <w:rsid w:val="009805D9"/>
    <w:rsid w:val="0098062A"/>
    <w:rsid w:val="0098077A"/>
    <w:rsid w:val="009807F7"/>
    <w:rsid w:val="00980854"/>
    <w:rsid w:val="00980A27"/>
    <w:rsid w:val="00980AE0"/>
    <w:rsid w:val="00980D4E"/>
    <w:rsid w:val="00980E09"/>
    <w:rsid w:val="00981106"/>
    <w:rsid w:val="0098110F"/>
    <w:rsid w:val="0098115F"/>
    <w:rsid w:val="00981306"/>
    <w:rsid w:val="00981329"/>
    <w:rsid w:val="0098138E"/>
    <w:rsid w:val="00981417"/>
    <w:rsid w:val="009816DD"/>
    <w:rsid w:val="00981ED8"/>
    <w:rsid w:val="0098223B"/>
    <w:rsid w:val="00982366"/>
    <w:rsid w:val="0098279B"/>
    <w:rsid w:val="0098288B"/>
    <w:rsid w:val="009829FC"/>
    <w:rsid w:val="00982B95"/>
    <w:rsid w:val="00982B9F"/>
    <w:rsid w:val="00982BE4"/>
    <w:rsid w:val="00982C2A"/>
    <w:rsid w:val="00982E0D"/>
    <w:rsid w:val="00982F0C"/>
    <w:rsid w:val="00982F99"/>
    <w:rsid w:val="0098320A"/>
    <w:rsid w:val="00983346"/>
    <w:rsid w:val="00983540"/>
    <w:rsid w:val="009836FC"/>
    <w:rsid w:val="0098371D"/>
    <w:rsid w:val="00983805"/>
    <w:rsid w:val="00983C93"/>
    <w:rsid w:val="00983CCE"/>
    <w:rsid w:val="00983DBD"/>
    <w:rsid w:val="0098403E"/>
    <w:rsid w:val="009840DE"/>
    <w:rsid w:val="009842D2"/>
    <w:rsid w:val="0098431A"/>
    <w:rsid w:val="009844AA"/>
    <w:rsid w:val="009847C0"/>
    <w:rsid w:val="0098485D"/>
    <w:rsid w:val="0098498A"/>
    <w:rsid w:val="00984B5F"/>
    <w:rsid w:val="00984B9B"/>
    <w:rsid w:val="00984EA4"/>
    <w:rsid w:val="009851FD"/>
    <w:rsid w:val="00985279"/>
    <w:rsid w:val="009854D7"/>
    <w:rsid w:val="00985995"/>
    <w:rsid w:val="00985A16"/>
    <w:rsid w:val="00985CD6"/>
    <w:rsid w:val="00985EDA"/>
    <w:rsid w:val="009860BA"/>
    <w:rsid w:val="00986174"/>
    <w:rsid w:val="0098619A"/>
    <w:rsid w:val="009861FF"/>
    <w:rsid w:val="00986398"/>
    <w:rsid w:val="00986446"/>
    <w:rsid w:val="0098649F"/>
    <w:rsid w:val="0098655A"/>
    <w:rsid w:val="009867B0"/>
    <w:rsid w:val="0098693B"/>
    <w:rsid w:val="0098698D"/>
    <w:rsid w:val="009869C6"/>
    <w:rsid w:val="00986A33"/>
    <w:rsid w:val="00986FCF"/>
    <w:rsid w:val="0098750E"/>
    <w:rsid w:val="0098783E"/>
    <w:rsid w:val="00987B16"/>
    <w:rsid w:val="0099067C"/>
    <w:rsid w:val="00990920"/>
    <w:rsid w:val="00990987"/>
    <w:rsid w:val="00990C42"/>
    <w:rsid w:val="00990E97"/>
    <w:rsid w:val="00990F6D"/>
    <w:rsid w:val="00991746"/>
    <w:rsid w:val="0099179D"/>
    <w:rsid w:val="00991AE7"/>
    <w:rsid w:val="00991E27"/>
    <w:rsid w:val="00992183"/>
    <w:rsid w:val="0099240C"/>
    <w:rsid w:val="009924AD"/>
    <w:rsid w:val="00992773"/>
    <w:rsid w:val="009929E6"/>
    <w:rsid w:val="00992AF6"/>
    <w:rsid w:val="00992E3F"/>
    <w:rsid w:val="009931DB"/>
    <w:rsid w:val="00993595"/>
    <w:rsid w:val="00993841"/>
    <w:rsid w:val="0099397D"/>
    <w:rsid w:val="00993A72"/>
    <w:rsid w:val="00993B5C"/>
    <w:rsid w:val="00993C6F"/>
    <w:rsid w:val="00993D5C"/>
    <w:rsid w:val="00993E63"/>
    <w:rsid w:val="009946EE"/>
    <w:rsid w:val="00994D1B"/>
    <w:rsid w:val="00994D67"/>
    <w:rsid w:val="00994E8C"/>
    <w:rsid w:val="00994F3E"/>
    <w:rsid w:val="00994FF7"/>
    <w:rsid w:val="0099522C"/>
    <w:rsid w:val="009952DD"/>
    <w:rsid w:val="009957BC"/>
    <w:rsid w:val="009958E7"/>
    <w:rsid w:val="00995A5E"/>
    <w:rsid w:val="00995A85"/>
    <w:rsid w:val="00995B0E"/>
    <w:rsid w:val="00995CD7"/>
    <w:rsid w:val="00995CD9"/>
    <w:rsid w:val="00995D52"/>
    <w:rsid w:val="00995F03"/>
    <w:rsid w:val="00995F97"/>
    <w:rsid w:val="009961DA"/>
    <w:rsid w:val="009962F7"/>
    <w:rsid w:val="00996509"/>
    <w:rsid w:val="009966C3"/>
    <w:rsid w:val="00996963"/>
    <w:rsid w:val="00996C09"/>
    <w:rsid w:val="00996C56"/>
    <w:rsid w:val="00996D25"/>
    <w:rsid w:val="00997834"/>
    <w:rsid w:val="009978CC"/>
    <w:rsid w:val="00997A51"/>
    <w:rsid w:val="00997A57"/>
    <w:rsid w:val="00997E52"/>
    <w:rsid w:val="00997EDE"/>
    <w:rsid w:val="009A0314"/>
    <w:rsid w:val="009A03E8"/>
    <w:rsid w:val="009A0641"/>
    <w:rsid w:val="009A087B"/>
    <w:rsid w:val="009A0A86"/>
    <w:rsid w:val="009A0C11"/>
    <w:rsid w:val="009A0CC4"/>
    <w:rsid w:val="009A0ECC"/>
    <w:rsid w:val="009A124A"/>
    <w:rsid w:val="009A12B6"/>
    <w:rsid w:val="009A1393"/>
    <w:rsid w:val="009A15C0"/>
    <w:rsid w:val="009A17E7"/>
    <w:rsid w:val="009A1851"/>
    <w:rsid w:val="009A19A7"/>
    <w:rsid w:val="009A1A40"/>
    <w:rsid w:val="009A1BCF"/>
    <w:rsid w:val="009A1C37"/>
    <w:rsid w:val="009A1D65"/>
    <w:rsid w:val="009A2235"/>
    <w:rsid w:val="009A258B"/>
    <w:rsid w:val="009A2664"/>
    <w:rsid w:val="009A298B"/>
    <w:rsid w:val="009A2AE6"/>
    <w:rsid w:val="009A2B39"/>
    <w:rsid w:val="009A2B61"/>
    <w:rsid w:val="009A3376"/>
    <w:rsid w:val="009A337D"/>
    <w:rsid w:val="009A3558"/>
    <w:rsid w:val="009A35FF"/>
    <w:rsid w:val="009A38D7"/>
    <w:rsid w:val="009A3DE4"/>
    <w:rsid w:val="009A3E0B"/>
    <w:rsid w:val="009A3EF8"/>
    <w:rsid w:val="009A4290"/>
    <w:rsid w:val="009A4297"/>
    <w:rsid w:val="009A42A8"/>
    <w:rsid w:val="009A4346"/>
    <w:rsid w:val="009A438E"/>
    <w:rsid w:val="009A4539"/>
    <w:rsid w:val="009A4574"/>
    <w:rsid w:val="009A4835"/>
    <w:rsid w:val="009A4B7A"/>
    <w:rsid w:val="009A4BB4"/>
    <w:rsid w:val="009A512D"/>
    <w:rsid w:val="009A52A1"/>
    <w:rsid w:val="009A53F9"/>
    <w:rsid w:val="009A54E7"/>
    <w:rsid w:val="009A55DE"/>
    <w:rsid w:val="009A566E"/>
    <w:rsid w:val="009A585D"/>
    <w:rsid w:val="009A5B49"/>
    <w:rsid w:val="009A5FE5"/>
    <w:rsid w:val="009A613E"/>
    <w:rsid w:val="009A61F5"/>
    <w:rsid w:val="009A62E8"/>
    <w:rsid w:val="009A6DA7"/>
    <w:rsid w:val="009A6E36"/>
    <w:rsid w:val="009A71FA"/>
    <w:rsid w:val="009A75D4"/>
    <w:rsid w:val="009A763A"/>
    <w:rsid w:val="009A7670"/>
    <w:rsid w:val="009A77BD"/>
    <w:rsid w:val="009A7986"/>
    <w:rsid w:val="009A7F1D"/>
    <w:rsid w:val="009B021F"/>
    <w:rsid w:val="009B078B"/>
    <w:rsid w:val="009B0A81"/>
    <w:rsid w:val="009B0D1D"/>
    <w:rsid w:val="009B0EB7"/>
    <w:rsid w:val="009B0EEE"/>
    <w:rsid w:val="009B1115"/>
    <w:rsid w:val="009B13A4"/>
    <w:rsid w:val="009B14DA"/>
    <w:rsid w:val="009B17C3"/>
    <w:rsid w:val="009B1962"/>
    <w:rsid w:val="009B1963"/>
    <w:rsid w:val="009B1CAC"/>
    <w:rsid w:val="009B1CD7"/>
    <w:rsid w:val="009B1DF7"/>
    <w:rsid w:val="009B2021"/>
    <w:rsid w:val="009B206F"/>
    <w:rsid w:val="009B213B"/>
    <w:rsid w:val="009B22B0"/>
    <w:rsid w:val="009B24B9"/>
    <w:rsid w:val="009B2676"/>
    <w:rsid w:val="009B2759"/>
    <w:rsid w:val="009B2767"/>
    <w:rsid w:val="009B27F4"/>
    <w:rsid w:val="009B2883"/>
    <w:rsid w:val="009B2BD4"/>
    <w:rsid w:val="009B2CBC"/>
    <w:rsid w:val="009B2D5B"/>
    <w:rsid w:val="009B2D8C"/>
    <w:rsid w:val="009B2DB8"/>
    <w:rsid w:val="009B2EEB"/>
    <w:rsid w:val="009B3310"/>
    <w:rsid w:val="009B33F8"/>
    <w:rsid w:val="009B3530"/>
    <w:rsid w:val="009B35E0"/>
    <w:rsid w:val="009B36A7"/>
    <w:rsid w:val="009B3987"/>
    <w:rsid w:val="009B3A3C"/>
    <w:rsid w:val="009B42B6"/>
    <w:rsid w:val="009B431B"/>
    <w:rsid w:val="009B4335"/>
    <w:rsid w:val="009B4736"/>
    <w:rsid w:val="009B488B"/>
    <w:rsid w:val="009B4A9C"/>
    <w:rsid w:val="009B4DA7"/>
    <w:rsid w:val="009B4DF4"/>
    <w:rsid w:val="009B4F1E"/>
    <w:rsid w:val="009B5271"/>
    <w:rsid w:val="009B54CE"/>
    <w:rsid w:val="009B56BC"/>
    <w:rsid w:val="009B5BEB"/>
    <w:rsid w:val="009B5CB0"/>
    <w:rsid w:val="009B5DD5"/>
    <w:rsid w:val="009B5E0D"/>
    <w:rsid w:val="009B613C"/>
    <w:rsid w:val="009B62CE"/>
    <w:rsid w:val="009B635F"/>
    <w:rsid w:val="009B65B1"/>
    <w:rsid w:val="009B69ED"/>
    <w:rsid w:val="009B6B0B"/>
    <w:rsid w:val="009B6C79"/>
    <w:rsid w:val="009B6DE2"/>
    <w:rsid w:val="009B6FE3"/>
    <w:rsid w:val="009B71B7"/>
    <w:rsid w:val="009B75F5"/>
    <w:rsid w:val="009B773C"/>
    <w:rsid w:val="009B79FA"/>
    <w:rsid w:val="009B7AD8"/>
    <w:rsid w:val="009B7D4C"/>
    <w:rsid w:val="009B7D91"/>
    <w:rsid w:val="009B7FAC"/>
    <w:rsid w:val="009C002F"/>
    <w:rsid w:val="009C00DE"/>
    <w:rsid w:val="009C011A"/>
    <w:rsid w:val="009C01B0"/>
    <w:rsid w:val="009C01C1"/>
    <w:rsid w:val="009C044F"/>
    <w:rsid w:val="009C076D"/>
    <w:rsid w:val="009C0891"/>
    <w:rsid w:val="009C0CB7"/>
    <w:rsid w:val="009C0D78"/>
    <w:rsid w:val="009C0F99"/>
    <w:rsid w:val="009C10A3"/>
    <w:rsid w:val="009C110B"/>
    <w:rsid w:val="009C1203"/>
    <w:rsid w:val="009C174B"/>
    <w:rsid w:val="009C255E"/>
    <w:rsid w:val="009C2A6B"/>
    <w:rsid w:val="009C2B23"/>
    <w:rsid w:val="009C2C99"/>
    <w:rsid w:val="009C2CD2"/>
    <w:rsid w:val="009C2EF5"/>
    <w:rsid w:val="009C30DE"/>
    <w:rsid w:val="009C3210"/>
    <w:rsid w:val="009C332C"/>
    <w:rsid w:val="009C33C0"/>
    <w:rsid w:val="009C3804"/>
    <w:rsid w:val="009C3888"/>
    <w:rsid w:val="009C38E1"/>
    <w:rsid w:val="009C391B"/>
    <w:rsid w:val="009C3A92"/>
    <w:rsid w:val="009C3DC0"/>
    <w:rsid w:val="009C3E73"/>
    <w:rsid w:val="009C3ED5"/>
    <w:rsid w:val="009C3F9A"/>
    <w:rsid w:val="009C4431"/>
    <w:rsid w:val="009C4529"/>
    <w:rsid w:val="009C4644"/>
    <w:rsid w:val="009C4960"/>
    <w:rsid w:val="009C4E5C"/>
    <w:rsid w:val="009C5002"/>
    <w:rsid w:val="009C51C5"/>
    <w:rsid w:val="009C5272"/>
    <w:rsid w:val="009C52B2"/>
    <w:rsid w:val="009C5362"/>
    <w:rsid w:val="009C54C2"/>
    <w:rsid w:val="009C5585"/>
    <w:rsid w:val="009C55C2"/>
    <w:rsid w:val="009C561B"/>
    <w:rsid w:val="009C5683"/>
    <w:rsid w:val="009C576B"/>
    <w:rsid w:val="009C5AAB"/>
    <w:rsid w:val="009C5AF5"/>
    <w:rsid w:val="009C5B8F"/>
    <w:rsid w:val="009C5CE0"/>
    <w:rsid w:val="009C5CEC"/>
    <w:rsid w:val="009C5D5E"/>
    <w:rsid w:val="009C5EC6"/>
    <w:rsid w:val="009C6032"/>
    <w:rsid w:val="009C60D6"/>
    <w:rsid w:val="009C61FD"/>
    <w:rsid w:val="009C628B"/>
    <w:rsid w:val="009C662E"/>
    <w:rsid w:val="009C68F3"/>
    <w:rsid w:val="009C6ADC"/>
    <w:rsid w:val="009C6B01"/>
    <w:rsid w:val="009C6C13"/>
    <w:rsid w:val="009C6C15"/>
    <w:rsid w:val="009C6CEC"/>
    <w:rsid w:val="009C7027"/>
    <w:rsid w:val="009C730A"/>
    <w:rsid w:val="009C73B4"/>
    <w:rsid w:val="009C74BE"/>
    <w:rsid w:val="009C7601"/>
    <w:rsid w:val="009C776B"/>
    <w:rsid w:val="009C7800"/>
    <w:rsid w:val="009C7AC5"/>
    <w:rsid w:val="009C7ADA"/>
    <w:rsid w:val="009C7C83"/>
    <w:rsid w:val="009C7DAB"/>
    <w:rsid w:val="009C7F72"/>
    <w:rsid w:val="009D0292"/>
    <w:rsid w:val="009D02D6"/>
    <w:rsid w:val="009D02EA"/>
    <w:rsid w:val="009D034B"/>
    <w:rsid w:val="009D04EF"/>
    <w:rsid w:val="009D0759"/>
    <w:rsid w:val="009D0787"/>
    <w:rsid w:val="009D085F"/>
    <w:rsid w:val="009D08B4"/>
    <w:rsid w:val="009D0964"/>
    <w:rsid w:val="009D0C18"/>
    <w:rsid w:val="009D0DE8"/>
    <w:rsid w:val="009D1039"/>
    <w:rsid w:val="009D1227"/>
    <w:rsid w:val="009D134E"/>
    <w:rsid w:val="009D13D1"/>
    <w:rsid w:val="009D15E9"/>
    <w:rsid w:val="009D1759"/>
    <w:rsid w:val="009D1791"/>
    <w:rsid w:val="009D1821"/>
    <w:rsid w:val="009D1C32"/>
    <w:rsid w:val="009D20F0"/>
    <w:rsid w:val="009D20F2"/>
    <w:rsid w:val="009D2252"/>
    <w:rsid w:val="009D2282"/>
    <w:rsid w:val="009D2908"/>
    <w:rsid w:val="009D2D5B"/>
    <w:rsid w:val="009D31CB"/>
    <w:rsid w:val="009D3368"/>
    <w:rsid w:val="009D338A"/>
    <w:rsid w:val="009D33F1"/>
    <w:rsid w:val="009D34B5"/>
    <w:rsid w:val="009D3513"/>
    <w:rsid w:val="009D3577"/>
    <w:rsid w:val="009D3870"/>
    <w:rsid w:val="009D3BB4"/>
    <w:rsid w:val="009D3CB1"/>
    <w:rsid w:val="009D3D99"/>
    <w:rsid w:val="009D3EE7"/>
    <w:rsid w:val="009D4031"/>
    <w:rsid w:val="009D4535"/>
    <w:rsid w:val="009D4975"/>
    <w:rsid w:val="009D4AAC"/>
    <w:rsid w:val="009D4B0F"/>
    <w:rsid w:val="009D4DF1"/>
    <w:rsid w:val="009D4F65"/>
    <w:rsid w:val="009D5183"/>
    <w:rsid w:val="009D51EF"/>
    <w:rsid w:val="009D5350"/>
    <w:rsid w:val="009D5683"/>
    <w:rsid w:val="009D569D"/>
    <w:rsid w:val="009D599E"/>
    <w:rsid w:val="009D5C2E"/>
    <w:rsid w:val="009D5CE4"/>
    <w:rsid w:val="009D5E4C"/>
    <w:rsid w:val="009D5FB5"/>
    <w:rsid w:val="009D600A"/>
    <w:rsid w:val="009D6498"/>
    <w:rsid w:val="009D6680"/>
    <w:rsid w:val="009D673B"/>
    <w:rsid w:val="009D6A29"/>
    <w:rsid w:val="009D6A68"/>
    <w:rsid w:val="009D6BE8"/>
    <w:rsid w:val="009D6CD8"/>
    <w:rsid w:val="009D6D67"/>
    <w:rsid w:val="009D6EEE"/>
    <w:rsid w:val="009D72F4"/>
    <w:rsid w:val="009D73D7"/>
    <w:rsid w:val="009D752F"/>
    <w:rsid w:val="009D7738"/>
    <w:rsid w:val="009D780F"/>
    <w:rsid w:val="009D7A28"/>
    <w:rsid w:val="009D7D63"/>
    <w:rsid w:val="009D7F07"/>
    <w:rsid w:val="009D7F80"/>
    <w:rsid w:val="009DAB4A"/>
    <w:rsid w:val="009E00BB"/>
    <w:rsid w:val="009E0329"/>
    <w:rsid w:val="009E041A"/>
    <w:rsid w:val="009E0724"/>
    <w:rsid w:val="009E0727"/>
    <w:rsid w:val="009E080D"/>
    <w:rsid w:val="009E115D"/>
    <w:rsid w:val="009E1204"/>
    <w:rsid w:val="009E1545"/>
    <w:rsid w:val="009E16C1"/>
    <w:rsid w:val="009E186C"/>
    <w:rsid w:val="009E1D8E"/>
    <w:rsid w:val="009E1E57"/>
    <w:rsid w:val="009E27EB"/>
    <w:rsid w:val="009E2804"/>
    <w:rsid w:val="009E2B5A"/>
    <w:rsid w:val="009E3101"/>
    <w:rsid w:val="009E3476"/>
    <w:rsid w:val="009E34F0"/>
    <w:rsid w:val="009E36F1"/>
    <w:rsid w:val="009E3797"/>
    <w:rsid w:val="009E38EA"/>
    <w:rsid w:val="009E3D84"/>
    <w:rsid w:val="009E3FF8"/>
    <w:rsid w:val="009E41BC"/>
    <w:rsid w:val="009E42E5"/>
    <w:rsid w:val="009E4358"/>
    <w:rsid w:val="009E43A7"/>
    <w:rsid w:val="009E4498"/>
    <w:rsid w:val="009E4633"/>
    <w:rsid w:val="009E4C73"/>
    <w:rsid w:val="009E4EF0"/>
    <w:rsid w:val="009E4EFE"/>
    <w:rsid w:val="009E4FB6"/>
    <w:rsid w:val="009E50CF"/>
    <w:rsid w:val="009E55C8"/>
    <w:rsid w:val="009E5747"/>
    <w:rsid w:val="009E5854"/>
    <w:rsid w:val="009E5998"/>
    <w:rsid w:val="009E5A48"/>
    <w:rsid w:val="009E5B3F"/>
    <w:rsid w:val="009E5CCE"/>
    <w:rsid w:val="009E5D54"/>
    <w:rsid w:val="009E5DF3"/>
    <w:rsid w:val="009E5F71"/>
    <w:rsid w:val="009E6031"/>
    <w:rsid w:val="009E6052"/>
    <w:rsid w:val="009E63FB"/>
    <w:rsid w:val="009E6450"/>
    <w:rsid w:val="009E67FE"/>
    <w:rsid w:val="009E6863"/>
    <w:rsid w:val="009E68A3"/>
    <w:rsid w:val="009E68ED"/>
    <w:rsid w:val="009E693B"/>
    <w:rsid w:val="009E6C11"/>
    <w:rsid w:val="009E6D97"/>
    <w:rsid w:val="009E6F12"/>
    <w:rsid w:val="009E733D"/>
    <w:rsid w:val="009E746F"/>
    <w:rsid w:val="009E7833"/>
    <w:rsid w:val="009E7C7F"/>
    <w:rsid w:val="009E7E6C"/>
    <w:rsid w:val="009F014E"/>
    <w:rsid w:val="009F01DA"/>
    <w:rsid w:val="009F03D2"/>
    <w:rsid w:val="009F0643"/>
    <w:rsid w:val="009F06CB"/>
    <w:rsid w:val="009F076A"/>
    <w:rsid w:val="009F08B8"/>
    <w:rsid w:val="009F08EE"/>
    <w:rsid w:val="009F0B40"/>
    <w:rsid w:val="009F0BD7"/>
    <w:rsid w:val="009F0CD7"/>
    <w:rsid w:val="009F0D05"/>
    <w:rsid w:val="009F112C"/>
    <w:rsid w:val="009F12BD"/>
    <w:rsid w:val="009F14F4"/>
    <w:rsid w:val="009F1722"/>
    <w:rsid w:val="009F1770"/>
    <w:rsid w:val="009F19DE"/>
    <w:rsid w:val="009F1B69"/>
    <w:rsid w:val="009F1B9E"/>
    <w:rsid w:val="009F1C23"/>
    <w:rsid w:val="009F1D19"/>
    <w:rsid w:val="009F1DDC"/>
    <w:rsid w:val="009F1E58"/>
    <w:rsid w:val="009F1FEE"/>
    <w:rsid w:val="009F2009"/>
    <w:rsid w:val="009F279F"/>
    <w:rsid w:val="009F2A43"/>
    <w:rsid w:val="009F2AE5"/>
    <w:rsid w:val="009F2B31"/>
    <w:rsid w:val="009F2B41"/>
    <w:rsid w:val="009F2E8E"/>
    <w:rsid w:val="009F2F7C"/>
    <w:rsid w:val="009F3313"/>
    <w:rsid w:val="009F340D"/>
    <w:rsid w:val="009F34EF"/>
    <w:rsid w:val="009F351F"/>
    <w:rsid w:val="009F3524"/>
    <w:rsid w:val="009F36C3"/>
    <w:rsid w:val="009F3742"/>
    <w:rsid w:val="009F38CA"/>
    <w:rsid w:val="009F3982"/>
    <w:rsid w:val="009F3984"/>
    <w:rsid w:val="009F3C55"/>
    <w:rsid w:val="009F3C6C"/>
    <w:rsid w:val="009F3F15"/>
    <w:rsid w:val="009F3F32"/>
    <w:rsid w:val="009F4278"/>
    <w:rsid w:val="009F4518"/>
    <w:rsid w:val="009F4678"/>
    <w:rsid w:val="009F4892"/>
    <w:rsid w:val="009F498F"/>
    <w:rsid w:val="009F4AA0"/>
    <w:rsid w:val="009F5096"/>
    <w:rsid w:val="009F5187"/>
    <w:rsid w:val="009F554D"/>
    <w:rsid w:val="009F5858"/>
    <w:rsid w:val="009F5A4E"/>
    <w:rsid w:val="009F5BDA"/>
    <w:rsid w:val="009F5C7B"/>
    <w:rsid w:val="009F5D12"/>
    <w:rsid w:val="009F5FE9"/>
    <w:rsid w:val="009F60A3"/>
    <w:rsid w:val="009F6371"/>
    <w:rsid w:val="009F6393"/>
    <w:rsid w:val="009F6528"/>
    <w:rsid w:val="009F65B4"/>
    <w:rsid w:val="009F687C"/>
    <w:rsid w:val="009F6ACA"/>
    <w:rsid w:val="009F6B0C"/>
    <w:rsid w:val="009F6D10"/>
    <w:rsid w:val="009F6D2C"/>
    <w:rsid w:val="009F6DCB"/>
    <w:rsid w:val="009F6F8D"/>
    <w:rsid w:val="009F7527"/>
    <w:rsid w:val="009F7572"/>
    <w:rsid w:val="009F75E8"/>
    <w:rsid w:val="009F7799"/>
    <w:rsid w:val="009F77CA"/>
    <w:rsid w:val="009F7932"/>
    <w:rsid w:val="009F7ADA"/>
    <w:rsid w:val="009F7F2A"/>
    <w:rsid w:val="009F7F94"/>
    <w:rsid w:val="00A002EA"/>
    <w:rsid w:val="00A00357"/>
    <w:rsid w:val="00A003CF"/>
    <w:rsid w:val="00A00515"/>
    <w:rsid w:val="00A00558"/>
    <w:rsid w:val="00A005BC"/>
    <w:rsid w:val="00A00625"/>
    <w:rsid w:val="00A00672"/>
    <w:rsid w:val="00A00850"/>
    <w:rsid w:val="00A008DC"/>
    <w:rsid w:val="00A0096C"/>
    <w:rsid w:val="00A00BA4"/>
    <w:rsid w:val="00A00F9B"/>
    <w:rsid w:val="00A00FF4"/>
    <w:rsid w:val="00A010C6"/>
    <w:rsid w:val="00A01409"/>
    <w:rsid w:val="00A01690"/>
    <w:rsid w:val="00A01C28"/>
    <w:rsid w:val="00A01E9B"/>
    <w:rsid w:val="00A02168"/>
    <w:rsid w:val="00A0247B"/>
    <w:rsid w:val="00A027B8"/>
    <w:rsid w:val="00A02828"/>
    <w:rsid w:val="00A02862"/>
    <w:rsid w:val="00A0288D"/>
    <w:rsid w:val="00A02D87"/>
    <w:rsid w:val="00A02E57"/>
    <w:rsid w:val="00A03073"/>
    <w:rsid w:val="00A0334D"/>
    <w:rsid w:val="00A0342B"/>
    <w:rsid w:val="00A03462"/>
    <w:rsid w:val="00A0349E"/>
    <w:rsid w:val="00A034F7"/>
    <w:rsid w:val="00A03747"/>
    <w:rsid w:val="00A03980"/>
    <w:rsid w:val="00A040EE"/>
    <w:rsid w:val="00A04184"/>
    <w:rsid w:val="00A041D2"/>
    <w:rsid w:val="00A0425A"/>
    <w:rsid w:val="00A04AA1"/>
    <w:rsid w:val="00A04BEE"/>
    <w:rsid w:val="00A04E7A"/>
    <w:rsid w:val="00A05376"/>
    <w:rsid w:val="00A05451"/>
    <w:rsid w:val="00A05485"/>
    <w:rsid w:val="00A058FD"/>
    <w:rsid w:val="00A05E9B"/>
    <w:rsid w:val="00A06147"/>
    <w:rsid w:val="00A062BF"/>
    <w:rsid w:val="00A064DC"/>
    <w:rsid w:val="00A06521"/>
    <w:rsid w:val="00A065B5"/>
    <w:rsid w:val="00A06A70"/>
    <w:rsid w:val="00A06DFA"/>
    <w:rsid w:val="00A06E72"/>
    <w:rsid w:val="00A0711A"/>
    <w:rsid w:val="00A0723A"/>
    <w:rsid w:val="00A07342"/>
    <w:rsid w:val="00A0773F"/>
    <w:rsid w:val="00A07AB2"/>
    <w:rsid w:val="00A07BB7"/>
    <w:rsid w:val="00A07FB2"/>
    <w:rsid w:val="00A102A3"/>
    <w:rsid w:val="00A102D4"/>
    <w:rsid w:val="00A10495"/>
    <w:rsid w:val="00A10C2F"/>
    <w:rsid w:val="00A10C47"/>
    <w:rsid w:val="00A11185"/>
    <w:rsid w:val="00A11265"/>
    <w:rsid w:val="00A112A6"/>
    <w:rsid w:val="00A11342"/>
    <w:rsid w:val="00A117F2"/>
    <w:rsid w:val="00A11812"/>
    <w:rsid w:val="00A11BF9"/>
    <w:rsid w:val="00A11C0D"/>
    <w:rsid w:val="00A11CCB"/>
    <w:rsid w:val="00A11E46"/>
    <w:rsid w:val="00A11E50"/>
    <w:rsid w:val="00A12032"/>
    <w:rsid w:val="00A120CE"/>
    <w:rsid w:val="00A1233C"/>
    <w:rsid w:val="00A125F8"/>
    <w:rsid w:val="00A12773"/>
    <w:rsid w:val="00A128FD"/>
    <w:rsid w:val="00A1294B"/>
    <w:rsid w:val="00A12ACF"/>
    <w:rsid w:val="00A12B55"/>
    <w:rsid w:val="00A12D51"/>
    <w:rsid w:val="00A12F76"/>
    <w:rsid w:val="00A1322A"/>
    <w:rsid w:val="00A132A0"/>
    <w:rsid w:val="00A1336A"/>
    <w:rsid w:val="00A13558"/>
    <w:rsid w:val="00A1387B"/>
    <w:rsid w:val="00A1393B"/>
    <w:rsid w:val="00A139EE"/>
    <w:rsid w:val="00A13DA0"/>
    <w:rsid w:val="00A13FA3"/>
    <w:rsid w:val="00A14081"/>
    <w:rsid w:val="00A14132"/>
    <w:rsid w:val="00A1418F"/>
    <w:rsid w:val="00A14665"/>
    <w:rsid w:val="00A1487E"/>
    <w:rsid w:val="00A148A2"/>
    <w:rsid w:val="00A14929"/>
    <w:rsid w:val="00A14996"/>
    <w:rsid w:val="00A14A62"/>
    <w:rsid w:val="00A14B42"/>
    <w:rsid w:val="00A14B84"/>
    <w:rsid w:val="00A14E4B"/>
    <w:rsid w:val="00A150F4"/>
    <w:rsid w:val="00A15918"/>
    <w:rsid w:val="00A15B13"/>
    <w:rsid w:val="00A15C11"/>
    <w:rsid w:val="00A15D8D"/>
    <w:rsid w:val="00A15DC0"/>
    <w:rsid w:val="00A1646D"/>
    <w:rsid w:val="00A16597"/>
    <w:rsid w:val="00A166F8"/>
    <w:rsid w:val="00A1690E"/>
    <w:rsid w:val="00A16A1F"/>
    <w:rsid w:val="00A16A6C"/>
    <w:rsid w:val="00A16B30"/>
    <w:rsid w:val="00A16CEE"/>
    <w:rsid w:val="00A16D51"/>
    <w:rsid w:val="00A16D5E"/>
    <w:rsid w:val="00A16DDD"/>
    <w:rsid w:val="00A17212"/>
    <w:rsid w:val="00A1738D"/>
    <w:rsid w:val="00A1785B"/>
    <w:rsid w:val="00A179D3"/>
    <w:rsid w:val="00A17A4C"/>
    <w:rsid w:val="00A17B94"/>
    <w:rsid w:val="00A17BE5"/>
    <w:rsid w:val="00A17CE0"/>
    <w:rsid w:val="00A17E20"/>
    <w:rsid w:val="00A2008A"/>
    <w:rsid w:val="00A202AB"/>
    <w:rsid w:val="00A208D3"/>
    <w:rsid w:val="00A2093D"/>
    <w:rsid w:val="00A20948"/>
    <w:rsid w:val="00A2098E"/>
    <w:rsid w:val="00A20998"/>
    <w:rsid w:val="00A209BE"/>
    <w:rsid w:val="00A20C45"/>
    <w:rsid w:val="00A21077"/>
    <w:rsid w:val="00A2119F"/>
    <w:rsid w:val="00A211C3"/>
    <w:rsid w:val="00A212A4"/>
    <w:rsid w:val="00A213C7"/>
    <w:rsid w:val="00A214EB"/>
    <w:rsid w:val="00A215D7"/>
    <w:rsid w:val="00A216E2"/>
    <w:rsid w:val="00A21FE8"/>
    <w:rsid w:val="00A22003"/>
    <w:rsid w:val="00A22687"/>
    <w:rsid w:val="00A22714"/>
    <w:rsid w:val="00A22A24"/>
    <w:rsid w:val="00A22B76"/>
    <w:rsid w:val="00A22BA1"/>
    <w:rsid w:val="00A22BFD"/>
    <w:rsid w:val="00A22D80"/>
    <w:rsid w:val="00A22F26"/>
    <w:rsid w:val="00A2309A"/>
    <w:rsid w:val="00A2320F"/>
    <w:rsid w:val="00A2334D"/>
    <w:rsid w:val="00A23465"/>
    <w:rsid w:val="00A238E7"/>
    <w:rsid w:val="00A23BA4"/>
    <w:rsid w:val="00A23C27"/>
    <w:rsid w:val="00A23D48"/>
    <w:rsid w:val="00A24844"/>
    <w:rsid w:val="00A24902"/>
    <w:rsid w:val="00A24C01"/>
    <w:rsid w:val="00A24D59"/>
    <w:rsid w:val="00A24F3F"/>
    <w:rsid w:val="00A254AC"/>
    <w:rsid w:val="00A2570B"/>
    <w:rsid w:val="00A259C6"/>
    <w:rsid w:val="00A25C65"/>
    <w:rsid w:val="00A25EE4"/>
    <w:rsid w:val="00A26469"/>
    <w:rsid w:val="00A265DB"/>
    <w:rsid w:val="00A26662"/>
    <w:rsid w:val="00A26675"/>
    <w:rsid w:val="00A268A9"/>
    <w:rsid w:val="00A26A04"/>
    <w:rsid w:val="00A26A06"/>
    <w:rsid w:val="00A27006"/>
    <w:rsid w:val="00A2703F"/>
    <w:rsid w:val="00A270B3"/>
    <w:rsid w:val="00A27204"/>
    <w:rsid w:val="00A272BD"/>
    <w:rsid w:val="00A272D5"/>
    <w:rsid w:val="00A27378"/>
    <w:rsid w:val="00A2776D"/>
    <w:rsid w:val="00A27937"/>
    <w:rsid w:val="00A279CD"/>
    <w:rsid w:val="00A27C22"/>
    <w:rsid w:val="00A30022"/>
    <w:rsid w:val="00A30144"/>
    <w:rsid w:val="00A3029E"/>
    <w:rsid w:val="00A307EB"/>
    <w:rsid w:val="00A308E7"/>
    <w:rsid w:val="00A30CF2"/>
    <w:rsid w:val="00A30D1D"/>
    <w:rsid w:val="00A30E81"/>
    <w:rsid w:val="00A31085"/>
    <w:rsid w:val="00A31141"/>
    <w:rsid w:val="00A31362"/>
    <w:rsid w:val="00A31AF0"/>
    <w:rsid w:val="00A31B24"/>
    <w:rsid w:val="00A31B2D"/>
    <w:rsid w:val="00A31B7D"/>
    <w:rsid w:val="00A31BAD"/>
    <w:rsid w:val="00A31C9E"/>
    <w:rsid w:val="00A31CA5"/>
    <w:rsid w:val="00A31D2A"/>
    <w:rsid w:val="00A31EC8"/>
    <w:rsid w:val="00A31F8D"/>
    <w:rsid w:val="00A32120"/>
    <w:rsid w:val="00A32287"/>
    <w:rsid w:val="00A322BA"/>
    <w:rsid w:val="00A32479"/>
    <w:rsid w:val="00A3251D"/>
    <w:rsid w:val="00A32686"/>
    <w:rsid w:val="00A326C0"/>
    <w:rsid w:val="00A327DB"/>
    <w:rsid w:val="00A32873"/>
    <w:rsid w:val="00A32939"/>
    <w:rsid w:val="00A32980"/>
    <w:rsid w:val="00A32A97"/>
    <w:rsid w:val="00A32ED4"/>
    <w:rsid w:val="00A3321B"/>
    <w:rsid w:val="00A33771"/>
    <w:rsid w:val="00A33804"/>
    <w:rsid w:val="00A33912"/>
    <w:rsid w:val="00A33B91"/>
    <w:rsid w:val="00A33EA1"/>
    <w:rsid w:val="00A33F1E"/>
    <w:rsid w:val="00A34010"/>
    <w:rsid w:val="00A34015"/>
    <w:rsid w:val="00A34180"/>
    <w:rsid w:val="00A342FF"/>
    <w:rsid w:val="00A34506"/>
    <w:rsid w:val="00A34511"/>
    <w:rsid w:val="00A3464F"/>
    <w:rsid w:val="00A346BB"/>
    <w:rsid w:val="00A3493B"/>
    <w:rsid w:val="00A34D21"/>
    <w:rsid w:val="00A34DB8"/>
    <w:rsid w:val="00A3505F"/>
    <w:rsid w:val="00A350E0"/>
    <w:rsid w:val="00A35129"/>
    <w:rsid w:val="00A351B8"/>
    <w:rsid w:val="00A351D7"/>
    <w:rsid w:val="00A35208"/>
    <w:rsid w:val="00A352C7"/>
    <w:rsid w:val="00A353DA"/>
    <w:rsid w:val="00A3550F"/>
    <w:rsid w:val="00A3563B"/>
    <w:rsid w:val="00A356AF"/>
    <w:rsid w:val="00A358A5"/>
    <w:rsid w:val="00A358BF"/>
    <w:rsid w:val="00A359D3"/>
    <w:rsid w:val="00A35A63"/>
    <w:rsid w:val="00A35BAF"/>
    <w:rsid w:val="00A35BED"/>
    <w:rsid w:val="00A35C87"/>
    <w:rsid w:val="00A35E16"/>
    <w:rsid w:val="00A35F6F"/>
    <w:rsid w:val="00A3606B"/>
    <w:rsid w:val="00A3624C"/>
    <w:rsid w:val="00A36595"/>
    <w:rsid w:val="00A365BD"/>
    <w:rsid w:val="00A366A3"/>
    <w:rsid w:val="00A368C6"/>
    <w:rsid w:val="00A368ED"/>
    <w:rsid w:val="00A36CAB"/>
    <w:rsid w:val="00A3703C"/>
    <w:rsid w:val="00A37078"/>
    <w:rsid w:val="00A37163"/>
    <w:rsid w:val="00A3722E"/>
    <w:rsid w:val="00A3727B"/>
    <w:rsid w:val="00A37321"/>
    <w:rsid w:val="00A374F5"/>
    <w:rsid w:val="00A37567"/>
    <w:rsid w:val="00A376CE"/>
    <w:rsid w:val="00A377D8"/>
    <w:rsid w:val="00A37AF1"/>
    <w:rsid w:val="00A37F2D"/>
    <w:rsid w:val="00A403DE"/>
    <w:rsid w:val="00A406DD"/>
    <w:rsid w:val="00A4075E"/>
    <w:rsid w:val="00A40CDD"/>
    <w:rsid w:val="00A40F61"/>
    <w:rsid w:val="00A40F69"/>
    <w:rsid w:val="00A4127E"/>
    <w:rsid w:val="00A4145B"/>
    <w:rsid w:val="00A41527"/>
    <w:rsid w:val="00A415B8"/>
    <w:rsid w:val="00A41819"/>
    <w:rsid w:val="00A418ED"/>
    <w:rsid w:val="00A4197C"/>
    <w:rsid w:val="00A41B9A"/>
    <w:rsid w:val="00A41BA2"/>
    <w:rsid w:val="00A41EC9"/>
    <w:rsid w:val="00A42001"/>
    <w:rsid w:val="00A4204E"/>
    <w:rsid w:val="00A42306"/>
    <w:rsid w:val="00A425D4"/>
    <w:rsid w:val="00A4273C"/>
    <w:rsid w:val="00A42763"/>
    <w:rsid w:val="00A427CC"/>
    <w:rsid w:val="00A4292E"/>
    <w:rsid w:val="00A42BA3"/>
    <w:rsid w:val="00A4301A"/>
    <w:rsid w:val="00A43062"/>
    <w:rsid w:val="00A43166"/>
    <w:rsid w:val="00A434C3"/>
    <w:rsid w:val="00A435BB"/>
    <w:rsid w:val="00A43855"/>
    <w:rsid w:val="00A4391D"/>
    <w:rsid w:val="00A439FF"/>
    <w:rsid w:val="00A43E70"/>
    <w:rsid w:val="00A440A0"/>
    <w:rsid w:val="00A44174"/>
    <w:rsid w:val="00A44558"/>
    <w:rsid w:val="00A44560"/>
    <w:rsid w:val="00A4470B"/>
    <w:rsid w:val="00A44B87"/>
    <w:rsid w:val="00A44C8B"/>
    <w:rsid w:val="00A44D66"/>
    <w:rsid w:val="00A44E8D"/>
    <w:rsid w:val="00A44F8E"/>
    <w:rsid w:val="00A45048"/>
    <w:rsid w:val="00A454B1"/>
    <w:rsid w:val="00A45895"/>
    <w:rsid w:val="00A45973"/>
    <w:rsid w:val="00A45CFF"/>
    <w:rsid w:val="00A45F5F"/>
    <w:rsid w:val="00A45FC9"/>
    <w:rsid w:val="00A4616D"/>
    <w:rsid w:val="00A46208"/>
    <w:rsid w:val="00A46453"/>
    <w:rsid w:val="00A46531"/>
    <w:rsid w:val="00A46583"/>
    <w:rsid w:val="00A46587"/>
    <w:rsid w:val="00A468B6"/>
    <w:rsid w:val="00A46921"/>
    <w:rsid w:val="00A469F3"/>
    <w:rsid w:val="00A46BE2"/>
    <w:rsid w:val="00A46BEE"/>
    <w:rsid w:val="00A46EA8"/>
    <w:rsid w:val="00A4707B"/>
    <w:rsid w:val="00A4722C"/>
    <w:rsid w:val="00A4730F"/>
    <w:rsid w:val="00A47763"/>
    <w:rsid w:val="00A47987"/>
    <w:rsid w:val="00A47A54"/>
    <w:rsid w:val="00A47B90"/>
    <w:rsid w:val="00A47BA5"/>
    <w:rsid w:val="00A47BD6"/>
    <w:rsid w:val="00A47E63"/>
    <w:rsid w:val="00A47F73"/>
    <w:rsid w:val="00A50387"/>
    <w:rsid w:val="00A50703"/>
    <w:rsid w:val="00A508C7"/>
    <w:rsid w:val="00A50F7B"/>
    <w:rsid w:val="00A5112C"/>
    <w:rsid w:val="00A515B0"/>
    <w:rsid w:val="00A51A70"/>
    <w:rsid w:val="00A51B74"/>
    <w:rsid w:val="00A51B91"/>
    <w:rsid w:val="00A51C7B"/>
    <w:rsid w:val="00A5208D"/>
    <w:rsid w:val="00A52630"/>
    <w:rsid w:val="00A528DA"/>
    <w:rsid w:val="00A53114"/>
    <w:rsid w:val="00A531D2"/>
    <w:rsid w:val="00A5332B"/>
    <w:rsid w:val="00A53482"/>
    <w:rsid w:val="00A53738"/>
    <w:rsid w:val="00A53990"/>
    <w:rsid w:val="00A53A66"/>
    <w:rsid w:val="00A53E0D"/>
    <w:rsid w:val="00A53F1D"/>
    <w:rsid w:val="00A541A6"/>
    <w:rsid w:val="00A54D66"/>
    <w:rsid w:val="00A54DB3"/>
    <w:rsid w:val="00A55043"/>
    <w:rsid w:val="00A5509B"/>
    <w:rsid w:val="00A552E8"/>
    <w:rsid w:val="00A55672"/>
    <w:rsid w:val="00A55ACD"/>
    <w:rsid w:val="00A55AE8"/>
    <w:rsid w:val="00A55B0E"/>
    <w:rsid w:val="00A55CB8"/>
    <w:rsid w:val="00A55D77"/>
    <w:rsid w:val="00A560BB"/>
    <w:rsid w:val="00A5631A"/>
    <w:rsid w:val="00A563E1"/>
    <w:rsid w:val="00A567FB"/>
    <w:rsid w:val="00A568E7"/>
    <w:rsid w:val="00A5698A"/>
    <w:rsid w:val="00A569DA"/>
    <w:rsid w:val="00A56D34"/>
    <w:rsid w:val="00A56DB0"/>
    <w:rsid w:val="00A56DB7"/>
    <w:rsid w:val="00A56E34"/>
    <w:rsid w:val="00A56F66"/>
    <w:rsid w:val="00A572B1"/>
    <w:rsid w:val="00A572B5"/>
    <w:rsid w:val="00A57458"/>
    <w:rsid w:val="00A575A1"/>
    <w:rsid w:val="00A577D0"/>
    <w:rsid w:val="00A5798C"/>
    <w:rsid w:val="00A5798D"/>
    <w:rsid w:val="00A57D03"/>
    <w:rsid w:val="00A57F6A"/>
    <w:rsid w:val="00A57FA1"/>
    <w:rsid w:val="00A57FAC"/>
    <w:rsid w:val="00A60061"/>
    <w:rsid w:val="00A60166"/>
    <w:rsid w:val="00A602FC"/>
    <w:rsid w:val="00A6033F"/>
    <w:rsid w:val="00A603A1"/>
    <w:rsid w:val="00A605B8"/>
    <w:rsid w:val="00A609AC"/>
    <w:rsid w:val="00A60DB3"/>
    <w:rsid w:val="00A610CD"/>
    <w:rsid w:val="00A6131F"/>
    <w:rsid w:val="00A613D4"/>
    <w:rsid w:val="00A6179F"/>
    <w:rsid w:val="00A6189D"/>
    <w:rsid w:val="00A620FA"/>
    <w:rsid w:val="00A62146"/>
    <w:rsid w:val="00A62224"/>
    <w:rsid w:val="00A62320"/>
    <w:rsid w:val="00A6232D"/>
    <w:rsid w:val="00A623E8"/>
    <w:rsid w:val="00A62544"/>
    <w:rsid w:val="00A62899"/>
    <w:rsid w:val="00A628DA"/>
    <w:rsid w:val="00A628F3"/>
    <w:rsid w:val="00A62B67"/>
    <w:rsid w:val="00A62C45"/>
    <w:rsid w:val="00A62CCA"/>
    <w:rsid w:val="00A630DF"/>
    <w:rsid w:val="00A63102"/>
    <w:rsid w:val="00A6334B"/>
    <w:rsid w:val="00A63434"/>
    <w:rsid w:val="00A6369E"/>
    <w:rsid w:val="00A638EB"/>
    <w:rsid w:val="00A63D44"/>
    <w:rsid w:val="00A64162"/>
    <w:rsid w:val="00A6418F"/>
    <w:rsid w:val="00A64260"/>
    <w:rsid w:val="00A643F1"/>
    <w:rsid w:val="00A6448D"/>
    <w:rsid w:val="00A644DE"/>
    <w:rsid w:val="00A646C5"/>
    <w:rsid w:val="00A64837"/>
    <w:rsid w:val="00A64892"/>
    <w:rsid w:val="00A648FE"/>
    <w:rsid w:val="00A649AD"/>
    <w:rsid w:val="00A64AD9"/>
    <w:rsid w:val="00A64AF0"/>
    <w:rsid w:val="00A64CD4"/>
    <w:rsid w:val="00A64DDA"/>
    <w:rsid w:val="00A65075"/>
    <w:rsid w:val="00A6519F"/>
    <w:rsid w:val="00A65237"/>
    <w:rsid w:val="00A6531B"/>
    <w:rsid w:val="00A6553A"/>
    <w:rsid w:val="00A655B3"/>
    <w:rsid w:val="00A6591F"/>
    <w:rsid w:val="00A65967"/>
    <w:rsid w:val="00A65A5E"/>
    <w:rsid w:val="00A65BD6"/>
    <w:rsid w:val="00A65C73"/>
    <w:rsid w:val="00A65CB3"/>
    <w:rsid w:val="00A65CDE"/>
    <w:rsid w:val="00A65E15"/>
    <w:rsid w:val="00A66132"/>
    <w:rsid w:val="00A663EC"/>
    <w:rsid w:val="00A66788"/>
    <w:rsid w:val="00A66AFE"/>
    <w:rsid w:val="00A67049"/>
    <w:rsid w:val="00A6707D"/>
    <w:rsid w:val="00A67171"/>
    <w:rsid w:val="00A6723F"/>
    <w:rsid w:val="00A67823"/>
    <w:rsid w:val="00A6786D"/>
    <w:rsid w:val="00A67D61"/>
    <w:rsid w:val="00A67FCB"/>
    <w:rsid w:val="00A701D7"/>
    <w:rsid w:val="00A70844"/>
    <w:rsid w:val="00A708B1"/>
    <w:rsid w:val="00A709A1"/>
    <w:rsid w:val="00A70D0D"/>
    <w:rsid w:val="00A71244"/>
    <w:rsid w:val="00A71330"/>
    <w:rsid w:val="00A71386"/>
    <w:rsid w:val="00A71433"/>
    <w:rsid w:val="00A7143C"/>
    <w:rsid w:val="00A716EC"/>
    <w:rsid w:val="00A71768"/>
    <w:rsid w:val="00A717D1"/>
    <w:rsid w:val="00A719C8"/>
    <w:rsid w:val="00A71B7A"/>
    <w:rsid w:val="00A71C46"/>
    <w:rsid w:val="00A71EF7"/>
    <w:rsid w:val="00A71F42"/>
    <w:rsid w:val="00A71FAA"/>
    <w:rsid w:val="00A720B1"/>
    <w:rsid w:val="00A72782"/>
    <w:rsid w:val="00A727DD"/>
    <w:rsid w:val="00A729CE"/>
    <w:rsid w:val="00A72B73"/>
    <w:rsid w:val="00A72BC8"/>
    <w:rsid w:val="00A72CAB"/>
    <w:rsid w:val="00A72CB9"/>
    <w:rsid w:val="00A72E02"/>
    <w:rsid w:val="00A72E99"/>
    <w:rsid w:val="00A72FF0"/>
    <w:rsid w:val="00A73165"/>
    <w:rsid w:val="00A73466"/>
    <w:rsid w:val="00A736C9"/>
    <w:rsid w:val="00A739C7"/>
    <w:rsid w:val="00A73CE7"/>
    <w:rsid w:val="00A73D21"/>
    <w:rsid w:val="00A73D61"/>
    <w:rsid w:val="00A73E51"/>
    <w:rsid w:val="00A7418A"/>
    <w:rsid w:val="00A744EB"/>
    <w:rsid w:val="00A7474B"/>
    <w:rsid w:val="00A74825"/>
    <w:rsid w:val="00A748E2"/>
    <w:rsid w:val="00A750C7"/>
    <w:rsid w:val="00A752B6"/>
    <w:rsid w:val="00A75332"/>
    <w:rsid w:val="00A75395"/>
    <w:rsid w:val="00A753FB"/>
    <w:rsid w:val="00A754DA"/>
    <w:rsid w:val="00A7551C"/>
    <w:rsid w:val="00A7552B"/>
    <w:rsid w:val="00A75689"/>
    <w:rsid w:val="00A757A0"/>
    <w:rsid w:val="00A757D1"/>
    <w:rsid w:val="00A75944"/>
    <w:rsid w:val="00A75A86"/>
    <w:rsid w:val="00A76016"/>
    <w:rsid w:val="00A7603B"/>
    <w:rsid w:val="00A760AF"/>
    <w:rsid w:val="00A761AC"/>
    <w:rsid w:val="00A76204"/>
    <w:rsid w:val="00A7641F"/>
    <w:rsid w:val="00A76430"/>
    <w:rsid w:val="00A76638"/>
    <w:rsid w:val="00A7666C"/>
    <w:rsid w:val="00A7668A"/>
    <w:rsid w:val="00A769FA"/>
    <w:rsid w:val="00A76A96"/>
    <w:rsid w:val="00A76A9F"/>
    <w:rsid w:val="00A76C85"/>
    <w:rsid w:val="00A7702B"/>
    <w:rsid w:val="00A77266"/>
    <w:rsid w:val="00A775BB"/>
    <w:rsid w:val="00A7761E"/>
    <w:rsid w:val="00A776E9"/>
    <w:rsid w:val="00A7775E"/>
    <w:rsid w:val="00A777EB"/>
    <w:rsid w:val="00A77923"/>
    <w:rsid w:val="00A779AB"/>
    <w:rsid w:val="00A779E7"/>
    <w:rsid w:val="00A77C4F"/>
    <w:rsid w:val="00A77C83"/>
    <w:rsid w:val="00A77D01"/>
    <w:rsid w:val="00A77DF1"/>
    <w:rsid w:val="00A77E39"/>
    <w:rsid w:val="00A77ECF"/>
    <w:rsid w:val="00A80031"/>
    <w:rsid w:val="00A800B1"/>
    <w:rsid w:val="00A80204"/>
    <w:rsid w:val="00A803AB"/>
    <w:rsid w:val="00A80404"/>
    <w:rsid w:val="00A80AFF"/>
    <w:rsid w:val="00A80DB6"/>
    <w:rsid w:val="00A80EA3"/>
    <w:rsid w:val="00A80F57"/>
    <w:rsid w:val="00A81022"/>
    <w:rsid w:val="00A813A6"/>
    <w:rsid w:val="00A81704"/>
    <w:rsid w:val="00A81751"/>
    <w:rsid w:val="00A817CD"/>
    <w:rsid w:val="00A818CC"/>
    <w:rsid w:val="00A81AB7"/>
    <w:rsid w:val="00A81FFC"/>
    <w:rsid w:val="00A8210E"/>
    <w:rsid w:val="00A82192"/>
    <w:rsid w:val="00A822D4"/>
    <w:rsid w:val="00A82705"/>
    <w:rsid w:val="00A82B86"/>
    <w:rsid w:val="00A82DFF"/>
    <w:rsid w:val="00A82EE8"/>
    <w:rsid w:val="00A830E6"/>
    <w:rsid w:val="00A831F7"/>
    <w:rsid w:val="00A832AA"/>
    <w:rsid w:val="00A83310"/>
    <w:rsid w:val="00A83316"/>
    <w:rsid w:val="00A83A0D"/>
    <w:rsid w:val="00A83B96"/>
    <w:rsid w:val="00A83DB0"/>
    <w:rsid w:val="00A83F09"/>
    <w:rsid w:val="00A83F54"/>
    <w:rsid w:val="00A83FB5"/>
    <w:rsid w:val="00A83FEC"/>
    <w:rsid w:val="00A845A6"/>
    <w:rsid w:val="00A8468F"/>
    <w:rsid w:val="00A846CC"/>
    <w:rsid w:val="00A847C5"/>
    <w:rsid w:val="00A848B9"/>
    <w:rsid w:val="00A84A8A"/>
    <w:rsid w:val="00A84AB9"/>
    <w:rsid w:val="00A84B51"/>
    <w:rsid w:val="00A84D47"/>
    <w:rsid w:val="00A84E01"/>
    <w:rsid w:val="00A84E0E"/>
    <w:rsid w:val="00A85075"/>
    <w:rsid w:val="00A850F6"/>
    <w:rsid w:val="00A856B0"/>
    <w:rsid w:val="00A85849"/>
    <w:rsid w:val="00A85A57"/>
    <w:rsid w:val="00A85D27"/>
    <w:rsid w:val="00A85DF9"/>
    <w:rsid w:val="00A86281"/>
    <w:rsid w:val="00A8635D"/>
    <w:rsid w:val="00A86608"/>
    <w:rsid w:val="00A86641"/>
    <w:rsid w:val="00A866C4"/>
    <w:rsid w:val="00A867BE"/>
    <w:rsid w:val="00A86B16"/>
    <w:rsid w:val="00A86BF0"/>
    <w:rsid w:val="00A86C5B"/>
    <w:rsid w:val="00A86DF4"/>
    <w:rsid w:val="00A870E5"/>
    <w:rsid w:val="00A87196"/>
    <w:rsid w:val="00A87282"/>
    <w:rsid w:val="00A875D6"/>
    <w:rsid w:val="00A876B7"/>
    <w:rsid w:val="00A87743"/>
    <w:rsid w:val="00A87781"/>
    <w:rsid w:val="00A878A9"/>
    <w:rsid w:val="00A878FB"/>
    <w:rsid w:val="00A90082"/>
    <w:rsid w:val="00A900B5"/>
    <w:rsid w:val="00A90370"/>
    <w:rsid w:val="00A9057B"/>
    <w:rsid w:val="00A90683"/>
    <w:rsid w:val="00A906C3"/>
    <w:rsid w:val="00A90849"/>
    <w:rsid w:val="00A90A71"/>
    <w:rsid w:val="00A90AE9"/>
    <w:rsid w:val="00A90D34"/>
    <w:rsid w:val="00A91008"/>
    <w:rsid w:val="00A9114E"/>
    <w:rsid w:val="00A91343"/>
    <w:rsid w:val="00A91587"/>
    <w:rsid w:val="00A91700"/>
    <w:rsid w:val="00A91A62"/>
    <w:rsid w:val="00A91B2F"/>
    <w:rsid w:val="00A91B47"/>
    <w:rsid w:val="00A91B97"/>
    <w:rsid w:val="00A91BF3"/>
    <w:rsid w:val="00A91C01"/>
    <w:rsid w:val="00A91CD3"/>
    <w:rsid w:val="00A91DA3"/>
    <w:rsid w:val="00A91EBD"/>
    <w:rsid w:val="00A91F28"/>
    <w:rsid w:val="00A9202A"/>
    <w:rsid w:val="00A921FC"/>
    <w:rsid w:val="00A9221A"/>
    <w:rsid w:val="00A9249F"/>
    <w:rsid w:val="00A92625"/>
    <w:rsid w:val="00A928A5"/>
    <w:rsid w:val="00A928D4"/>
    <w:rsid w:val="00A929D3"/>
    <w:rsid w:val="00A92A5F"/>
    <w:rsid w:val="00A92ADD"/>
    <w:rsid w:val="00A92C71"/>
    <w:rsid w:val="00A92F1B"/>
    <w:rsid w:val="00A93380"/>
    <w:rsid w:val="00A93647"/>
    <w:rsid w:val="00A937A2"/>
    <w:rsid w:val="00A938BB"/>
    <w:rsid w:val="00A93A09"/>
    <w:rsid w:val="00A93B04"/>
    <w:rsid w:val="00A93C2A"/>
    <w:rsid w:val="00A93CD6"/>
    <w:rsid w:val="00A94127"/>
    <w:rsid w:val="00A943E9"/>
    <w:rsid w:val="00A947BA"/>
    <w:rsid w:val="00A94832"/>
    <w:rsid w:val="00A9483C"/>
    <w:rsid w:val="00A94B87"/>
    <w:rsid w:val="00A94FCD"/>
    <w:rsid w:val="00A95011"/>
    <w:rsid w:val="00A95120"/>
    <w:rsid w:val="00A952A8"/>
    <w:rsid w:val="00A958FD"/>
    <w:rsid w:val="00A95940"/>
    <w:rsid w:val="00A95949"/>
    <w:rsid w:val="00A95951"/>
    <w:rsid w:val="00A95974"/>
    <w:rsid w:val="00A95ADE"/>
    <w:rsid w:val="00A95CCA"/>
    <w:rsid w:val="00A95F48"/>
    <w:rsid w:val="00A96176"/>
    <w:rsid w:val="00A963BE"/>
    <w:rsid w:val="00A9660B"/>
    <w:rsid w:val="00A96AB0"/>
    <w:rsid w:val="00A97081"/>
    <w:rsid w:val="00A970FF"/>
    <w:rsid w:val="00A97273"/>
    <w:rsid w:val="00A976A4"/>
    <w:rsid w:val="00A976CC"/>
    <w:rsid w:val="00A978DB"/>
    <w:rsid w:val="00A97B95"/>
    <w:rsid w:val="00A97C19"/>
    <w:rsid w:val="00A97E02"/>
    <w:rsid w:val="00A97FF2"/>
    <w:rsid w:val="00AA002D"/>
    <w:rsid w:val="00AA01F3"/>
    <w:rsid w:val="00AA027D"/>
    <w:rsid w:val="00AA029A"/>
    <w:rsid w:val="00AA03E6"/>
    <w:rsid w:val="00AA0415"/>
    <w:rsid w:val="00AA050D"/>
    <w:rsid w:val="00AA0722"/>
    <w:rsid w:val="00AA0BE9"/>
    <w:rsid w:val="00AA0C72"/>
    <w:rsid w:val="00AA0EC9"/>
    <w:rsid w:val="00AA0F6B"/>
    <w:rsid w:val="00AA0FFF"/>
    <w:rsid w:val="00AA115D"/>
    <w:rsid w:val="00AA140B"/>
    <w:rsid w:val="00AA180E"/>
    <w:rsid w:val="00AA19C1"/>
    <w:rsid w:val="00AA1CF5"/>
    <w:rsid w:val="00AA1DAB"/>
    <w:rsid w:val="00AA1E9C"/>
    <w:rsid w:val="00AA2019"/>
    <w:rsid w:val="00AA20D1"/>
    <w:rsid w:val="00AA221F"/>
    <w:rsid w:val="00AA232F"/>
    <w:rsid w:val="00AA238A"/>
    <w:rsid w:val="00AA2393"/>
    <w:rsid w:val="00AA2416"/>
    <w:rsid w:val="00AA24D6"/>
    <w:rsid w:val="00AA2540"/>
    <w:rsid w:val="00AA264B"/>
    <w:rsid w:val="00AA2675"/>
    <w:rsid w:val="00AA2689"/>
    <w:rsid w:val="00AA2986"/>
    <w:rsid w:val="00AA29A5"/>
    <w:rsid w:val="00AA2B24"/>
    <w:rsid w:val="00AA2C2E"/>
    <w:rsid w:val="00AA2C63"/>
    <w:rsid w:val="00AA2DCC"/>
    <w:rsid w:val="00AA2E60"/>
    <w:rsid w:val="00AA30DA"/>
    <w:rsid w:val="00AA321E"/>
    <w:rsid w:val="00AA3400"/>
    <w:rsid w:val="00AA351A"/>
    <w:rsid w:val="00AA363D"/>
    <w:rsid w:val="00AA37AB"/>
    <w:rsid w:val="00AA38B5"/>
    <w:rsid w:val="00AA3B14"/>
    <w:rsid w:val="00AA3D53"/>
    <w:rsid w:val="00AA3DAF"/>
    <w:rsid w:val="00AA3F6F"/>
    <w:rsid w:val="00AA4008"/>
    <w:rsid w:val="00AA40A1"/>
    <w:rsid w:val="00AA459F"/>
    <w:rsid w:val="00AA487E"/>
    <w:rsid w:val="00AA4993"/>
    <w:rsid w:val="00AA4A32"/>
    <w:rsid w:val="00AA4A6F"/>
    <w:rsid w:val="00AA4B0B"/>
    <w:rsid w:val="00AA4D74"/>
    <w:rsid w:val="00AA4E97"/>
    <w:rsid w:val="00AA50EE"/>
    <w:rsid w:val="00AA5468"/>
    <w:rsid w:val="00AA54DE"/>
    <w:rsid w:val="00AA55F5"/>
    <w:rsid w:val="00AA57F8"/>
    <w:rsid w:val="00AA5AC0"/>
    <w:rsid w:val="00AA5C93"/>
    <w:rsid w:val="00AA68E5"/>
    <w:rsid w:val="00AA6AF7"/>
    <w:rsid w:val="00AA6CAD"/>
    <w:rsid w:val="00AA6FCF"/>
    <w:rsid w:val="00AA70FD"/>
    <w:rsid w:val="00AA71FC"/>
    <w:rsid w:val="00AA7424"/>
    <w:rsid w:val="00AA79A4"/>
    <w:rsid w:val="00AA7C43"/>
    <w:rsid w:val="00AB0064"/>
    <w:rsid w:val="00AB0446"/>
    <w:rsid w:val="00AB0498"/>
    <w:rsid w:val="00AB057F"/>
    <w:rsid w:val="00AB06DE"/>
    <w:rsid w:val="00AB0768"/>
    <w:rsid w:val="00AB08C4"/>
    <w:rsid w:val="00AB0B32"/>
    <w:rsid w:val="00AB0BBE"/>
    <w:rsid w:val="00AB0C6A"/>
    <w:rsid w:val="00AB0E0D"/>
    <w:rsid w:val="00AB0E9A"/>
    <w:rsid w:val="00AB10B0"/>
    <w:rsid w:val="00AB110F"/>
    <w:rsid w:val="00AB131E"/>
    <w:rsid w:val="00AB1381"/>
    <w:rsid w:val="00AB14D9"/>
    <w:rsid w:val="00AB161A"/>
    <w:rsid w:val="00AB1659"/>
    <w:rsid w:val="00AB18E9"/>
    <w:rsid w:val="00AB1A0B"/>
    <w:rsid w:val="00AB1D47"/>
    <w:rsid w:val="00AB1E82"/>
    <w:rsid w:val="00AB1F15"/>
    <w:rsid w:val="00AB2128"/>
    <w:rsid w:val="00AB239E"/>
    <w:rsid w:val="00AB26B3"/>
    <w:rsid w:val="00AB27E8"/>
    <w:rsid w:val="00AB28EF"/>
    <w:rsid w:val="00AB2AA2"/>
    <w:rsid w:val="00AB2D58"/>
    <w:rsid w:val="00AB3087"/>
    <w:rsid w:val="00AB3581"/>
    <w:rsid w:val="00AB3B13"/>
    <w:rsid w:val="00AB3DA2"/>
    <w:rsid w:val="00AB3DFB"/>
    <w:rsid w:val="00AB3F07"/>
    <w:rsid w:val="00AB410B"/>
    <w:rsid w:val="00AB41DF"/>
    <w:rsid w:val="00AB424B"/>
    <w:rsid w:val="00AB4417"/>
    <w:rsid w:val="00AB4703"/>
    <w:rsid w:val="00AB477B"/>
    <w:rsid w:val="00AB4878"/>
    <w:rsid w:val="00AB48AC"/>
    <w:rsid w:val="00AB4900"/>
    <w:rsid w:val="00AB4C73"/>
    <w:rsid w:val="00AB4C8B"/>
    <w:rsid w:val="00AB4EF4"/>
    <w:rsid w:val="00AB4F56"/>
    <w:rsid w:val="00AB4F92"/>
    <w:rsid w:val="00AB5224"/>
    <w:rsid w:val="00AB523A"/>
    <w:rsid w:val="00AB550D"/>
    <w:rsid w:val="00AB571A"/>
    <w:rsid w:val="00AB5B21"/>
    <w:rsid w:val="00AB5B38"/>
    <w:rsid w:val="00AB5C79"/>
    <w:rsid w:val="00AB5EE5"/>
    <w:rsid w:val="00AB5FB3"/>
    <w:rsid w:val="00AB6220"/>
    <w:rsid w:val="00AB622B"/>
    <w:rsid w:val="00AB6378"/>
    <w:rsid w:val="00AB6545"/>
    <w:rsid w:val="00AB67CC"/>
    <w:rsid w:val="00AB68B6"/>
    <w:rsid w:val="00AB6B89"/>
    <w:rsid w:val="00AB6BA6"/>
    <w:rsid w:val="00AB714D"/>
    <w:rsid w:val="00AB7228"/>
    <w:rsid w:val="00AB7359"/>
    <w:rsid w:val="00AB73FD"/>
    <w:rsid w:val="00AB75F3"/>
    <w:rsid w:val="00AB7735"/>
    <w:rsid w:val="00AB776B"/>
    <w:rsid w:val="00AB7875"/>
    <w:rsid w:val="00AB85CE"/>
    <w:rsid w:val="00AC0022"/>
    <w:rsid w:val="00AC0378"/>
    <w:rsid w:val="00AC039E"/>
    <w:rsid w:val="00AC0436"/>
    <w:rsid w:val="00AC0709"/>
    <w:rsid w:val="00AC0782"/>
    <w:rsid w:val="00AC0AA3"/>
    <w:rsid w:val="00AC0C96"/>
    <w:rsid w:val="00AC1119"/>
    <w:rsid w:val="00AC15C5"/>
    <w:rsid w:val="00AC15ED"/>
    <w:rsid w:val="00AC1999"/>
    <w:rsid w:val="00AC1B35"/>
    <w:rsid w:val="00AC1BF4"/>
    <w:rsid w:val="00AC1E55"/>
    <w:rsid w:val="00AC1E8C"/>
    <w:rsid w:val="00AC1F6F"/>
    <w:rsid w:val="00AC1FC5"/>
    <w:rsid w:val="00AC23AF"/>
    <w:rsid w:val="00AC23FB"/>
    <w:rsid w:val="00AC2655"/>
    <w:rsid w:val="00AC26E4"/>
    <w:rsid w:val="00AC2B57"/>
    <w:rsid w:val="00AC331E"/>
    <w:rsid w:val="00AC382B"/>
    <w:rsid w:val="00AC3965"/>
    <w:rsid w:val="00AC3AD7"/>
    <w:rsid w:val="00AC3BE0"/>
    <w:rsid w:val="00AC3E07"/>
    <w:rsid w:val="00AC4023"/>
    <w:rsid w:val="00AC41D0"/>
    <w:rsid w:val="00AC4422"/>
    <w:rsid w:val="00AC44E7"/>
    <w:rsid w:val="00AC46AE"/>
    <w:rsid w:val="00AC4781"/>
    <w:rsid w:val="00AC4ABB"/>
    <w:rsid w:val="00AC4BCE"/>
    <w:rsid w:val="00AC4F74"/>
    <w:rsid w:val="00AC4FCD"/>
    <w:rsid w:val="00AC5317"/>
    <w:rsid w:val="00AC5388"/>
    <w:rsid w:val="00AC5538"/>
    <w:rsid w:val="00AC5797"/>
    <w:rsid w:val="00AC585C"/>
    <w:rsid w:val="00AC5902"/>
    <w:rsid w:val="00AC5CA9"/>
    <w:rsid w:val="00AC64BA"/>
    <w:rsid w:val="00AC68EE"/>
    <w:rsid w:val="00AC691C"/>
    <w:rsid w:val="00AC6964"/>
    <w:rsid w:val="00AC6B32"/>
    <w:rsid w:val="00AC6D0E"/>
    <w:rsid w:val="00AC6F35"/>
    <w:rsid w:val="00AC7059"/>
    <w:rsid w:val="00AC709C"/>
    <w:rsid w:val="00AC70F3"/>
    <w:rsid w:val="00AC71FD"/>
    <w:rsid w:val="00AC7298"/>
    <w:rsid w:val="00AC7586"/>
    <w:rsid w:val="00AC7713"/>
    <w:rsid w:val="00AC7788"/>
    <w:rsid w:val="00AC7858"/>
    <w:rsid w:val="00AC7859"/>
    <w:rsid w:val="00AC7A89"/>
    <w:rsid w:val="00AC7BC4"/>
    <w:rsid w:val="00AC7DD0"/>
    <w:rsid w:val="00AC7FA6"/>
    <w:rsid w:val="00AD010D"/>
    <w:rsid w:val="00AD0342"/>
    <w:rsid w:val="00AD0377"/>
    <w:rsid w:val="00AD03CC"/>
    <w:rsid w:val="00AD05A1"/>
    <w:rsid w:val="00AD0917"/>
    <w:rsid w:val="00AD092E"/>
    <w:rsid w:val="00AD0AB6"/>
    <w:rsid w:val="00AD0B2E"/>
    <w:rsid w:val="00AD0BB5"/>
    <w:rsid w:val="00AD0FB1"/>
    <w:rsid w:val="00AD1220"/>
    <w:rsid w:val="00AD123C"/>
    <w:rsid w:val="00AD137E"/>
    <w:rsid w:val="00AD14FA"/>
    <w:rsid w:val="00AD1752"/>
    <w:rsid w:val="00AD1782"/>
    <w:rsid w:val="00AD1809"/>
    <w:rsid w:val="00AD1A50"/>
    <w:rsid w:val="00AD20AA"/>
    <w:rsid w:val="00AD20BE"/>
    <w:rsid w:val="00AD2258"/>
    <w:rsid w:val="00AD23B2"/>
    <w:rsid w:val="00AD2456"/>
    <w:rsid w:val="00AD25B3"/>
    <w:rsid w:val="00AD2903"/>
    <w:rsid w:val="00AD296F"/>
    <w:rsid w:val="00AD29DB"/>
    <w:rsid w:val="00AD2C2D"/>
    <w:rsid w:val="00AD2CBC"/>
    <w:rsid w:val="00AD2CC5"/>
    <w:rsid w:val="00AD2CDD"/>
    <w:rsid w:val="00AD2CF9"/>
    <w:rsid w:val="00AD3077"/>
    <w:rsid w:val="00AD3931"/>
    <w:rsid w:val="00AD3C3A"/>
    <w:rsid w:val="00AD3D11"/>
    <w:rsid w:val="00AD4255"/>
    <w:rsid w:val="00AD4329"/>
    <w:rsid w:val="00AD484E"/>
    <w:rsid w:val="00AD4948"/>
    <w:rsid w:val="00AD49FA"/>
    <w:rsid w:val="00AD49FD"/>
    <w:rsid w:val="00AD4A4F"/>
    <w:rsid w:val="00AD4E4E"/>
    <w:rsid w:val="00AD4FDB"/>
    <w:rsid w:val="00AD557A"/>
    <w:rsid w:val="00AD5840"/>
    <w:rsid w:val="00AD5BA5"/>
    <w:rsid w:val="00AD5C4F"/>
    <w:rsid w:val="00AD5D09"/>
    <w:rsid w:val="00AD64F1"/>
    <w:rsid w:val="00AD6709"/>
    <w:rsid w:val="00AD688A"/>
    <w:rsid w:val="00AD688C"/>
    <w:rsid w:val="00AD6AAF"/>
    <w:rsid w:val="00AD6C43"/>
    <w:rsid w:val="00AD6D3F"/>
    <w:rsid w:val="00AD6E15"/>
    <w:rsid w:val="00AD6EF9"/>
    <w:rsid w:val="00AD72AA"/>
    <w:rsid w:val="00AD741C"/>
    <w:rsid w:val="00AD7589"/>
    <w:rsid w:val="00AD7911"/>
    <w:rsid w:val="00AD79B7"/>
    <w:rsid w:val="00AD79BF"/>
    <w:rsid w:val="00AD7AEA"/>
    <w:rsid w:val="00AD7BEE"/>
    <w:rsid w:val="00AD7BFE"/>
    <w:rsid w:val="00AD7D83"/>
    <w:rsid w:val="00AD7F38"/>
    <w:rsid w:val="00AD7F4A"/>
    <w:rsid w:val="00AE00CE"/>
    <w:rsid w:val="00AE0252"/>
    <w:rsid w:val="00AE0458"/>
    <w:rsid w:val="00AE053D"/>
    <w:rsid w:val="00AE0550"/>
    <w:rsid w:val="00AE0721"/>
    <w:rsid w:val="00AE0792"/>
    <w:rsid w:val="00AE0AEF"/>
    <w:rsid w:val="00AE0C9B"/>
    <w:rsid w:val="00AE0E23"/>
    <w:rsid w:val="00AE0FB7"/>
    <w:rsid w:val="00AE118C"/>
    <w:rsid w:val="00AE12C8"/>
    <w:rsid w:val="00AE16E0"/>
    <w:rsid w:val="00AE17D1"/>
    <w:rsid w:val="00AE1956"/>
    <w:rsid w:val="00AE19EA"/>
    <w:rsid w:val="00AE1A0F"/>
    <w:rsid w:val="00AE1A51"/>
    <w:rsid w:val="00AE1C57"/>
    <w:rsid w:val="00AE1C5A"/>
    <w:rsid w:val="00AE1D72"/>
    <w:rsid w:val="00AE1F2A"/>
    <w:rsid w:val="00AE2295"/>
    <w:rsid w:val="00AE22B4"/>
    <w:rsid w:val="00AE22F0"/>
    <w:rsid w:val="00AE2633"/>
    <w:rsid w:val="00AE2863"/>
    <w:rsid w:val="00AE28E1"/>
    <w:rsid w:val="00AE2B3B"/>
    <w:rsid w:val="00AE2C4B"/>
    <w:rsid w:val="00AE2C56"/>
    <w:rsid w:val="00AE2E90"/>
    <w:rsid w:val="00AE2FC0"/>
    <w:rsid w:val="00AE30CD"/>
    <w:rsid w:val="00AE3850"/>
    <w:rsid w:val="00AE3CB9"/>
    <w:rsid w:val="00AE3D26"/>
    <w:rsid w:val="00AE3DBB"/>
    <w:rsid w:val="00AE403F"/>
    <w:rsid w:val="00AE41A6"/>
    <w:rsid w:val="00AE4421"/>
    <w:rsid w:val="00AE472F"/>
    <w:rsid w:val="00AE4785"/>
    <w:rsid w:val="00AE4C98"/>
    <w:rsid w:val="00AE50B9"/>
    <w:rsid w:val="00AE51CA"/>
    <w:rsid w:val="00AE54A7"/>
    <w:rsid w:val="00AE559C"/>
    <w:rsid w:val="00AE5A4B"/>
    <w:rsid w:val="00AE5C81"/>
    <w:rsid w:val="00AE5E87"/>
    <w:rsid w:val="00AE6078"/>
    <w:rsid w:val="00AE63A9"/>
    <w:rsid w:val="00AE63EE"/>
    <w:rsid w:val="00AE641E"/>
    <w:rsid w:val="00AE665F"/>
    <w:rsid w:val="00AE6750"/>
    <w:rsid w:val="00AE6E81"/>
    <w:rsid w:val="00AE6F2C"/>
    <w:rsid w:val="00AE700E"/>
    <w:rsid w:val="00AE72EC"/>
    <w:rsid w:val="00AE7492"/>
    <w:rsid w:val="00AE74A3"/>
    <w:rsid w:val="00AE750E"/>
    <w:rsid w:val="00AE7773"/>
    <w:rsid w:val="00AE7874"/>
    <w:rsid w:val="00AE7A42"/>
    <w:rsid w:val="00AF02F6"/>
    <w:rsid w:val="00AF05EC"/>
    <w:rsid w:val="00AF060A"/>
    <w:rsid w:val="00AF069F"/>
    <w:rsid w:val="00AF0740"/>
    <w:rsid w:val="00AF0A66"/>
    <w:rsid w:val="00AF0C3B"/>
    <w:rsid w:val="00AF1003"/>
    <w:rsid w:val="00AF11A9"/>
    <w:rsid w:val="00AF13B8"/>
    <w:rsid w:val="00AF164B"/>
    <w:rsid w:val="00AF17CB"/>
    <w:rsid w:val="00AF1863"/>
    <w:rsid w:val="00AF1A1B"/>
    <w:rsid w:val="00AF1A56"/>
    <w:rsid w:val="00AF1E30"/>
    <w:rsid w:val="00AF1EE7"/>
    <w:rsid w:val="00AF201C"/>
    <w:rsid w:val="00AF2244"/>
    <w:rsid w:val="00AF22A9"/>
    <w:rsid w:val="00AF239B"/>
    <w:rsid w:val="00AF2476"/>
    <w:rsid w:val="00AF28EE"/>
    <w:rsid w:val="00AF2AB8"/>
    <w:rsid w:val="00AF2C34"/>
    <w:rsid w:val="00AF2F05"/>
    <w:rsid w:val="00AF2F4E"/>
    <w:rsid w:val="00AF3175"/>
    <w:rsid w:val="00AF338D"/>
    <w:rsid w:val="00AF33E5"/>
    <w:rsid w:val="00AF3549"/>
    <w:rsid w:val="00AF36BB"/>
    <w:rsid w:val="00AF378C"/>
    <w:rsid w:val="00AF37D4"/>
    <w:rsid w:val="00AF38CF"/>
    <w:rsid w:val="00AF3960"/>
    <w:rsid w:val="00AF399E"/>
    <w:rsid w:val="00AF3B1D"/>
    <w:rsid w:val="00AF3D3D"/>
    <w:rsid w:val="00AF3FE7"/>
    <w:rsid w:val="00AF4105"/>
    <w:rsid w:val="00AF444C"/>
    <w:rsid w:val="00AF44A3"/>
    <w:rsid w:val="00AF462F"/>
    <w:rsid w:val="00AF46B3"/>
    <w:rsid w:val="00AF4B4B"/>
    <w:rsid w:val="00AF4BC8"/>
    <w:rsid w:val="00AF4CCD"/>
    <w:rsid w:val="00AF516D"/>
    <w:rsid w:val="00AF5219"/>
    <w:rsid w:val="00AF5529"/>
    <w:rsid w:val="00AF59C1"/>
    <w:rsid w:val="00AF5A20"/>
    <w:rsid w:val="00AF5A91"/>
    <w:rsid w:val="00AF5DE1"/>
    <w:rsid w:val="00AF6066"/>
    <w:rsid w:val="00AF60A2"/>
    <w:rsid w:val="00AF6310"/>
    <w:rsid w:val="00AF674A"/>
    <w:rsid w:val="00AF6768"/>
    <w:rsid w:val="00AF6872"/>
    <w:rsid w:val="00AF68E1"/>
    <w:rsid w:val="00AF6B65"/>
    <w:rsid w:val="00AF6CCD"/>
    <w:rsid w:val="00AF6CDD"/>
    <w:rsid w:val="00AF6E93"/>
    <w:rsid w:val="00AF70D5"/>
    <w:rsid w:val="00AF7223"/>
    <w:rsid w:val="00AF73C2"/>
    <w:rsid w:val="00AF750B"/>
    <w:rsid w:val="00AF75A2"/>
    <w:rsid w:val="00AF7912"/>
    <w:rsid w:val="00AF79BD"/>
    <w:rsid w:val="00AF7A39"/>
    <w:rsid w:val="00AF7A8C"/>
    <w:rsid w:val="00AF7CBA"/>
    <w:rsid w:val="00AF7DA7"/>
    <w:rsid w:val="00AF7DF1"/>
    <w:rsid w:val="00AF7F23"/>
    <w:rsid w:val="00B0006A"/>
    <w:rsid w:val="00B001DE"/>
    <w:rsid w:val="00B0026F"/>
    <w:rsid w:val="00B00569"/>
    <w:rsid w:val="00B005BB"/>
    <w:rsid w:val="00B0079C"/>
    <w:rsid w:val="00B0087F"/>
    <w:rsid w:val="00B00E04"/>
    <w:rsid w:val="00B01177"/>
    <w:rsid w:val="00B011B9"/>
    <w:rsid w:val="00B01620"/>
    <w:rsid w:val="00B01684"/>
    <w:rsid w:val="00B01AF7"/>
    <w:rsid w:val="00B01BB8"/>
    <w:rsid w:val="00B01F7E"/>
    <w:rsid w:val="00B020FC"/>
    <w:rsid w:val="00B021C6"/>
    <w:rsid w:val="00B022EB"/>
    <w:rsid w:val="00B02504"/>
    <w:rsid w:val="00B0266A"/>
    <w:rsid w:val="00B0269E"/>
    <w:rsid w:val="00B027E0"/>
    <w:rsid w:val="00B0282A"/>
    <w:rsid w:val="00B0286F"/>
    <w:rsid w:val="00B029D4"/>
    <w:rsid w:val="00B029E4"/>
    <w:rsid w:val="00B02B32"/>
    <w:rsid w:val="00B02B33"/>
    <w:rsid w:val="00B02D9F"/>
    <w:rsid w:val="00B02DF9"/>
    <w:rsid w:val="00B030D6"/>
    <w:rsid w:val="00B034FE"/>
    <w:rsid w:val="00B035A9"/>
    <w:rsid w:val="00B038E4"/>
    <w:rsid w:val="00B03AB2"/>
    <w:rsid w:val="00B03C3C"/>
    <w:rsid w:val="00B03DC3"/>
    <w:rsid w:val="00B03E18"/>
    <w:rsid w:val="00B04267"/>
    <w:rsid w:val="00B04281"/>
    <w:rsid w:val="00B0496E"/>
    <w:rsid w:val="00B04B74"/>
    <w:rsid w:val="00B04BA9"/>
    <w:rsid w:val="00B04D5C"/>
    <w:rsid w:val="00B04E69"/>
    <w:rsid w:val="00B050B5"/>
    <w:rsid w:val="00B0524A"/>
    <w:rsid w:val="00B05252"/>
    <w:rsid w:val="00B05293"/>
    <w:rsid w:val="00B05569"/>
    <w:rsid w:val="00B055E5"/>
    <w:rsid w:val="00B0563D"/>
    <w:rsid w:val="00B0594E"/>
    <w:rsid w:val="00B05CE4"/>
    <w:rsid w:val="00B05ED8"/>
    <w:rsid w:val="00B060A9"/>
    <w:rsid w:val="00B064FD"/>
    <w:rsid w:val="00B06659"/>
    <w:rsid w:val="00B066C0"/>
    <w:rsid w:val="00B068AD"/>
    <w:rsid w:val="00B06C92"/>
    <w:rsid w:val="00B06E7B"/>
    <w:rsid w:val="00B06FBB"/>
    <w:rsid w:val="00B0701B"/>
    <w:rsid w:val="00B07500"/>
    <w:rsid w:val="00B07727"/>
    <w:rsid w:val="00B07954"/>
    <w:rsid w:val="00B07B1B"/>
    <w:rsid w:val="00B07CFF"/>
    <w:rsid w:val="00B07D8E"/>
    <w:rsid w:val="00B07E91"/>
    <w:rsid w:val="00B07FEE"/>
    <w:rsid w:val="00B100C3"/>
    <w:rsid w:val="00B1014E"/>
    <w:rsid w:val="00B102DC"/>
    <w:rsid w:val="00B104DA"/>
    <w:rsid w:val="00B10618"/>
    <w:rsid w:val="00B10637"/>
    <w:rsid w:val="00B107F2"/>
    <w:rsid w:val="00B108E2"/>
    <w:rsid w:val="00B109F0"/>
    <w:rsid w:val="00B10C78"/>
    <w:rsid w:val="00B10D48"/>
    <w:rsid w:val="00B10D6F"/>
    <w:rsid w:val="00B11759"/>
    <w:rsid w:val="00B119E1"/>
    <w:rsid w:val="00B11AE2"/>
    <w:rsid w:val="00B11F08"/>
    <w:rsid w:val="00B12135"/>
    <w:rsid w:val="00B122CC"/>
    <w:rsid w:val="00B1233B"/>
    <w:rsid w:val="00B12353"/>
    <w:rsid w:val="00B12451"/>
    <w:rsid w:val="00B12482"/>
    <w:rsid w:val="00B12632"/>
    <w:rsid w:val="00B12657"/>
    <w:rsid w:val="00B127F8"/>
    <w:rsid w:val="00B12816"/>
    <w:rsid w:val="00B12913"/>
    <w:rsid w:val="00B12AA0"/>
    <w:rsid w:val="00B12ABF"/>
    <w:rsid w:val="00B12AF4"/>
    <w:rsid w:val="00B12ED1"/>
    <w:rsid w:val="00B12FA1"/>
    <w:rsid w:val="00B1302A"/>
    <w:rsid w:val="00B13069"/>
    <w:rsid w:val="00B13125"/>
    <w:rsid w:val="00B13300"/>
    <w:rsid w:val="00B13486"/>
    <w:rsid w:val="00B136E7"/>
    <w:rsid w:val="00B13D53"/>
    <w:rsid w:val="00B13DD6"/>
    <w:rsid w:val="00B140DB"/>
    <w:rsid w:val="00B1419F"/>
    <w:rsid w:val="00B141D5"/>
    <w:rsid w:val="00B1421B"/>
    <w:rsid w:val="00B14383"/>
    <w:rsid w:val="00B14497"/>
    <w:rsid w:val="00B144FB"/>
    <w:rsid w:val="00B14670"/>
    <w:rsid w:val="00B1477D"/>
    <w:rsid w:val="00B147A8"/>
    <w:rsid w:val="00B149A5"/>
    <w:rsid w:val="00B14C01"/>
    <w:rsid w:val="00B14F4E"/>
    <w:rsid w:val="00B14FFC"/>
    <w:rsid w:val="00B151F3"/>
    <w:rsid w:val="00B152DC"/>
    <w:rsid w:val="00B15463"/>
    <w:rsid w:val="00B15732"/>
    <w:rsid w:val="00B15803"/>
    <w:rsid w:val="00B158D8"/>
    <w:rsid w:val="00B15DFB"/>
    <w:rsid w:val="00B15EEA"/>
    <w:rsid w:val="00B15F59"/>
    <w:rsid w:val="00B16010"/>
    <w:rsid w:val="00B16023"/>
    <w:rsid w:val="00B160C9"/>
    <w:rsid w:val="00B16156"/>
    <w:rsid w:val="00B165ED"/>
    <w:rsid w:val="00B1661C"/>
    <w:rsid w:val="00B16675"/>
    <w:rsid w:val="00B168C0"/>
    <w:rsid w:val="00B16C2A"/>
    <w:rsid w:val="00B16C81"/>
    <w:rsid w:val="00B16D0B"/>
    <w:rsid w:val="00B16DA0"/>
    <w:rsid w:val="00B17047"/>
    <w:rsid w:val="00B1711E"/>
    <w:rsid w:val="00B1717B"/>
    <w:rsid w:val="00B17208"/>
    <w:rsid w:val="00B172ED"/>
    <w:rsid w:val="00B17437"/>
    <w:rsid w:val="00B174DA"/>
    <w:rsid w:val="00B17631"/>
    <w:rsid w:val="00B17758"/>
    <w:rsid w:val="00B1775E"/>
    <w:rsid w:val="00B17B92"/>
    <w:rsid w:val="00B17D08"/>
    <w:rsid w:val="00B17E28"/>
    <w:rsid w:val="00B20647"/>
    <w:rsid w:val="00B20976"/>
    <w:rsid w:val="00B209F9"/>
    <w:rsid w:val="00B20EC1"/>
    <w:rsid w:val="00B210CB"/>
    <w:rsid w:val="00B21590"/>
    <w:rsid w:val="00B215B6"/>
    <w:rsid w:val="00B217D4"/>
    <w:rsid w:val="00B2181B"/>
    <w:rsid w:val="00B218EE"/>
    <w:rsid w:val="00B21A81"/>
    <w:rsid w:val="00B21B27"/>
    <w:rsid w:val="00B2222F"/>
    <w:rsid w:val="00B22359"/>
    <w:rsid w:val="00B225AE"/>
    <w:rsid w:val="00B226E1"/>
    <w:rsid w:val="00B22A92"/>
    <w:rsid w:val="00B22E3F"/>
    <w:rsid w:val="00B23C1F"/>
    <w:rsid w:val="00B23DD3"/>
    <w:rsid w:val="00B23FA0"/>
    <w:rsid w:val="00B2418E"/>
    <w:rsid w:val="00B242BF"/>
    <w:rsid w:val="00B24594"/>
    <w:rsid w:val="00B248DE"/>
    <w:rsid w:val="00B24E23"/>
    <w:rsid w:val="00B25468"/>
    <w:rsid w:val="00B2549B"/>
    <w:rsid w:val="00B25C13"/>
    <w:rsid w:val="00B25C5F"/>
    <w:rsid w:val="00B25E16"/>
    <w:rsid w:val="00B25EFB"/>
    <w:rsid w:val="00B26842"/>
    <w:rsid w:val="00B2688A"/>
    <w:rsid w:val="00B26982"/>
    <w:rsid w:val="00B269A3"/>
    <w:rsid w:val="00B26C6F"/>
    <w:rsid w:val="00B26F5F"/>
    <w:rsid w:val="00B27272"/>
    <w:rsid w:val="00B27398"/>
    <w:rsid w:val="00B274F8"/>
    <w:rsid w:val="00B27608"/>
    <w:rsid w:val="00B27790"/>
    <w:rsid w:val="00B27D23"/>
    <w:rsid w:val="00B27D4A"/>
    <w:rsid w:val="00B300B5"/>
    <w:rsid w:val="00B3028C"/>
    <w:rsid w:val="00B302CA"/>
    <w:rsid w:val="00B302EC"/>
    <w:rsid w:val="00B303C3"/>
    <w:rsid w:val="00B304C1"/>
    <w:rsid w:val="00B3087D"/>
    <w:rsid w:val="00B30895"/>
    <w:rsid w:val="00B309C7"/>
    <w:rsid w:val="00B30AA0"/>
    <w:rsid w:val="00B30C9B"/>
    <w:rsid w:val="00B30EA5"/>
    <w:rsid w:val="00B30F0E"/>
    <w:rsid w:val="00B313EB"/>
    <w:rsid w:val="00B31475"/>
    <w:rsid w:val="00B314D9"/>
    <w:rsid w:val="00B31816"/>
    <w:rsid w:val="00B31DFC"/>
    <w:rsid w:val="00B31F22"/>
    <w:rsid w:val="00B32396"/>
    <w:rsid w:val="00B32397"/>
    <w:rsid w:val="00B32517"/>
    <w:rsid w:val="00B3255F"/>
    <w:rsid w:val="00B328F2"/>
    <w:rsid w:val="00B329B2"/>
    <w:rsid w:val="00B32DFB"/>
    <w:rsid w:val="00B32F27"/>
    <w:rsid w:val="00B3302E"/>
    <w:rsid w:val="00B3337A"/>
    <w:rsid w:val="00B334E4"/>
    <w:rsid w:val="00B336BB"/>
    <w:rsid w:val="00B3388F"/>
    <w:rsid w:val="00B3394A"/>
    <w:rsid w:val="00B33DA1"/>
    <w:rsid w:val="00B33FAF"/>
    <w:rsid w:val="00B3435F"/>
    <w:rsid w:val="00B34642"/>
    <w:rsid w:val="00B34690"/>
    <w:rsid w:val="00B34794"/>
    <w:rsid w:val="00B34881"/>
    <w:rsid w:val="00B348E1"/>
    <w:rsid w:val="00B348F5"/>
    <w:rsid w:val="00B34A61"/>
    <w:rsid w:val="00B34C0A"/>
    <w:rsid w:val="00B34C7F"/>
    <w:rsid w:val="00B34D20"/>
    <w:rsid w:val="00B3506B"/>
    <w:rsid w:val="00B350CE"/>
    <w:rsid w:val="00B352D9"/>
    <w:rsid w:val="00B35384"/>
    <w:rsid w:val="00B3541E"/>
    <w:rsid w:val="00B35906"/>
    <w:rsid w:val="00B35A31"/>
    <w:rsid w:val="00B35DCC"/>
    <w:rsid w:val="00B35DF8"/>
    <w:rsid w:val="00B361E1"/>
    <w:rsid w:val="00B3655D"/>
    <w:rsid w:val="00B365A3"/>
    <w:rsid w:val="00B367D3"/>
    <w:rsid w:val="00B36866"/>
    <w:rsid w:val="00B36BE7"/>
    <w:rsid w:val="00B36C0F"/>
    <w:rsid w:val="00B37038"/>
    <w:rsid w:val="00B37040"/>
    <w:rsid w:val="00B37103"/>
    <w:rsid w:val="00B3744B"/>
    <w:rsid w:val="00B378AA"/>
    <w:rsid w:val="00B37B93"/>
    <w:rsid w:val="00B37BA1"/>
    <w:rsid w:val="00B37BFC"/>
    <w:rsid w:val="00B37D4B"/>
    <w:rsid w:val="00B37D5B"/>
    <w:rsid w:val="00B37D73"/>
    <w:rsid w:val="00B37D78"/>
    <w:rsid w:val="00B4024D"/>
    <w:rsid w:val="00B402CA"/>
    <w:rsid w:val="00B402F3"/>
    <w:rsid w:val="00B40575"/>
    <w:rsid w:val="00B40859"/>
    <w:rsid w:val="00B40A52"/>
    <w:rsid w:val="00B40C26"/>
    <w:rsid w:val="00B40F3A"/>
    <w:rsid w:val="00B416C4"/>
    <w:rsid w:val="00B41BF1"/>
    <w:rsid w:val="00B41C71"/>
    <w:rsid w:val="00B41D33"/>
    <w:rsid w:val="00B41FA0"/>
    <w:rsid w:val="00B42177"/>
    <w:rsid w:val="00B4227B"/>
    <w:rsid w:val="00B4255F"/>
    <w:rsid w:val="00B425C1"/>
    <w:rsid w:val="00B425E6"/>
    <w:rsid w:val="00B4276C"/>
    <w:rsid w:val="00B42900"/>
    <w:rsid w:val="00B42CC1"/>
    <w:rsid w:val="00B42F57"/>
    <w:rsid w:val="00B43214"/>
    <w:rsid w:val="00B4321A"/>
    <w:rsid w:val="00B4335F"/>
    <w:rsid w:val="00B433B5"/>
    <w:rsid w:val="00B43443"/>
    <w:rsid w:val="00B4367A"/>
    <w:rsid w:val="00B43720"/>
    <w:rsid w:val="00B438B7"/>
    <w:rsid w:val="00B44056"/>
    <w:rsid w:val="00B4425E"/>
    <w:rsid w:val="00B444C7"/>
    <w:rsid w:val="00B4459E"/>
    <w:rsid w:val="00B4462D"/>
    <w:rsid w:val="00B44682"/>
    <w:rsid w:val="00B4470F"/>
    <w:rsid w:val="00B44749"/>
    <w:rsid w:val="00B44996"/>
    <w:rsid w:val="00B44ACC"/>
    <w:rsid w:val="00B44BE0"/>
    <w:rsid w:val="00B44DBF"/>
    <w:rsid w:val="00B44F10"/>
    <w:rsid w:val="00B4507A"/>
    <w:rsid w:val="00B4513E"/>
    <w:rsid w:val="00B45497"/>
    <w:rsid w:val="00B455F0"/>
    <w:rsid w:val="00B4568E"/>
    <w:rsid w:val="00B45759"/>
    <w:rsid w:val="00B45770"/>
    <w:rsid w:val="00B4577F"/>
    <w:rsid w:val="00B45874"/>
    <w:rsid w:val="00B458D3"/>
    <w:rsid w:val="00B45906"/>
    <w:rsid w:val="00B45D28"/>
    <w:rsid w:val="00B45FE8"/>
    <w:rsid w:val="00B4609E"/>
    <w:rsid w:val="00B46174"/>
    <w:rsid w:val="00B46253"/>
    <w:rsid w:val="00B463B3"/>
    <w:rsid w:val="00B46420"/>
    <w:rsid w:val="00B464D2"/>
    <w:rsid w:val="00B4651A"/>
    <w:rsid w:val="00B4654F"/>
    <w:rsid w:val="00B4683D"/>
    <w:rsid w:val="00B469ED"/>
    <w:rsid w:val="00B46D5E"/>
    <w:rsid w:val="00B46D7B"/>
    <w:rsid w:val="00B4735D"/>
    <w:rsid w:val="00B47603"/>
    <w:rsid w:val="00B47976"/>
    <w:rsid w:val="00B47996"/>
    <w:rsid w:val="00B479DD"/>
    <w:rsid w:val="00B47E34"/>
    <w:rsid w:val="00B47F4E"/>
    <w:rsid w:val="00B47FB9"/>
    <w:rsid w:val="00B500D5"/>
    <w:rsid w:val="00B5033C"/>
    <w:rsid w:val="00B5048B"/>
    <w:rsid w:val="00B50ADC"/>
    <w:rsid w:val="00B50BA7"/>
    <w:rsid w:val="00B50E48"/>
    <w:rsid w:val="00B51006"/>
    <w:rsid w:val="00B51020"/>
    <w:rsid w:val="00B510FB"/>
    <w:rsid w:val="00B51101"/>
    <w:rsid w:val="00B51133"/>
    <w:rsid w:val="00B5131D"/>
    <w:rsid w:val="00B514FA"/>
    <w:rsid w:val="00B515B3"/>
    <w:rsid w:val="00B515D9"/>
    <w:rsid w:val="00B516E9"/>
    <w:rsid w:val="00B5196D"/>
    <w:rsid w:val="00B51A39"/>
    <w:rsid w:val="00B51B63"/>
    <w:rsid w:val="00B51BBA"/>
    <w:rsid w:val="00B5200C"/>
    <w:rsid w:val="00B5215E"/>
    <w:rsid w:val="00B521ED"/>
    <w:rsid w:val="00B52215"/>
    <w:rsid w:val="00B5237E"/>
    <w:rsid w:val="00B52408"/>
    <w:rsid w:val="00B524B9"/>
    <w:rsid w:val="00B5257D"/>
    <w:rsid w:val="00B5258E"/>
    <w:rsid w:val="00B52733"/>
    <w:rsid w:val="00B52E77"/>
    <w:rsid w:val="00B53026"/>
    <w:rsid w:val="00B53042"/>
    <w:rsid w:val="00B53167"/>
    <w:rsid w:val="00B53325"/>
    <w:rsid w:val="00B5332E"/>
    <w:rsid w:val="00B5338E"/>
    <w:rsid w:val="00B53921"/>
    <w:rsid w:val="00B53A90"/>
    <w:rsid w:val="00B53C21"/>
    <w:rsid w:val="00B53D71"/>
    <w:rsid w:val="00B53ED5"/>
    <w:rsid w:val="00B53F32"/>
    <w:rsid w:val="00B53F9B"/>
    <w:rsid w:val="00B5400A"/>
    <w:rsid w:val="00B54242"/>
    <w:rsid w:val="00B54618"/>
    <w:rsid w:val="00B54681"/>
    <w:rsid w:val="00B5527F"/>
    <w:rsid w:val="00B553D4"/>
    <w:rsid w:val="00B55664"/>
    <w:rsid w:val="00B5584D"/>
    <w:rsid w:val="00B55886"/>
    <w:rsid w:val="00B558A9"/>
    <w:rsid w:val="00B55938"/>
    <w:rsid w:val="00B55DCB"/>
    <w:rsid w:val="00B55E50"/>
    <w:rsid w:val="00B55F7F"/>
    <w:rsid w:val="00B55FA6"/>
    <w:rsid w:val="00B56027"/>
    <w:rsid w:val="00B561BD"/>
    <w:rsid w:val="00B56206"/>
    <w:rsid w:val="00B5637A"/>
    <w:rsid w:val="00B56463"/>
    <w:rsid w:val="00B564BD"/>
    <w:rsid w:val="00B565FA"/>
    <w:rsid w:val="00B56E84"/>
    <w:rsid w:val="00B57061"/>
    <w:rsid w:val="00B57712"/>
    <w:rsid w:val="00B57739"/>
    <w:rsid w:val="00B577C6"/>
    <w:rsid w:val="00B577C7"/>
    <w:rsid w:val="00B577D3"/>
    <w:rsid w:val="00B57C0C"/>
    <w:rsid w:val="00B57E21"/>
    <w:rsid w:val="00B601D7"/>
    <w:rsid w:val="00B6035A"/>
    <w:rsid w:val="00B60421"/>
    <w:rsid w:val="00B605F3"/>
    <w:rsid w:val="00B607DE"/>
    <w:rsid w:val="00B6082A"/>
    <w:rsid w:val="00B60BEF"/>
    <w:rsid w:val="00B60D11"/>
    <w:rsid w:val="00B60D6A"/>
    <w:rsid w:val="00B610C3"/>
    <w:rsid w:val="00B610D8"/>
    <w:rsid w:val="00B61160"/>
    <w:rsid w:val="00B6140D"/>
    <w:rsid w:val="00B617F5"/>
    <w:rsid w:val="00B61894"/>
    <w:rsid w:val="00B61B3D"/>
    <w:rsid w:val="00B61DC0"/>
    <w:rsid w:val="00B61F60"/>
    <w:rsid w:val="00B62182"/>
    <w:rsid w:val="00B622A9"/>
    <w:rsid w:val="00B626A0"/>
    <w:rsid w:val="00B626AF"/>
    <w:rsid w:val="00B62707"/>
    <w:rsid w:val="00B62806"/>
    <w:rsid w:val="00B628B0"/>
    <w:rsid w:val="00B62971"/>
    <w:rsid w:val="00B62E3E"/>
    <w:rsid w:val="00B63042"/>
    <w:rsid w:val="00B63063"/>
    <w:rsid w:val="00B63246"/>
    <w:rsid w:val="00B63503"/>
    <w:rsid w:val="00B639E2"/>
    <w:rsid w:val="00B639E4"/>
    <w:rsid w:val="00B63EBE"/>
    <w:rsid w:val="00B63F05"/>
    <w:rsid w:val="00B63F4F"/>
    <w:rsid w:val="00B63FB1"/>
    <w:rsid w:val="00B640C2"/>
    <w:rsid w:val="00B64245"/>
    <w:rsid w:val="00B642CA"/>
    <w:rsid w:val="00B64489"/>
    <w:rsid w:val="00B64540"/>
    <w:rsid w:val="00B647A0"/>
    <w:rsid w:val="00B64D10"/>
    <w:rsid w:val="00B64D63"/>
    <w:rsid w:val="00B64DA8"/>
    <w:rsid w:val="00B64E3D"/>
    <w:rsid w:val="00B651B1"/>
    <w:rsid w:val="00B65351"/>
    <w:rsid w:val="00B65561"/>
    <w:rsid w:val="00B65620"/>
    <w:rsid w:val="00B658C3"/>
    <w:rsid w:val="00B6596E"/>
    <w:rsid w:val="00B65A65"/>
    <w:rsid w:val="00B65B39"/>
    <w:rsid w:val="00B65C17"/>
    <w:rsid w:val="00B65E25"/>
    <w:rsid w:val="00B65E47"/>
    <w:rsid w:val="00B65FCD"/>
    <w:rsid w:val="00B660D6"/>
    <w:rsid w:val="00B6652C"/>
    <w:rsid w:val="00B66583"/>
    <w:rsid w:val="00B66667"/>
    <w:rsid w:val="00B6680E"/>
    <w:rsid w:val="00B66C65"/>
    <w:rsid w:val="00B66CBA"/>
    <w:rsid w:val="00B6708E"/>
    <w:rsid w:val="00B671D3"/>
    <w:rsid w:val="00B674B7"/>
    <w:rsid w:val="00B67756"/>
    <w:rsid w:val="00B6775A"/>
    <w:rsid w:val="00B677BB"/>
    <w:rsid w:val="00B6781E"/>
    <w:rsid w:val="00B67C47"/>
    <w:rsid w:val="00B7024E"/>
    <w:rsid w:val="00B704CD"/>
    <w:rsid w:val="00B70599"/>
    <w:rsid w:val="00B705AF"/>
    <w:rsid w:val="00B706CE"/>
    <w:rsid w:val="00B706E5"/>
    <w:rsid w:val="00B70B69"/>
    <w:rsid w:val="00B71088"/>
    <w:rsid w:val="00B71136"/>
    <w:rsid w:val="00B712A1"/>
    <w:rsid w:val="00B71382"/>
    <w:rsid w:val="00B7140F"/>
    <w:rsid w:val="00B71653"/>
    <w:rsid w:val="00B7171B"/>
    <w:rsid w:val="00B718EC"/>
    <w:rsid w:val="00B71A86"/>
    <w:rsid w:val="00B71ACD"/>
    <w:rsid w:val="00B71C87"/>
    <w:rsid w:val="00B71CCD"/>
    <w:rsid w:val="00B71F6B"/>
    <w:rsid w:val="00B71F9D"/>
    <w:rsid w:val="00B72191"/>
    <w:rsid w:val="00B72BF6"/>
    <w:rsid w:val="00B72FE2"/>
    <w:rsid w:val="00B73094"/>
    <w:rsid w:val="00B73424"/>
    <w:rsid w:val="00B735BA"/>
    <w:rsid w:val="00B736C8"/>
    <w:rsid w:val="00B736DB"/>
    <w:rsid w:val="00B73782"/>
    <w:rsid w:val="00B73807"/>
    <w:rsid w:val="00B738EE"/>
    <w:rsid w:val="00B73C3B"/>
    <w:rsid w:val="00B74257"/>
    <w:rsid w:val="00B7468D"/>
    <w:rsid w:val="00B746BB"/>
    <w:rsid w:val="00B747E2"/>
    <w:rsid w:val="00B7490A"/>
    <w:rsid w:val="00B74A27"/>
    <w:rsid w:val="00B74A40"/>
    <w:rsid w:val="00B74CFD"/>
    <w:rsid w:val="00B751C4"/>
    <w:rsid w:val="00B7522C"/>
    <w:rsid w:val="00B752D1"/>
    <w:rsid w:val="00B75463"/>
    <w:rsid w:val="00B756A1"/>
    <w:rsid w:val="00B758A3"/>
    <w:rsid w:val="00B75900"/>
    <w:rsid w:val="00B7599A"/>
    <w:rsid w:val="00B75C44"/>
    <w:rsid w:val="00B75DED"/>
    <w:rsid w:val="00B761CA"/>
    <w:rsid w:val="00B76291"/>
    <w:rsid w:val="00B76669"/>
    <w:rsid w:val="00B7681B"/>
    <w:rsid w:val="00B769AC"/>
    <w:rsid w:val="00B76A1D"/>
    <w:rsid w:val="00B76ADE"/>
    <w:rsid w:val="00B771E3"/>
    <w:rsid w:val="00B772A0"/>
    <w:rsid w:val="00B7743E"/>
    <w:rsid w:val="00B774CD"/>
    <w:rsid w:val="00B77539"/>
    <w:rsid w:val="00B77549"/>
    <w:rsid w:val="00B77714"/>
    <w:rsid w:val="00B779D4"/>
    <w:rsid w:val="00B77E2E"/>
    <w:rsid w:val="00B80398"/>
    <w:rsid w:val="00B803FF"/>
    <w:rsid w:val="00B8072B"/>
    <w:rsid w:val="00B80A90"/>
    <w:rsid w:val="00B80D3B"/>
    <w:rsid w:val="00B80F30"/>
    <w:rsid w:val="00B81002"/>
    <w:rsid w:val="00B8136C"/>
    <w:rsid w:val="00B8139F"/>
    <w:rsid w:val="00B813AE"/>
    <w:rsid w:val="00B814EB"/>
    <w:rsid w:val="00B81720"/>
    <w:rsid w:val="00B81B24"/>
    <w:rsid w:val="00B81C99"/>
    <w:rsid w:val="00B81DB2"/>
    <w:rsid w:val="00B81EB6"/>
    <w:rsid w:val="00B81F48"/>
    <w:rsid w:val="00B82333"/>
    <w:rsid w:val="00B824D9"/>
    <w:rsid w:val="00B82501"/>
    <w:rsid w:val="00B825B8"/>
    <w:rsid w:val="00B82715"/>
    <w:rsid w:val="00B82B3D"/>
    <w:rsid w:val="00B82CC2"/>
    <w:rsid w:val="00B82E57"/>
    <w:rsid w:val="00B83092"/>
    <w:rsid w:val="00B83218"/>
    <w:rsid w:val="00B833E4"/>
    <w:rsid w:val="00B8348E"/>
    <w:rsid w:val="00B835EE"/>
    <w:rsid w:val="00B8372C"/>
    <w:rsid w:val="00B83773"/>
    <w:rsid w:val="00B83AD3"/>
    <w:rsid w:val="00B83BF0"/>
    <w:rsid w:val="00B83C2D"/>
    <w:rsid w:val="00B83D6C"/>
    <w:rsid w:val="00B83ED1"/>
    <w:rsid w:val="00B83FB7"/>
    <w:rsid w:val="00B84019"/>
    <w:rsid w:val="00B84047"/>
    <w:rsid w:val="00B8431A"/>
    <w:rsid w:val="00B84496"/>
    <w:rsid w:val="00B845DD"/>
    <w:rsid w:val="00B8475C"/>
    <w:rsid w:val="00B8476C"/>
    <w:rsid w:val="00B8482E"/>
    <w:rsid w:val="00B84893"/>
    <w:rsid w:val="00B84B0D"/>
    <w:rsid w:val="00B84B69"/>
    <w:rsid w:val="00B84BA2"/>
    <w:rsid w:val="00B84BCB"/>
    <w:rsid w:val="00B84CD9"/>
    <w:rsid w:val="00B84EC1"/>
    <w:rsid w:val="00B84F31"/>
    <w:rsid w:val="00B852F2"/>
    <w:rsid w:val="00B8540A"/>
    <w:rsid w:val="00B85458"/>
    <w:rsid w:val="00B85749"/>
    <w:rsid w:val="00B857F3"/>
    <w:rsid w:val="00B85986"/>
    <w:rsid w:val="00B85B15"/>
    <w:rsid w:val="00B85BE3"/>
    <w:rsid w:val="00B85C9D"/>
    <w:rsid w:val="00B85D0E"/>
    <w:rsid w:val="00B85F19"/>
    <w:rsid w:val="00B8603C"/>
    <w:rsid w:val="00B863A1"/>
    <w:rsid w:val="00B863EA"/>
    <w:rsid w:val="00B864ED"/>
    <w:rsid w:val="00B868AF"/>
    <w:rsid w:val="00B869CA"/>
    <w:rsid w:val="00B86B1C"/>
    <w:rsid w:val="00B86B84"/>
    <w:rsid w:val="00B86BC9"/>
    <w:rsid w:val="00B86DC5"/>
    <w:rsid w:val="00B870C9"/>
    <w:rsid w:val="00B87170"/>
    <w:rsid w:val="00B8762D"/>
    <w:rsid w:val="00B876A1"/>
    <w:rsid w:val="00B877E5"/>
    <w:rsid w:val="00B879AB"/>
    <w:rsid w:val="00B879EF"/>
    <w:rsid w:val="00B87D0D"/>
    <w:rsid w:val="00B9002F"/>
    <w:rsid w:val="00B90061"/>
    <w:rsid w:val="00B9019D"/>
    <w:rsid w:val="00B903E8"/>
    <w:rsid w:val="00B90415"/>
    <w:rsid w:val="00B90432"/>
    <w:rsid w:val="00B9078C"/>
    <w:rsid w:val="00B9099D"/>
    <w:rsid w:val="00B90A58"/>
    <w:rsid w:val="00B90C65"/>
    <w:rsid w:val="00B90D40"/>
    <w:rsid w:val="00B90F10"/>
    <w:rsid w:val="00B9104A"/>
    <w:rsid w:val="00B910C2"/>
    <w:rsid w:val="00B910E2"/>
    <w:rsid w:val="00B9146F"/>
    <w:rsid w:val="00B9154A"/>
    <w:rsid w:val="00B915AA"/>
    <w:rsid w:val="00B916BC"/>
    <w:rsid w:val="00B91734"/>
    <w:rsid w:val="00B917A9"/>
    <w:rsid w:val="00B919AB"/>
    <w:rsid w:val="00B91A3D"/>
    <w:rsid w:val="00B91FCD"/>
    <w:rsid w:val="00B9204B"/>
    <w:rsid w:val="00B92221"/>
    <w:rsid w:val="00B92232"/>
    <w:rsid w:val="00B92249"/>
    <w:rsid w:val="00B922F9"/>
    <w:rsid w:val="00B92449"/>
    <w:rsid w:val="00B924E6"/>
    <w:rsid w:val="00B92553"/>
    <w:rsid w:val="00B9265C"/>
    <w:rsid w:val="00B927D4"/>
    <w:rsid w:val="00B927FD"/>
    <w:rsid w:val="00B928D6"/>
    <w:rsid w:val="00B92AD6"/>
    <w:rsid w:val="00B92C9C"/>
    <w:rsid w:val="00B92D2D"/>
    <w:rsid w:val="00B93393"/>
    <w:rsid w:val="00B93544"/>
    <w:rsid w:val="00B93613"/>
    <w:rsid w:val="00B9372A"/>
    <w:rsid w:val="00B9378D"/>
    <w:rsid w:val="00B93940"/>
    <w:rsid w:val="00B93B74"/>
    <w:rsid w:val="00B93CDD"/>
    <w:rsid w:val="00B93E09"/>
    <w:rsid w:val="00B9408A"/>
    <w:rsid w:val="00B94277"/>
    <w:rsid w:val="00B94335"/>
    <w:rsid w:val="00B9439D"/>
    <w:rsid w:val="00B9449E"/>
    <w:rsid w:val="00B944FA"/>
    <w:rsid w:val="00B9453B"/>
    <w:rsid w:val="00B9466E"/>
    <w:rsid w:val="00B94869"/>
    <w:rsid w:val="00B94F4F"/>
    <w:rsid w:val="00B950D2"/>
    <w:rsid w:val="00B951F8"/>
    <w:rsid w:val="00B953FF"/>
    <w:rsid w:val="00B9566C"/>
    <w:rsid w:val="00B9577F"/>
    <w:rsid w:val="00B9579D"/>
    <w:rsid w:val="00B95AEC"/>
    <w:rsid w:val="00B9617A"/>
    <w:rsid w:val="00B96289"/>
    <w:rsid w:val="00B966C9"/>
    <w:rsid w:val="00B96708"/>
    <w:rsid w:val="00B96791"/>
    <w:rsid w:val="00B96A50"/>
    <w:rsid w:val="00B96A98"/>
    <w:rsid w:val="00B96C6D"/>
    <w:rsid w:val="00B96CCD"/>
    <w:rsid w:val="00B96F62"/>
    <w:rsid w:val="00B9706F"/>
    <w:rsid w:val="00B97073"/>
    <w:rsid w:val="00B97328"/>
    <w:rsid w:val="00B9757F"/>
    <w:rsid w:val="00B975CB"/>
    <w:rsid w:val="00B977A8"/>
    <w:rsid w:val="00B979DC"/>
    <w:rsid w:val="00B97B10"/>
    <w:rsid w:val="00B97FCB"/>
    <w:rsid w:val="00BA0017"/>
    <w:rsid w:val="00BA026D"/>
    <w:rsid w:val="00BA03AF"/>
    <w:rsid w:val="00BA0525"/>
    <w:rsid w:val="00BA057D"/>
    <w:rsid w:val="00BA0B6C"/>
    <w:rsid w:val="00BA1311"/>
    <w:rsid w:val="00BA131C"/>
    <w:rsid w:val="00BA13DC"/>
    <w:rsid w:val="00BA16FB"/>
    <w:rsid w:val="00BA18D8"/>
    <w:rsid w:val="00BA19BD"/>
    <w:rsid w:val="00BA1AB7"/>
    <w:rsid w:val="00BA1B7D"/>
    <w:rsid w:val="00BA1DDA"/>
    <w:rsid w:val="00BA1E45"/>
    <w:rsid w:val="00BA1FFA"/>
    <w:rsid w:val="00BA25F0"/>
    <w:rsid w:val="00BA2724"/>
    <w:rsid w:val="00BA2820"/>
    <w:rsid w:val="00BA2B13"/>
    <w:rsid w:val="00BA2BDD"/>
    <w:rsid w:val="00BA3094"/>
    <w:rsid w:val="00BA3095"/>
    <w:rsid w:val="00BA3228"/>
    <w:rsid w:val="00BA33CF"/>
    <w:rsid w:val="00BA34E9"/>
    <w:rsid w:val="00BA3855"/>
    <w:rsid w:val="00BA38CA"/>
    <w:rsid w:val="00BA3A3E"/>
    <w:rsid w:val="00BA3A7E"/>
    <w:rsid w:val="00BA3A95"/>
    <w:rsid w:val="00BA3AA5"/>
    <w:rsid w:val="00BA3B83"/>
    <w:rsid w:val="00BA3BDC"/>
    <w:rsid w:val="00BA3D2A"/>
    <w:rsid w:val="00BA3DE6"/>
    <w:rsid w:val="00BA3F04"/>
    <w:rsid w:val="00BA40FD"/>
    <w:rsid w:val="00BA413C"/>
    <w:rsid w:val="00BA441A"/>
    <w:rsid w:val="00BA441E"/>
    <w:rsid w:val="00BA4528"/>
    <w:rsid w:val="00BA4535"/>
    <w:rsid w:val="00BA4AB2"/>
    <w:rsid w:val="00BA4B3D"/>
    <w:rsid w:val="00BA4D61"/>
    <w:rsid w:val="00BA4D67"/>
    <w:rsid w:val="00BA51B1"/>
    <w:rsid w:val="00BA5234"/>
    <w:rsid w:val="00BA58E1"/>
    <w:rsid w:val="00BA5D5C"/>
    <w:rsid w:val="00BA5FEA"/>
    <w:rsid w:val="00BA619B"/>
    <w:rsid w:val="00BA646E"/>
    <w:rsid w:val="00BA64DB"/>
    <w:rsid w:val="00BA654B"/>
    <w:rsid w:val="00BA65B5"/>
    <w:rsid w:val="00BA6610"/>
    <w:rsid w:val="00BA686B"/>
    <w:rsid w:val="00BA6A9F"/>
    <w:rsid w:val="00BA6B20"/>
    <w:rsid w:val="00BA6D0D"/>
    <w:rsid w:val="00BA6D7E"/>
    <w:rsid w:val="00BA6E0A"/>
    <w:rsid w:val="00BA71D5"/>
    <w:rsid w:val="00BA7229"/>
    <w:rsid w:val="00BA79E4"/>
    <w:rsid w:val="00BA7C91"/>
    <w:rsid w:val="00BA7DE5"/>
    <w:rsid w:val="00BA7F2C"/>
    <w:rsid w:val="00BA7F7E"/>
    <w:rsid w:val="00BB0243"/>
    <w:rsid w:val="00BB032E"/>
    <w:rsid w:val="00BB0918"/>
    <w:rsid w:val="00BB0C6D"/>
    <w:rsid w:val="00BB0D25"/>
    <w:rsid w:val="00BB0D66"/>
    <w:rsid w:val="00BB0D94"/>
    <w:rsid w:val="00BB0E8E"/>
    <w:rsid w:val="00BB0FF3"/>
    <w:rsid w:val="00BB10DA"/>
    <w:rsid w:val="00BB14AA"/>
    <w:rsid w:val="00BB1527"/>
    <w:rsid w:val="00BB1757"/>
    <w:rsid w:val="00BB1D4B"/>
    <w:rsid w:val="00BB1E88"/>
    <w:rsid w:val="00BB1ECB"/>
    <w:rsid w:val="00BB1F59"/>
    <w:rsid w:val="00BB2048"/>
    <w:rsid w:val="00BB21C5"/>
    <w:rsid w:val="00BB25DF"/>
    <w:rsid w:val="00BB26F7"/>
    <w:rsid w:val="00BB27E3"/>
    <w:rsid w:val="00BB2A8E"/>
    <w:rsid w:val="00BB2CB3"/>
    <w:rsid w:val="00BB3155"/>
    <w:rsid w:val="00BB337B"/>
    <w:rsid w:val="00BB3609"/>
    <w:rsid w:val="00BB3CD8"/>
    <w:rsid w:val="00BB3E48"/>
    <w:rsid w:val="00BB3F97"/>
    <w:rsid w:val="00BB4150"/>
    <w:rsid w:val="00BB41C3"/>
    <w:rsid w:val="00BB4354"/>
    <w:rsid w:val="00BB43CC"/>
    <w:rsid w:val="00BB4614"/>
    <w:rsid w:val="00BB46D7"/>
    <w:rsid w:val="00BB4852"/>
    <w:rsid w:val="00BB4B91"/>
    <w:rsid w:val="00BB4BAC"/>
    <w:rsid w:val="00BB4D34"/>
    <w:rsid w:val="00BB4F7B"/>
    <w:rsid w:val="00BB504F"/>
    <w:rsid w:val="00BB549C"/>
    <w:rsid w:val="00BB5647"/>
    <w:rsid w:val="00BB594D"/>
    <w:rsid w:val="00BB5FF2"/>
    <w:rsid w:val="00BB6183"/>
    <w:rsid w:val="00BB626A"/>
    <w:rsid w:val="00BB62AD"/>
    <w:rsid w:val="00BB66C7"/>
    <w:rsid w:val="00BB67FE"/>
    <w:rsid w:val="00BB6890"/>
    <w:rsid w:val="00BB699E"/>
    <w:rsid w:val="00BB6C6C"/>
    <w:rsid w:val="00BB6D0C"/>
    <w:rsid w:val="00BB6EE3"/>
    <w:rsid w:val="00BB7031"/>
    <w:rsid w:val="00BB7108"/>
    <w:rsid w:val="00BB71C4"/>
    <w:rsid w:val="00BB7220"/>
    <w:rsid w:val="00BB74CD"/>
    <w:rsid w:val="00BB7572"/>
    <w:rsid w:val="00BB7590"/>
    <w:rsid w:val="00BB76C8"/>
    <w:rsid w:val="00BB7708"/>
    <w:rsid w:val="00BB7858"/>
    <w:rsid w:val="00BB7ABC"/>
    <w:rsid w:val="00BB7BF3"/>
    <w:rsid w:val="00BB7E16"/>
    <w:rsid w:val="00BB7EA4"/>
    <w:rsid w:val="00BB7EAC"/>
    <w:rsid w:val="00BC0263"/>
    <w:rsid w:val="00BC03E0"/>
    <w:rsid w:val="00BC047A"/>
    <w:rsid w:val="00BC0751"/>
    <w:rsid w:val="00BC08CA"/>
    <w:rsid w:val="00BC0C9B"/>
    <w:rsid w:val="00BC0D78"/>
    <w:rsid w:val="00BC1465"/>
    <w:rsid w:val="00BC195A"/>
    <w:rsid w:val="00BC1AFC"/>
    <w:rsid w:val="00BC1CBF"/>
    <w:rsid w:val="00BC1DD7"/>
    <w:rsid w:val="00BC1EDC"/>
    <w:rsid w:val="00BC1F75"/>
    <w:rsid w:val="00BC1FDA"/>
    <w:rsid w:val="00BC20DF"/>
    <w:rsid w:val="00BC2334"/>
    <w:rsid w:val="00BC23CC"/>
    <w:rsid w:val="00BC2560"/>
    <w:rsid w:val="00BC26EB"/>
    <w:rsid w:val="00BC27CA"/>
    <w:rsid w:val="00BC2905"/>
    <w:rsid w:val="00BC2A83"/>
    <w:rsid w:val="00BC2CFA"/>
    <w:rsid w:val="00BC2E53"/>
    <w:rsid w:val="00BC3278"/>
    <w:rsid w:val="00BC3279"/>
    <w:rsid w:val="00BC336A"/>
    <w:rsid w:val="00BC3420"/>
    <w:rsid w:val="00BC35D2"/>
    <w:rsid w:val="00BC3739"/>
    <w:rsid w:val="00BC37D4"/>
    <w:rsid w:val="00BC37EA"/>
    <w:rsid w:val="00BC3AF5"/>
    <w:rsid w:val="00BC3D4F"/>
    <w:rsid w:val="00BC3D50"/>
    <w:rsid w:val="00BC3FF3"/>
    <w:rsid w:val="00BC457F"/>
    <w:rsid w:val="00BC4AC9"/>
    <w:rsid w:val="00BC4B1E"/>
    <w:rsid w:val="00BC4C15"/>
    <w:rsid w:val="00BC4C99"/>
    <w:rsid w:val="00BC4CA3"/>
    <w:rsid w:val="00BC4D4E"/>
    <w:rsid w:val="00BC4F00"/>
    <w:rsid w:val="00BC4F5C"/>
    <w:rsid w:val="00BC51BE"/>
    <w:rsid w:val="00BC51FC"/>
    <w:rsid w:val="00BC52C0"/>
    <w:rsid w:val="00BC560A"/>
    <w:rsid w:val="00BC5698"/>
    <w:rsid w:val="00BC58D3"/>
    <w:rsid w:val="00BC5995"/>
    <w:rsid w:val="00BC5AEB"/>
    <w:rsid w:val="00BC5D18"/>
    <w:rsid w:val="00BC5F82"/>
    <w:rsid w:val="00BC6051"/>
    <w:rsid w:val="00BC63ED"/>
    <w:rsid w:val="00BC64FC"/>
    <w:rsid w:val="00BC6508"/>
    <w:rsid w:val="00BC6519"/>
    <w:rsid w:val="00BC69A4"/>
    <w:rsid w:val="00BC6B30"/>
    <w:rsid w:val="00BC6C6C"/>
    <w:rsid w:val="00BC6D50"/>
    <w:rsid w:val="00BC72A1"/>
    <w:rsid w:val="00BC755D"/>
    <w:rsid w:val="00BC7A64"/>
    <w:rsid w:val="00BC7E9C"/>
    <w:rsid w:val="00BC7F0C"/>
    <w:rsid w:val="00BD00CF"/>
    <w:rsid w:val="00BD020D"/>
    <w:rsid w:val="00BD05AD"/>
    <w:rsid w:val="00BD08B2"/>
    <w:rsid w:val="00BD09AB"/>
    <w:rsid w:val="00BD0B01"/>
    <w:rsid w:val="00BD0D19"/>
    <w:rsid w:val="00BD0D37"/>
    <w:rsid w:val="00BD0D3E"/>
    <w:rsid w:val="00BD0E79"/>
    <w:rsid w:val="00BD120F"/>
    <w:rsid w:val="00BD12FC"/>
    <w:rsid w:val="00BD1588"/>
    <w:rsid w:val="00BD16B5"/>
    <w:rsid w:val="00BD179D"/>
    <w:rsid w:val="00BD1CF0"/>
    <w:rsid w:val="00BD1DE8"/>
    <w:rsid w:val="00BD2009"/>
    <w:rsid w:val="00BD2271"/>
    <w:rsid w:val="00BD24E5"/>
    <w:rsid w:val="00BD2678"/>
    <w:rsid w:val="00BD2743"/>
    <w:rsid w:val="00BD284E"/>
    <w:rsid w:val="00BD298A"/>
    <w:rsid w:val="00BD2F68"/>
    <w:rsid w:val="00BD2FDA"/>
    <w:rsid w:val="00BD3618"/>
    <w:rsid w:val="00BD3769"/>
    <w:rsid w:val="00BD391A"/>
    <w:rsid w:val="00BD3B5C"/>
    <w:rsid w:val="00BD42AE"/>
    <w:rsid w:val="00BD43A7"/>
    <w:rsid w:val="00BD4436"/>
    <w:rsid w:val="00BD44ED"/>
    <w:rsid w:val="00BD44F9"/>
    <w:rsid w:val="00BD457A"/>
    <w:rsid w:val="00BD45CF"/>
    <w:rsid w:val="00BD474F"/>
    <w:rsid w:val="00BD4E88"/>
    <w:rsid w:val="00BD500C"/>
    <w:rsid w:val="00BD509C"/>
    <w:rsid w:val="00BD512D"/>
    <w:rsid w:val="00BD5203"/>
    <w:rsid w:val="00BD52CB"/>
    <w:rsid w:val="00BD547E"/>
    <w:rsid w:val="00BD5F4D"/>
    <w:rsid w:val="00BD62B6"/>
    <w:rsid w:val="00BD63CE"/>
    <w:rsid w:val="00BD6576"/>
    <w:rsid w:val="00BD67C0"/>
    <w:rsid w:val="00BD684C"/>
    <w:rsid w:val="00BD68C0"/>
    <w:rsid w:val="00BD6FBA"/>
    <w:rsid w:val="00BD70B0"/>
    <w:rsid w:val="00BD775C"/>
    <w:rsid w:val="00BD77B9"/>
    <w:rsid w:val="00BD788B"/>
    <w:rsid w:val="00BD79EB"/>
    <w:rsid w:val="00BD7CAA"/>
    <w:rsid w:val="00BD7EDD"/>
    <w:rsid w:val="00BD7F48"/>
    <w:rsid w:val="00BD7F5A"/>
    <w:rsid w:val="00BE00E1"/>
    <w:rsid w:val="00BE03AC"/>
    <w:rsid w:val="00BE0D29"/>
    <w:rsid w:val="00BE0D72"/>
    <w:rsid w:val="00BE0DD8"/>
    <w:rsid w:val="00BE0E1F"/>
    <w:rsid w:val="00BE1194"/>
    <w:rsid w:val="00BE1296"/>
    <w:rsid w:val="00BE16D6"/>
    <w:rsid w:val="00BE1708"/>
    <w:rsid w:val="00BE1E43"/>
    <w:rsid w:val="00BE1EF2"/>
    <w:rsid w:val="00BE20E2"/>
    <w:rsid w:val="00BE2316"/>
    <w:rsid w:val="00BE23EE"/>
    <w:rsid w:val="00BE24BE"/>
    <w:rsid w:val="00BE2723"/>
    <w:rsid w:val="00BE2B8E"/>
    <w:rsid w:val="00BE2C6A"/>
    <w:rsid w:val="00BE2D2F"/>
    <w:rsid w:val="00BE2E28"/>
    <w:rsid w:val="00BE3258"/>
    <w:rsid w:val="00BE3360"/>
    <w:rsid w:val="00BE373C"/>
    <w:rsid w:val="00BE3755"/>
    <w:rsid w:val="00BE3934"/>
    <w:rsid w:val="00BE3B8C"/>
    <w:rsid w:val="00BE3CF2"/>
    <w:rsid w:val="00BE3EB6"/>
    <w:rsid w:val="00BE4257"/>
    <w:rsid w:val="00BE43DA"/>
    <w:rsid w:val="00BE482C"/>
    <w:rsid w:val="00BE4973"/>
    <w:rsid w:val="00BE4974"/>
    <w:rsid w:val="00BE4ABB"/>
    <w:rsid w:val="00BE4B34"/>
    <w:rsid w:val="00BE4B79"/>
    <w:rsid w:val="00BE4C03"/>
    <w:rsid w:val="00BE4DE7"/>
    <w:rsid w:val="00BE507A"/>
    <w:rsid w:val="00BE5913"/>
    <w:rsid w:val="00BE603E"/>
    <w:rsid w:val="00BE604B"/>
    <w:rsid w:val="00BE60B1"/>
    <w:rsid w:val="00BE61DB"/>
    <w:rsid w:val="00BE620D"/>
    <w:rsid w:val="00BE640A"/>
    <w:rsid w:val="00BE68FC"/>
    <w:rsid w:val="00BE693E"/>
    <w:rsid w:val="00BE6B73"/>
    <w:rsid w:val="00BE6E51"/>
    <w:rsid w:val="00BE6EA9"/>
    <w:rsid w:val="00BE6F20"/>
    <w:rsid w:val="00BE6F9E"/>
    <w:rsid w:val="00BE70A5"/>
    <w:rsid w:val="00BE726B"/>
    <w:rsid w:val="00BE72F7"/>
    <w:rsid w:val="00BE771C"/>
    <w:rsid w:val="00BE7C7D"/>
    <w:rsid w:val="00BE7D10"/>
    <w:rsid w:val="00BE7E89"/>
    <w:rsid w:val="00BF065A"/>
    <w:rsid w:val="00BF0884"/>
    <w:rsid w:val="00BF0962"/>
    <w:rsid w:val="00BF09DB"/>
    <w:rsid w:val="00BF0A30"/>
    <w:rsid w:val="00BF0F1B"/>
    <w:rsid w:val="00BF11CD"/>
    <w:rsid w:val="00BF134A"/>
    <w:rsid w:val="00BF1398"/>
    <w:rsid w:val="00BF142C"/>
    <w:rsid w:val="00BF16AD"/>
    <w:rsid w:val="00BF1A50"/>
    <w:rsid w:val="00BF1AA1"/>
    <w:rsid w:val="00BF1B8F"/>
    <w:rsid w:val="00BF1C96"/>
    <w:rsid w:val="00BF1CC0"/>
    <w:rsid w:val="00BF1E56"/>
    <w:rsid w:val="00BF210A"/>
    <w:rsid w:val="00BF23D6"/>
    <w:rsid w:val="00BF24ED"/>
    <w:rsid w:val="00BF2835"/>
    <w:rsid w:val="00BF2892"/>
    <w:rsid w:val="00BF293D"/>
    <w:rsid w:val="00BF29E2"/>
    <w:rsid w:val="00BF2B39"/>
    <w:rsid w:val="00BF2C01"/>
    <w:rsid w:val="00BF3150"/>
    <w:rsid w:val="00BF33F8"/>
    <w:rsid w:val="00BF3819"/>
    <w:rsid w:val="00BF392C"/>
    <w:rsid w:val="00BF3DF4"/>
    <w:rsid w:val="00BF3FBA"/>
    <w:rsid w:val="00BF400F"/>
    <w:rsid w:val="00BF40BA"/>
    <w:rsid w:val="00BF42C4"/>
    <w:rsid w:val="00BF4427"/>
    <w:rsid w:val="00BF480B"/>
    <w:rsid w:val="00BF4890"/>
    <w:rsid w:val="00BF49B4"/>
    <w:rsid w:val="00BF4A8A"/>
    <w:rsid w:val="00BF4ACB"/>
    <w:rsid w:val="00BF4B03"/>
    <w:rsid w:val="00BF4DB8"/>
    <w:rsid w:val="00BF4E60"/>
    <w:rsid w:val="00BF523D"/>
    <w:rsid w:val="00BF5551"/>
    <w:rsid w:val="00BF5687"/>
    <w:rsid w:val="00BF5AB4"/>
    <w:rsid w:val="00BF5B0E"/>
    <w:rsid w:val="00BF5CFE"/>
    <w:rsid w:val="00BF5DFA"/>
    <w:rsid w:val="00BF5F28"/>
    <w:rsid w:val="00BF5FD0"/>
    <w:rsid w:val="00BF6256"/>
    <w:rsid w:val="00BF64A0"/>
    <w:rsid w:val="00BF680E"/>
    <w:rsid w:val="00BF685D"/>
    <w:rsid w:val="00BF6BF9"/>
    <w:rsid w:val="00BF6F92"/>
    <w:rsid w:val="00BF7029"/>
    <w:rsid w:val="00BF71E2"/>
    <w:rsid w:val="00BF71F3"/>
    <w:rsid w:val="00BF72BD"/>
    <w:rsid w:val="00BF7345"/>
    <w:rsid w:val="00BF73FF"/>
    <w:rsid w:val="00BF7A04"/>
    <w:rsid w:val="00BF7CD3"/>
    <w:rsid w:val="00BF7E88"/>
    <w:rsid w:val="00BF7ED8"/>
    <w:rsid w:val="00C0037A"/>
    <w:rsid w:val="00C00449"/>
    <w:rsid w:val="00C004DE"/>
    <w:rsid w:val="00C00576"/>
    <w:rsid w:val="00C005A3"/>
    <w:rsid w:val="00C0087F"/>
    <w:rsid w:val="00C00DF7"/>
    <w:rsid w:val="00C013CF"/>
    <w:rsid w:val="00C0162D"/>
    <w:rsid w:val="00C01A4A"/>
    <w:rsid w:val="00C01A9D"/>
    <w:rsid w:val="00C01DB4"/>
    <w:rsid w:val="00C02133"/>
    <w:rsid w:val="00C0216D"/>
    <w:rsid w:val="00C021C6"/>
    <w:rsid w:val="00C02240"/>
    <w:rsid w:val="00C022D7"/>
    <w:rsid w:val="00C022E7"/>
    <w:rsid w:val="00C025CE"/>
    <w:rsid w:val="00C02A2B"/>
    <w:rsid w:val="00C02B87"/>
    <w:rsid w:val="00C03236"/>
    <w:rsid w:val="00C033EA"/>
    <w:rsid w:val="00C0363E"/>
    <w:rsid w:val="00C036C8"/>
    <w:rsid w:val="00C038ED"/>
    <w:rsid w:val="00C039A2"/>
    <w:rsid w:val="00C03A14"/>
    <w:rsid w:val="00C03A8D"/>
    <w:rsid w:val="00C03C91"/>
    <w:rsid w:val="00C0442A"/>
    <w:rsid w:val="00C044FB"/>
    <w:rsid w:val="00C045F9"/>
    <w:rsid w:val="00C04976"/>
    <w:rsid w:val="00C04A7C"/>
    <w:rsid w:val="00C04B94"/>
    <w:rsid w:val="00C04BA7"/>
    <w:rsid w:val="00C04DE0"/>
    <w:rsid w:val="00C04F15"/>
    <w:rsid w:val="00C0500E"/>
    <w:rsid w:val="00C0553C"/>
    <w:rsid w:val="00C05581"/>
    <w:rsid w:val="00C05595"/>
    <w:rsid w:val="00C056FC"/>
    <w:rsid w:val="00C05781"/>
    <w:rsid w:val="00C05F6E"/>
    <w:rsid w:val="00C05F73"/>
    <w:rsid w:val="00C06093"/>
    <w:rsid w:val="00C060FF"/>
    <w:rsid w:val="00C0637B"/>
    <w:rsid w:val="00C068BE"/>
    <w:rsid w:val="00C06B3E"/>
    <w:rsid w:val="00C06E4A"/>
    <w:rsid w:val="00C070A2"/>
    <w:rsid w:val="00C071E8"/>
    <w:rsid w:val="00C07846"/>
    <w:rsid w:val="00C078E1"/>
    <w:rsid w:val="00C07A9A"/>
    <w:rsid w:val="00C07B70"/>
    <w:rsid w:val="00C07BF2"/>
    <w:rsid w:val="00C07C9D"/>
    <w:rsid w:val="00C07EEE"/>
    <w:rsid w:val="00C10150"/>
    <w:rsid w:val="00C101B9"/>
    <w:rsid w:val="00C101DC"/>
    <w:rsid w:val="00C102B3"/>
    <w:rsid w:val="00C1071B"/>
    <w:rsid w:val="00C10876"/>
    <w:rsid w:val="00C10A41"/>
    <w:rsid w:val="00C10A5B"/>
    <w:rsid w:val="00C10A64"/>
    <w:rsid w:val="00C10B5F"/>
    <w:rsid w:val="00C10C3B"/>
    <w:rsid w:val="00C10C57"/>
    <w:rsid w:val="00C10C5D"/>
    <w:rsid w:val="00C10D63"/>
    <w:rsid w:val="00C10F9D"/>
    <w:rsid w:val="00C10FC9"/>
    <w:rsid w:val="00C110B6"/>
    <w:rsid w:val="00C1117B"/>
    <w:rsid w:val="00C1137F"/>
    <w:rsid w:val="00C114C0"/>
    <w:rsid w:val="00C11708"/>
    <w:rsid w:val="00C11771"/>
    <w:rsid w:val="00C119A8"/>
    <w:rsid w:val="00C11B43"/>
    <w:rsid w:val="00C12033"/>
    <w:rsid w:val="00C1230A"/>
    <w:rsid w:val="00C1248B"/>
    <w:rsid w:val="00C12782"/>
    <w:rsid w:val="00C128CF"/>
    <w:rsid w:val="00C12D67"/>
    <w:rsid w:val="00C12FAF"/>
    <w:rsid w:val="00C135AE"/>
    <w:rsid w:val="00C13986"/>
    <w:rsid w:val="00C13AF0"/>
    <w:rsid w:val="00C13B94"/>
    <w:rsid w:val="00C13CA6"/>
    <w:rsid w:val="00C13F65"/>
    <w:rsid w:val="00C13FD9"/>
    <w:rsid w:val="00C14019"/>
    <w:rsid w:val="00C14084"/>
    <w:rsid w:val="00C14204"/>
    <w:rsid w:val="00C14476"/>
    <w:rsid w:val="00C14561"/>
    <w:rsid w:val="00C146CB"/>
    <w:rsid w:val="00C147AA"/>
    <w:rsid w:val="00C1487B"/>
    <w:rsid w:val="00C14D35"/>
    <w:rsid w:val="00C14D8A"/>
    <w:rsid w:val="00C14E13"/>
    <w:rsid w:val="00C14ED9"/>
    <w:rsid w:val="00C15151"/>
    <w:rsid w:val="00C15303"/>
    <w:rsid w:val="00C1543E"/>
    <w:rsid w:val="00C1559E"/>
    <w:rsid w:val="00C15657"/>
    <w:rsid w:val="00C156CF"/>
    <w:rsid w:val="00C15700"/>
    <w:rsid w:val="00C15EA3"/>
    <w:rsid w:val="00C15F7C"/>
    <w:rsid w:val="00C15F9E"/>
    <w:rsid w:val="00C1607D"/>
    <w:rsid w:val="00C160E1"/>
    <w:rsid w:val="00C1668F"/>
    <w:rsid w:val="00C1687D"/>
    <w:rsid w:val="00C16AC5"/>
    <w:rsid w:val="00C16CE6"/>
    <w:rsid w:val="00C16EA7"/>
    <w:rsid w:val="00C16ECA"/>
    <w:rsid w:val="00C16EDA"/>
    <w:rsid w:val="00C1719C"/>
    <w:rsid w:val="00C171BD"/>
    <w:rsid w:val="00C171D3"/>
    <w:rsid w:val="00C17268"/>
    <w:rsid w:val="00C1730F"/>
    <w:rsid w:val="00C1760C"/>
    <w:rsid w:val="00C17A3E"/>
    <w:rsid w:val="00C20139"/>
    <w:rsid w:val="00C202D0"/>
    <w:rsid w:val="00C2084A"/>
    <w:rsid w:val="00C20B44"/>
    <w:rsid w:val="00C20C88"/>
    <w:rsid w:val="00C20E87"/>
    <w:rsid w:val="00C210D9"/>
    <w:rsid w:val="00C21107"/>
    <w:rsid w:val="00C2119E"/>
    <w:rsid w:val="00C211E7"/>
    <w:rsid w:val="00C21751"/>
    <w:rsid w:val="00C2178D"/>
    <w:rsid w:val="00C2190E"/>
    <w:rsid w:val="00C21973"/>
    <w:rsid w:val="00C21B9D"/>
    <w:rsid w:val="00C21B9F"/>
    <w:rsid w:val="00C21CEB"/>
    <w:rsid w:val="00C21FCB"/>
    <w:rsid w:val="00C21FD2"/>
    <w:rsid w:val="00C221B2"/>
    <w:rsid w:val="00C221DD"/>
    <w:rsid w:val="00C221E0"/>
    <w:rsid w:val="00C222C3"/>
    <w:rsid w:val="00C224BE"/>
    <w:rsid w:val="00C225B6"/>
    <w:rsid w:val="00C2279F"/>
    <w:rsid w:val="00C2287E"/>
    <w:rsid w:val="00C228A8"/>
    <w:rsid w:val="00C22AC0"/>
    <w:rsid w:val="00C22C4A"/>
    <w:rsid w:val="00C22D82"/>
    <w:rsid w:val="00C22EA0"/>
    <w:rsid w:val="00C22FE3"/>
    <w:rsid w:val="00C2368B"/>
    <w:rsid w:val="00C236E1"/>
    <w:rsid w:val="00C23887"/>
    <w:rsid w:val="00C239F8"/>
    <w:rsid w:val="00C23AD3"/>
    <w:rsid w:val="00C23B17"/>
    <w:rsid w:val="00C23C76"/>
    <w:rsid w:val="00C244D6"/>
    <w:rsid w:val="00C24599"/>
    <w:rsid w:val="00C245D1"/>
    <w:rsid w:val="00C245FA"/>
    <w:rsid w:val="00C24660"/>
    <w:rsid w:val="00C24726"/>
    <w:rsid w:val="00C24916"/>
    <w:rsid w:val="00C24E9E"/>
    <w:rsid w:val="00C25030"/>
    <w:rsid w:val="00C25317"/>
    <w:rsid w:val="00C254F1"/>
    <w:rsid w:val="00C255BA"/>
    <w:rsid w:val="00C257E8"/>
    <w:rsid w:val="00C258A8"/>
    <w:rsid w:val="00C2594D"/>
    <w:rsid w:val="00C25A74"/>
    <w:rsid w:val="00C25A91"/>
    <w:rsid w:val="00C25B27"/>
    <w:rsid w:val="00C25C4E"/>
    <w:rsid w:val="00C25E4B"/>
    <w:rsid w:val="00C25F8F"/>
    <w:rsid w:val="00C2616C"/>
    <w:rsid w:val="00C26269"/>
    <w:rsid w:val="00C2641E"/>
    <w:rsid w:val="00C26530"/>
    <w:rsid w:val="00C26553"/>
    <w:rsid w:val="00C26648"/>
    <w:rsid w:val="00C266ED"/>
    <w:rsid w:val="00C2677C"/>
    <w:rsid w:val="00C26943"/>
    <w:rsid w:val="00C26CD7"/>
    <w:rsid w:val="00C26D31"/>
    <w:rsid w:val="00C26D4A"/>
    <w:rsid w:val="00C27080"/>
    <w:rsid w:val="00C2733C"/>
    <w:rsid w:val="00C274AC"/>
    <w:rsid w:val="00C278B5"/>
    <w:rsid w:val="00C27932"/>
    <w:rsid w:val="00C27963"/>
    <w:rsid w:val="00C27B11"/>
    <w:rsid w:val="00C27BDE"/>
    <w:rsid w:val="00C27C68"/>
    <w:rsid w:val="00C27DAA"/>
    <w:rsid w:val="00C27EBA"/>
    <w:rsid w:val="00C27FE4"/>
    <w:rsid w:val="00C30051"/>
    <w:rsid w:val="00C3008D"/>
    <w:rsid w:val="00C30823"/>
    <w:rsid w:val="00C308B8"/>
    <w:rsid w:val="00C30BC9"/>
    <w:rsid w:val="00C30C40"/>
    <w:rsid w:val="00C30D30"/>
    <w:rsid w:val="00C30FDD"/>
    <w:rsid w:val="00C31060"/>
    <w:rsid w:val="00C3108E"/>
    <w:rsid w:val="00C31186"/>
    <w:rsid w:val="00C3133D"/>
    <w:rsid w:val="00C31361"/>
    <w:rsid w:val="00C313EC"/>
    <w:rsid w:val="00C31616"/>
    <w:rsid w:val="00C319FB"/>
    <w:rsid w:val="00C31AA4"/>
    <w:rsid w:val="00C31AFA"/>
    <w:rsid w:val="00C31B76"/>
    <w:rsid w:val="00C31C5E"/>
    <w:rsid w:val="00C3207D"/>
    <w:rsid w:val="00C3253C"/>
    <w:rsid w:val="00C32572"/>
    <w:rsid w:val="00C32636"/>
    <w:rsid w:val="00C32743"/>
    <w:rsid w:val="00C3288B"/>
    <w:rsid w:val="00C328F7"/>
    <w:rsid w:val="00C329CB"/>
    <w:rsid w:val="00C329CC"/>
    <w:rsid w:val="00C329F8"/>
    <w:rsid w:val="00C32AFE"/>
    <w:rsid w:val="00C32FF0"/>
    <w:rsid w:val="00C3304B"/>
    <w:rsid w:val="00C33621"/>
    <w:rsid w:val="00C33705"/>
    <w:rsid w:val="00C33C68"/>
    <w:rsid w:val="00C33CC8"/>
    <w:rsid w:val="00C33E20"/>
    <w:rsid w:val="00C33F08"/>
    <w:rsid w:val="00C33F7D"/>
    <w:rsid w:val="00C343A1"/>
    <w:rsid w:val="00C34701"/>
    <w:rsid w:val="00C347D6"/>
    <w:rsid w:val="00C348FB"/>
    <w:rsid w:val="00C34C01"/>
    <w:rsid w:val="00C34C93"/>
    <w:rsid w:val="00C34FA0"/>
    <w:rsid w:val="00C35056"/>
    <w:rsid w:val="00C351D0"/>
    <w:rsid w:val="00C3543F"/>
    <w:rsid w:val="00C3560B"/>
    <w:rsid w:val="00C357EE"/>
    <w:rsid w:val="00C358E7"/>
    <w:rsid w:val="00C35A54"/>
    <w:rsid w:val="00C35DE2"/>
    <w:rsid w:val="00C35FC0"/>
    <w:rsid w:val="00C3627E"/>
    <w:rsid w:val="00C362E3"/>
    <w:rsid w:val="00C36455"/>
    <w:rsid w:val="00C3660C"/>
    <w:rsid w:val="00C36842"/>
    <w:rsid w:val="00C3688C"/>
    <w:rsid w:val="00C36C88"/>
    <w:rsid w:val="00C36E65"/>
    <w:rsid w:val="00C36F88"/>
    <w:rsid w:val="00C371DD"/>
    <w:rsid w:val="00C37217"/>
    <w:rsid w:val="00C3721F"/>
    <w:rsid w:val="00C37657"/>
    <w:rsid w:val="00C37A61"/>
    <w:rsid w:val="00C37A7E"/>
    <w:rsid w:val="00C37BC2"/>
    <w:rsid w:val="00C40184"/>
    <w:rsid w:val="00C40551"/>
    <w:rsid w:val="00C4065F"/>
    <w:rsid w:val="00C40721"/>
    <w:rsid w:val="00C40844"/>
    <w:rsid w:val="00C40B01"/>
    <w:rsid w:val="00C40E1C"/>
    <w:rsid w:val="00C40F83"/>
    <w:rsid w:val="00C41439"/>
    <w:rsid w:val="00C41526"/>
    <w:rsid w:val="00C41678"/>
    <w:rsid w:val="00C4175E"/>
    <w:rsid w:val="00C4197E"/>
    <w:rsid w:val="00C419B3"/>
    <w:rsid w:val="00C41B36"/>
    <w:rsid w:val="00C41DC1"/>
    <w:rsid w:val="00C41E4A"/>
    <w:rsid w:val="00C4236B"/>
    <w:rsid w:val="00C42488"/>
    <w:rsid w:val="00C42501"/>
    <w:rsid w:val="00C4254F"/>
    <w:rsid w:val="00C42691"/>
    <w:rsid w:val="00C428A2"/>
    <w:rsid w:val="00C429B1"/>
    <w:rsid w:val="00C42A85"/>
    <w:rsid w:val="00C42AB7"/>
    <w:rsid w:val="00C42D12"/>
    <w:rsid w:val="00C42DC4"/>
    <w:rsid w:val="00C42E56"/>
    <w:rsid w:val="00C42E73"/>
    <w:rsid w:val="00C42F4E"/>
    <w:rsid w:val="00C43059"/>
    <w:rsid w:val="00C430E2"/>
    <w:rsid w:val="00C43211"/>
    <w:rsid w:val="00C43425"/>
    <w:rsid w:val="00C43504"/>
    <w:rsid w:val="00C43A2C"/>
    <w:rsid w:val="00C43D6A"/>
    <w:rsid w:val="00C43E7E"/>
    <w:rsid w:val="00C43F10"/>
    <w:rsid w:val="00C44190"/>
    <w:rsid w:val="00C442C5"/>
    <w:rsid w:val="00C44440"/>
    <w:rsid w:val="00C44C1A"/>
    <w:rsid w:val="00C44DE8"/>
    <w:rsid w:val="00C44DF0"/>
    <w:rsid w:val="00C44EDD"/>
    <w:rsid w:val="00C452AB"/>
    <w:rsid w:val="00C453E1"/>
    <w:rsid w:val="00C4556E"/>
    <w:rsid w:val="00C45582"/>
    <w:rsid w:val="00C45654"/>
    <w:rsid w:val="00C45896"/>
    <w:rsid w:val="00C45A5D"/>
    <w:rsid w:val="00C45DEB"/>
    <w:rsid w:val="00C45FDE"/>
    <w:rsid w:val="00C462B0"/>
    <w:rsid w:val="00C46756"/>
    <w:rsid w:val="00C467F1"/>
    <w:rsid w:val="00C469CC"/>
    <w:rsid w:val="00C46A66"/>
    <w:rsid w:val="00C46BF3"/>
    <w:rsid w:val="00C46C1A"/>
    <w:rsid w:val="00C46CAF"/>
    <w:rsid w:val="00C46E1D"/>
    <w:rsid w:val="00C46E5F"/>
    <w:rsid w:val="00C47066"/>
    <w:rsid w:val="00C47135"/>
    <w:rsid w:val="00C471DD"/>
    <w:rsid w:val="00C479BA"/>
    <w:rsid w:val="00C47CAC"/>
    <w:rsid w:val="00C47E63"/>
    <w:rsid w:val="00C47EBC"/>
    <w:rsid w:val="00C47FD2"/>
    <w:rsid w:val="00C50156"/>
    <w:rsid w:val="00C5043B"/>
    <w:rsid w:val="00C506FB"/>
    <w:rsid w:val="00C509AB"/>
    <w:rsid w:val="00C50A8B"/>
    <w:rsid w:val="00C50B40"/>
    <w:rsid w:val="00C50CB6"/>
    <w:rsid w:val="00C50CF6"/>
    <w:rsid w:val="00C50E7A"/>
    <w:rsid w:val="00C512CB"/>
    <w:rsid w:val="00C51425"/>
    <w:rsid w:val="00C5143C"/>
    <w:rsid w:val="00C51450"/>
    <w:rsid w:val="00C51481"/>
    <w:rsid w:val="00C51592"/>
    <w:rsid w:val="00C515D8"/>
    <w:rsid w:val="00C517F9"/>
    <w:rsid w:val="00C518D6"/>
    <w:rsid w:val="00C51A18"/>
    <w:rsid w:val="00C51BEA"/>
    <w:rsid w:val="00C51CD0"/>
    <w:rsid w:val="00C51EE5"/>
    <w:rsid w:val="00C5217D"/>
    <w:rsid w:val="00C5218E"/>
    <w:rsid w:val="00C52437"/>
    <w:rsid w:val="00C52603"/>
    <w:rsid w:val="00C52A0B"/>
    <w:rsid w:val="00C52A25"/>
    <w:rsid w:val="00C52D3B"/>
    <w:rsid w:val="00C52D5E"/>
    <w:rsid w:val="00C52F81"/>
    <w:rsid w:val="00C52FC6"/>
    <w:rsid w:val="00C53310"/>
    <w:rsid w:val="00C53334"/>
    <w:rsid w:val="00C53678"/>
    <w:rsid w:val="00C53781"/>
    <w:rsid w:val="00C537F5"/>
    <w:rsid w:val="00C53C40"/>
    <w:rsid w:val="00C53CDF"/>
    <w:rsid w:val="00C53DE7"/>
    <w:rsid w:val="00C5418F"/>
    <w:rsid w:val="00C54363"/>
    <w:rsid w:val="00C544A0"/>
    <w:rsid w:val="00C544FA"/>
    <w:rsid w:val="00C5452E"/>
    <w:rsid w:val="00C54B7E"/>
    <w:rsid w:val="00C54EEB"/>
    <w:rsid w:val="00C54F44"/>
    <w:rsid w:val="00C54FCA"/>
    <w:rsid w:val="00C55083"/>
    <w:rsid w:val="00C55566"/>
    <w:rsid w:val="00C555D1"/>
    <w:rsid w:val="00C557A7"/>
    <w:rsid w:val="00C55CCA"/>
    <w:rsid w:val="00C55F47"/>
    <w:rsid w:val="00C55F5D"/>
    <w:rsid w:val="00C56030"/>
    <w:rsid w:val="00C56477"/>
    <w:rsid w:val="00C56754"/>
    <w:rsid w:val="00C56756"/>
    <w:rsid w:val="00C568CF"/>
    <w:rsid w:val="00C569F6"/>
    <w:rsid w:val="00C56D1B"/>
    <w:rsid w:val="00C56F84"/>
    <w:rsid w:val="00C57218"/>
    <w:rsid w:val="00C572FB"/>
    <w:rsid w:val="00C57590"/>
    <w:rsid w:val="00C575CD"/>
    <w:rsid w:val="00C5760F"/>
    <w:rsid w:val="00C576E5"/>
    <w:rsid w:val="00C579D2"/>
    <w:rsid w:val="00C57B5C"/>
    <w:rsid w:val="00C57CE4"/>
    <w:rsid w:val="00C57D5E"/>
    <w:rsid w:val="00C57E4B"/>
    <w:rsid w:val="00C57F15"/>
    <w:rsid w:val="00C57F76"/>
    <w:rsid w:val="00C6048B"/>
    <w:rsid w:val="00C6065F"/>
    <w:rsid w:val="00C607C6"/>
    <w:rsid w:val="00C60BCC"/>
    <w:rsid w:val="00C60C3A"/>
    <w:rsid w:val="00C60E16"/>
    <w:rsid w:val="00C60F7C"/>
    <w:rsid w:val="00C6101C"/>
    <w:rsid w:val="00C611CF"/>
    <w:rsid w:val="00C618A7"/>
    <w:rsid w:val="00C6192A"/>
    <w:rsid w:val="00C61C7B"/>
    <w:rsid w:val="00C61E47"/>
    <w:rsid w:val="00C61E5C"/>
    <w:rsid w:val="00C61F22"/>
    <w:rsid w:val="00C62028"/>
    <w:rsid w:val="00C62135"/>
    <w:rsid w:val="00C62303"/>
    <w:rsid w:val="00C623CC"/>
    <w:rsid w:val="00C62719"/>
    <w:rsid w:val="00C62860"/>
    <w:rsid w:val="00C629B3"/>
    <w:rsid w:val="00C62BED"/>
    <w:rsid w:val="00C62D4C"/>
    <w:rsid w:val="00C62DD9"/>
    <w:rsid w:val="00C62DF7"/>
    <w:rsid w:val="00C62E64"/>
    <w:rsid w:val="00C62EC5"/>
    <w:rsid w:val="00C62FCA"/>
    <w:rsid w:val="00C63073"/>
    <w:rsid w:val="00C637D8"/>
    <w:rsid w:val="00C63CFD"/>
    <w:rsid w:val="00C63D33"/>
    <w:rsid w:val="00C641CC"/>
    <w:rsid w:val="00C649B0"/>
    <w:rsid w:val="00C64BCB"/>
    <w:rsid w:val="00C64C6C"/>
    <w:rsid w:val="00C64FA1"/>
    <w:rsid w:val="00C65251"/>
    <w:rsid w:val="00C6533D"/>
    <w:rsid w:val="00C65387"/>
    <w:rsid w:val="00C65535"/>
    <w:rsid w:val="00C6555F"/>
    <w:rsid w:val="00C6569B"/>
    <w:rsid w:val="00C657AB"/>
    <w:rsid w:val="00C65977"/>
    <w:rsid w:val="00C65A07"/>
    <w:rsid w:val="00C65C20"/>
    <w:rsid w:val="00C65D28"/>
    <w:rsid w:val="00C65DAB"/>
    <w:rsid w:val="00C66076"/>
    <w:rsid w:val="00C6618E"/>
    <w:rsid w:val="00C66266"/>
    <w:rsid w:val="00C6639F"/>
    <w:rsid w:val="00C664C3"/>
    <w:rsid w:val="00C66526"/>
    <w:rsid w:val="00C6662B"/>
    <w:rsid w:val="00C666AC"/>
    <w:rsid w:val="00C6677C"/>
    <w:rsid w:val="00C6692F"/>
    <w:rsid w:val="00C669E9"/>
    <w:rsid w:val="00C66A5E"/>
    <w:rsid w:val="00C66AA8"/>
    <w:rsid w:val="00C66AF9"/>
    <w:rsid w:val="00C66D1F"/>
    <w:rsid w:val="00C66DEB"/>
    <w:rsid w:val="00C66FB0"/>
    <w:rsid w:val="00C670CE"/>
    <w:rsid w:val="00C6715A"/>
    <w:rsid w:val="00C67334"/>
    <w:rsid w:val="00C675C6"/>
    <w:rsid w:val="00C676CA"/>
    <w:rsid w:val="00C676F6"/>
    <w:rsid w:val="00C677BE"/>
    <w:rsid w:val="00C67AD4"/>
    <w:rsid w:val="00C67EAA"/>
    <w:rsid w:val="00C67F8C"/>
    <w:rsid w:val="00C67FCD"/>
    <w:rsid w:val="00C700F1"/>
    <w:rsid w:val="00C701C1"/>
    <w:rsid w:val="00C7023F"/>
    <w:rsid w:val="00C70268"/>
    <w:rsid w:val="00C7042D"/>
    <w:rsid w:val="00C7070A"/>
    <w:rsid w:val="00C70A12"/>
    <w:rsid w:val="00C70A35"/>
    <w:rsid w:val="00C70D96"/>
    <w:rsid w:val="00C7100A"/>
    <w:rsid w:val="00C711C3"/>
    <w:rsid w:val="00C713F2"/>
    <w:rsid w:val="00C714D0"/>
    <w:rsid w:val="00C714E8"/>
    <w:rsid w:val="00C71583"/>
    <w:rsid w:val="00C71919"/>
    <w:rsid w:val="00C71C64"/>
    <w:rsid w:val="00C71CDE"/>
    <w:rsid w:val="00C71E87"/>
    <w:rsid w:val="00C71EC4"/>
    <w:rsid w:val="00C72157"/>
    <w:rsid w:val="00C724D8"/>
    <w:rsid w:val="00C726C1"/>
    <w:rsid w:val="00C72B0B"/>
    <w:rsid w:val="00C72F5B"/>
    <w:rsid w:val="00C730E4"/>
    <w:rsid w:val="00C73136"/>
    <w:rsid w:val="00C731DF"/>
    <w:rsid w:val="00C733E9"/>
    <w:rsid w:val="00C7354F"/>
    <w:rsid w:val="00C73589"/>
    <w:rsid w:val="00C73604"/>
    <w:rsid w:val="00C73642"/>
    <w:rsid w:val="00C738E5"/>
    <w:rsid w:val="00C73985"/>
    <w:rsid w:val="00C73A55"/>
    <w:rsid w:val="00C73A86"/>
    <w:rsid w:val="00C73C9C"/>
    <w:rsid w:val="00C73F13"/>
    <w:rsid w:val="00C741E2"/>
    <w:rsid w:val="00C7438B"/>
    <w:rsid w:val="00C74476"/>
    <w:rsid w:val="00C7459D"/>
    <w:rsid w:val="00C74751"/>
    <w:rsid w:val="00C7487E"/>
    <w:rsid w:val="00C74A7F"/>
    <w:rsid w:val="00C74BC2"/>
    <w:rsid w:val="00C74E11"/>
    <w:rsid w:val="00C74E18"/>
    <w:rsid w:val="00C74FE3"/>
    <w:rsid w:val="00C7515F"/>
    <w:rsid w:val="00C75629"/>
    <w:rsid w:val="00C757AC"/>
    <w:rsid w:val="00C75879"/>
    <w:rsid w:val="00C75CDF"/>
    <w:rsid w:val="00C75DF9"/>
    <w:rsid w:val="00C75F75"/>
    <w:rsid w:val="00C76010"/>
    <w:rsid w:val="00C76186"/>
    <w:rsid w:val="00C7674B"/>
    <w:rsid w:val="00C768A2"/>
    <w:rsid w:val="00C76A0D"/>
    <w:rsid w:val="00C76E95"/>
    <w:rsid w:val="00C76F5A"/>
    <w:rsid w:val="00C77222"/>
    <w:rsid w:val="00C774B4"/>
    <w:rsid w:val="00C774CD"/>
    <w:rsid w:val="00C77762"/>
    <w:rsid w:val="00C77A85"/>
    <w:rsid w:val="00C77C57"/>
    <w:rsid w:val="00C80041"/>
    <w:rsid w:val="00C80115"/>
    <w:rsid w:val="00C80286"/>
    <w:rsid w:val="00C80418"/>
    <w:rsid w:val="00C80491"/>
    <w:rsid w:val="00C80515"/>
    <w:rsid w:val="00C80598"/>
    <w:rsid w:val="00C806E6"/>
    <w:rsid w:val="00C80914"/>
    <w:rsid w:val="00C80954"/>
    <w:rsid w:val="00C80BB3"/>
    <w:rsid w:val="00C8100A"/>
    <w:rsid w:val="00C810A0"/>
    <w:rsid w:val="00C811BE"/>
    <w:rsid w:val="00C81280"/>
    <w:rsid w:val="00C81321"/>
    <w:rsid w:val="00C81B9D"/>
    <w:rsid w:val="00C81E59"/>
    <w:rsid w:val="00C822B6"/>
    <w:rsid w:val="00C8274D"/>
    <w:rsid w:val="00C82846"/>
    <w:rsid w:val="00C82BAD"/>
    <w:rsid w:val="00C82D09"/>
    <w:rsid w:val="00C82DDF"/>
    <w:rsid w:val="00C82FF6"/>
    <w:rsid w:val="00C8315C"/>
    <w:rsid w:val="00C831D9"/>
    <w:rsid w:val="00C83379"/>
    <w:rsid w:val="00C83710"/>
    <w:rsid w:val="00C8383A"/>
    <w:rsid w:val="00C83A8B"/>
    <w:rsid w:val="00C83FA8"/>
    <w:rsid w:val="00C84124"/>
    <w:rsid w:val="00C84346"/>
    <w:rsid w:val="00C84445"/>
    <w:rsid w:val="00C84620"/>
    <w:rsid w:val="00C84A64"/>
    <w:rsid w:val="00C84B13"/>
    <w:rsid w:val="00C84B8D"/>
    <w:rsid w:val="00C84BF9"/>
    <w:rsid w:val="00C84C90"/>
    <w:rsid w:val="00C84D16"/>
    <w:rsid w:val="00C84D3D"/>
    <w:rsid w:val="00C84D49"/>
    <w:rsid w:val="00C850F7"/>
    <w:rsid w:val="00C85703"/>
    <w:rsid w:val="00C8599C"/>
    <w:rsid w:val="00C85AF4"/>
    <w:rsid w:val="00C85BBC"/>
    <w:rsid w:val="00C85C65"/>
    <w:rsid w:val="00C85CC7"/>
    <w:rsid w:val="00C85D16"/>
    <w:rsid w:val="00C85FEF"/>
    <w:rsid w:val="00C8604A"/>
    <w:rsid w:val="00C861F6"/>
    <w:rsid w:val="00C86499"/>
    <w:rsid w:val="00C8664F"/>
    <w:rsid w:val="00C8667B"/>
    <w:rsid w:val="00C8681B"/>
    <w:rsid w:val="00C86847"/>
    <w:rsid w:val="00C868B4"/>
    <w:rsid w:val="00C86DB8"/>
    <w:rsid w:val="00C86E5A"/>
    <w:rsid w:val="00C870E4"/>
    <w:rsid w:val="00C871EF"/>
    <w:rsid w:val="00C8760F"/>
    <w:rsid w:val="00C87859"/>
    <w:rsid w:val="00C878D5"/>
    <w:rsid w:val="00C878F9"/>
    <w:rsid w:val="00C87C35"/>
    <w:rsid w:val="00C87D47"/>
    <w:rsid w:val="00C87E03"/>
    <w:rsid w:val="00C902C8"/>
    <w:rsid w:val="00C9033B"/>
    <w:rsid w:val="00C90894"/>
    <w:rsid w:val="00C90A66"/>
    <w:rsid w:val="00C90D91"/>
    <w:rsid w:val="00C90DAB"/>
    <w:rsid w:val="00C90DB1"/>
    <w:rsid w:val="00C91144"/>
    <w:rsid w:val="00C911CA"/>
    <w:rsid w:val="00C911D0"/>
    <w:rsid w:val="00C91296"/>
    <w:rsid w:val="00C912AB"/>
    <w:rsid w:val="00C913A1"/>
    <w:rsid w:val="00C91410"/>
    <w:rsid w:val="00C915F3"/>
    <w:rsid w:val="00C91731"/>
    <w:rsid w:val="00C917AF"/>
    <w:rsid w:val="00C91846"/>
    <w:rsid w:val="00C91FEC"/>
    <w:rsid w:val="00C92202"/>
    <w:rsid w:val="00C92428"/>
    <w:rsid w:val="00C925F4"/>
    <w:rsid w:val="00C92668"/>
    <w:rsid w:val="00C927D1"/>
    <w:rsid w:val="00C92884"/>
    <w:rsid w:val="00C92947"/>
    <w:rsid w:val="00C92C44"/>
    <w:rsid w:val="00C92CAF"/>
    <w:rsid w:val="00C92ED2"/>
    <w:rsid w:val="00C930E5"/>
    <w:rsid w:val="00C930FA"/>
    <w:rsid w:val="00C931DE"/>
    <w:rsid w:val="00C935F0"/>
    <w:rsid w:val="00C93760"/>
    <w:rsid w:val="00C93916"/>
    <w:rsid w:val="00C93A8B"/>
    <w:rsid w:val="00C93F60"/>
    <w:rsid w:val="00C94069"/>
    <w:rsid w:val="00C944BD"/>
    <w:rsid w:val="00C944C5"/>
    <w:rsid w:val="00C94581"/>
    <w:rsid w:val="00C94801"/>
    <w:rsid w:val="00C94960"/>
    <w:rsid w:val="00C95234"/>
    <w:rsid w:val="00C958F1"/>
    <w:rsid w:val="00C9590B"/>
    <w:rsid w:val="00C95945"/>
    <w:rsid w:val="00C959E1"/>
    <w:rsid w:val="00C95A21"/>
    <w:rsid w:val="00C95E91"/>
    <w:rsid w:val="00C95F37"/>
    <w:rsid w:val="00C96058"/>
    <w:rsid w:val="00C96119"/>
    <w:rsid w:val="00C96590"/>
    <w:rsid w:val="00C965D2"/>
    <w:rsid w:val="00C96663"/>
    <w:rsid w:val="00C96696"/>
    <w:rsid w:val="00C968A7"/>
    <w:rsid w:val="00C969C9"/>
    <w:rsid w:val="00C96A31"/>
    <w:rsid w:val="00C96A8D"/>
    <w:rsid w:val="00C96B0F"/>
    <w:rsid w:val="00C96BD7"/>
    <w:rsid w:val="00C96ED1"/>
    <w:rsid w:val="00C96F3A"/>
    <w:rsid w:val="00C97022"/>
    <w:rsid w:val="00C97114"/>
    <w:rsid w:val="00C972EF"/>
    <w:rsid w:val="00C97321"/>
    <w:rsid w:val="00C97549"/>
    <w:rsid w:val="00C97773"/>
    <w:rsid w:val="00C97A07"/>
    <w:rsid w:val="00C97AB8"/>
    <w:rsid w:val="00C97ACF"/>
    <w:rsid w:val="00CA005F"/>
    <w:rsid w:val="00CA00D4"/>
    <w:rsid w:val="00CA046F"/>
    <w:rsid w:val="00CA0493"/>
    <w:rsid w:val="00CA0636"/>
    <w:rsid w:val="00CA0671"/>
    <w:rsid w:val="00CA0A7D"/>
    <w:rsid w:val="00CA0AB9"/>
    <w:rsid w:val="00CA0CFE"/>
    <w:rsid w:val="00CA10EF"/>
    <w:rsid w:val="00CA14A0"/>
    <w:rsid w:val="00CA1860"/>
    <w:rsid w:val="00CA18A4"/>
    <w:rsid w:val="00CA1B70"/>
    <w:rsid w:val="00CA1D28"/>
    <w:rsid w:val="00CA1ECD"/>
    <w:rsid w:val="00CA21FA"/>
    <w:rsid w:val="00CA23AE"/>
    <w:rsid w:val="00CA23E3"/>
    <w:rsid w:val="00CA27B6"/>
    <w:rsid w:val="00CA27FB"/>
    <w:rsid w:val="00CA2A98"/>
    <w:rsid w:val="00CA2CE0"/>
    <w:rsid w:val="00CA2DD0"/>
    <w:rsid w:val="00CA2E31"/>
    <w:rsid w:val="00CA311A"/>
    <w:rsid w:val="00CA351A"/>
    <w:rsid w:val="00CA361D"/>
    <w:rsid w:val="00CA362E"/>
    <w:rsid w:val="00CA38C4"/>
    <w:rsid w:val="00CA3E14"/>
    <w:rsid w:val="00CA3F56"/>
    <w:rsid w:val="00CA4066"/>
    <w:rsid w:val="00CA4366"/>
    <w:rsid w:val="00CA43FF"/>
    <w:rsid w:val="00CA440C"/>
    <w:rsid w:val="00CA44F4"/>
    <w:rsid w:val="00CA450F"/>
    <w:rsid w:val="00CA45B2"/>
    <w:rsid w:val="00CA460F"/>
    <w:rsid w:val="00CA472D"/>
    <w:rsid w:val="00CA4950"/>
    <w:rsid w:val="00CA5481"/>
    <w:rsid w:val="00CA555B"/>
    <w:rsid w:val="00CA56B5"/>
    <w:rsid w:val="00CA5851"/>
    <w:rsid w:val="00CA58FC"/>
    <w:rsid w:val="00CA5946"/>
    <w:rsid w:val="00CA5BFF"/>
    <w:rsid w:val="00CA5DE0"/>
    <w:rsid w:val="00CA6054"/>
    <w:rsid w:val="00CA61BB"/>
    <w:rsid w:val="00CA6823"/>
    <w:rsid w:val="00CA688A"/>
    <w:rsid w:val="00CA6A7C"/>
    <w:rsid w:val="00CA6D01"/>
    <w:rsid w:val="00CA6DCD"/>
    <w:rsid w:val="00CA6DFB"/>
    <w:rsid w:val="00CA6F37"/>
    <w:rsid w:val="00CA6F4F"/>
    <w:rsid w:val="00CA724C"/>
    <w:rsid w:val="00CA770B"/>
    <w:rsid w:val="00CA78C5"/>
    <w:rsid w:val="00CA79EC"/>
    <w:rsid w:val="00CA7A04"/>
    <w:rsid w:val="00CA7A69"/>
    <w:rsid w:val="00CA7D4A"/>
    <w:rsid w:val="00CA7FBA"/>
    <w:rsid w:val="00CB002B"/>
    <w:rsid w:val="00CB00FE"/>
    <w:rsid w:val="00CB0146"/>
    <w:rsid w:val="00CB0242"/>
    <w:rsid w:val="00CB048A"/>
    <w:rsid w:val="00CB04ED"/>
    <w:rsid w:val="00CB0656"/>
    <w:rsid w:val="00CB06A9"/>
    <w:rsid w:val="00CB0800"/>
    <w:rsid w:val="00CB09E4"/>
    <w:rsid w:val="00CB0C13"/>
    <w:rsid w:val="00CB0D77"/>
    <w:rsid w:val="00CB0E37"/>
    <w:rsid w:val="00CB0EE5"/>
    <w:rsid w:val="00CB106A"/>
    <w:rsid w:val="00CB167D"/>
    <w:rsid w:val="00CB1A1D"/>
    <w:rsid w:val="00CB2126"/>
    <w:rsid w:val="00CB22DC"/>
    <w:rsid w:val="00CB2307"/>
    <w:rsid w:val="00CB23B0"/>
    <w:rsid w:val="00CB248D"/>
    <w:rsid w:val="00CB2596"/>
    <w:rsid w:val="00CB2653"/>
    <w:rsid w:val="00CB26D1"/>
    <w:rsid w:val="00CB28EE"/>
    <w:rsid w:val="00CB2B92"/>
    <w:rsid w:val="00CB2D37"/>
    <w:rsid w:val="00CB3302"/>
    <w:rsid w:val="00CB365F"/>
    <w:rsid w:val="00CB371F"/>
    <w:rsid w:val="00CB388E"/>
    <w:rsid w:val="00CB39FD"/>
    <w:rsid w:val="00CB3A02"/>
    <w:rsid w:val="00CB3A3F"/>
    <w:rsid w:val="00CB3A62"/>
    <w:rsid w:val="00CB3A9E"/>
    <w:rsid w:val="00CB3AB3"/>
    <w:rsid w:val="00CB3B3E"/>
    <w:rsid w:val="00CB3C6E"/>
    <w:rsid w:val="00CB3FE2"/>
    <w:rsid w:val="00CB408C"/>
    <w:rsid w:val="00CB418C"/>
    <w:rsid w:val="00CB4317"/>
    <w:rsid w:val="00CB4327"/>
    <w:rsid w:val="00CB438B"/>
    <w:rsid w:val="00CB45AF"/>
    <w:rsid w:val="00CB45DF"/>
    <w:rsid w:val="00CB4716"/>
    <w:rsid w:val="00CB4C83"/>
    <w:rsid w:val="00CB4D43"/>
    <w:rsid w:val="00CB4DD4"/>
    <w:rsid w:val="00CB4ECD"/>
    <w:rsid w:val="00CB52F0"/>
    <w:rsid w:val="00CB5333"/>
    <w:rsid w:val="00CB5439"/>
    <w:rsid w:val="00CB547D"/>
    <w:rsid w:val="00CB54AC"/>
    <w:rsid w:val="00CB55AE"/>
    <w:rsid w:val="00CB55DC"/>
    <w:rsid w:val="00CB56B4"/>
    <w:rsid w:val="00CB574F"/>
    <w:rsid w:val="00CB57D2"/>
    <w:rsid w:val="00CB57DA"/>
    <w:rsid w:val="00CB580E"/>
    <w:rsid w:val="00CB59A1"/>
    <w:rsid w:val="00CB5A52"/>
    <w:rsid w:val="00CB60BD"/>
    <w:rsid w:val="00CB60D7"/>
    <w:rsid w:val="00CB621F"/>
    <w:rsid w:val="00CB627B"/>
    <w:rsid w:val="00CB64B8"/>
    <w:rsid w:val="00CB6641"/>
    <w:rsid w:val="00CB6C47"/>
    <w:rsid w:val="00CB6CCA"/>
    <w:rsid w:val="00CB6D4B"/>
    <w:rsid w:val="00CB6F9A"/>
    <w:rsid w:val="00CB74D6"/>
    <w:rsid w:val="00CB76BD"/>
    <w:rsid w:val="00CB7701"/>
    <w:rsid w:val="00CB79BF"/>
    <w:rsid w:val="00CB7AEE"/>
    <w:rsid w:val="00CB7FFB"/>
    <w:rsid w:val="00CC03B8"/>
    <w:rsid w:val="00CC0529"/>
    <w:rsid w:val="00CC0604"/>
    <w:rsid w:val="00CC063E"/>
    <w:rsid w:val="00CC0868"/>
    <w:rsid w:val="00CC08D3"/>
    <w:rsid w:val="00CC08DF"/>
    <w:rsid w:val="00CC092D"/>
    <w:rsid w:val="00CC0B4B"/>
    <w:rsid w:val="00CC0C59"/>
    <w:rsid w:val="00CC0EE2"/>
    <w:rsid w:val="00CC0F46"/>
    <w:rsid w:val="00CC1336"/>
    <w:rsid w:val="00CC13B7"/>
    <w:rsid w:val="00CC14CA"/>
    <w:rsid w:val="00CC1698"/>
    <w:rsid w:val="00CC16D1"/>
    <w:rsid w:val="00CC17BE"/>
    <w:rsid w:val="00CC1899"/>
    <w:rsid w:val="00CC1AB8"/>
    <w:rsid w:val="00CC1CF5"/>
    <w:rsid w:val="00CC1DE3"/>
    <w:rsid w:val="00CC1F98"/>
    <w:rsid w:val="00CC2582"/>
    <w:rsid w:val="00CC260A"/>
    <w:rsid w:val="00CC2916"/>
    <w:rsid w:val="00CC2F62"/>
    <w:rsid w:val="00CC3289"/>
    <w:rsid w:val="00CC337D"/>
    <w:rsid w:val="00CC3400"/>
    <w:rsid w:val="00CC3547"/>
    <w:rsid w:val="00CC39F6"/>
    <w:rsid w:val="00CC3D80"/>
    <w:rsid w:val="00CC3DF3"/>
    <w:rsid w:val="00CC3E0D"/>
    <w:rsid w:val="00CC3E1B"/>
    <w:rsid w:val="00CC4250"/>
    <w:rsid w:val="00CC438F"/>
    <w:rsid w:val="00CC46D4"/>
    <w:rsid w:val="00CC4736"/>
    <w:rsid w:val="00CC4AD0"/>
    <w:rsid w:val="00CC4CE2"/>
    <w:rsid w:val="00CC4F03"/>
    <w:rsid w:val="00CC5021"/>
    <w:rsid w:val="00CC5227"/>
    <w:rsid w:val="00CC53BA"/>
    <w:rsid w:val="00CC53CE"/>
    <w:rsid w:val="00CC55B7"/>
    <w:rsid w:val="00CC560D"/>
    <w:rsid w:val="00CC59AB"/>
    <w:rsid w:val="00CC5B1C"/>
    <w:rsid w:val="00CC5D25"/>
    <w:rsid w:val="00CC5D88"/>
    <w:rsid w:val="00CC5DE6"/>
    <w:rsid w:val="00CC5FE7"/>
    <w:rsid w:val="00CC61E3"/>
    <w:rsid w:val="00CC626A"/>
    <w:rsid w:val="00CC62A3"/>
    <w:rsid w:val="00CC64A5"/>
    <w:rsid w:val="00CC65F9"/>
    <w:rsid w:val="00CC67F1"/>
    <w:rsid w:val="00CC68B9"/>
    <w:rsid w:val="00CC6A99"/>
    <w:rsid w:val="00CC6C78"/>
    <w:rsid w:val="00CC6DBB"/>
    <w:rsid w:val="00CC6E83"/>
    <w:rsid w:val="00CC6F0A"/>
    <w:rsid w:val="00CC6FC5"/>
    <w:rsid w:val="00CC6FE8"/>
    <w:rsid w:val="00CC71A1"/>
    <w:rsid w:val="00CC74CC"/>
    <w:rsid w:val="00CC7500"/>
    <w:rsid w:val="00CC7616"/>
    <w:rsid w:val="00CC770E"/>
    <w:rsid w:val="00CC7C3F"/>
    <w:rsid w:val="00CD01DB"/>
    <w:rsid w:val="00CD02E7"/>
    <w:rsid w:val="00CD0457"/>
    <w:rsid w:val="00CD04D0"/>
    <w:rsid w:val="00CD0692"/>
    <w:rsid w:val="00CD0959"/>
    <w:rsid w:val="00CD0987"/>
    <w:rsid w:val="00CD0AAC"/>
    <w:rsid w:val="00CD0B47"/>
    <w:rsid w:val="00CD0DB7"/>
    <w:rsid w:val="00CD0F4B"/>
    <w:rsid w:val="00CD0F59"/>
    <w:rsid w:val="00CD125B"/>
    <w:rsid w:val="00CD15F5"/>
    <w:rsid w:val="00CD16C6"/>
    <w:rsid w:val="00CD19B7"/>
    <w:rsid w:val="00CD19C1"/>
    <w:rsid w:val="00CD19CA"/>
    <w:rsid w:val="00CD1AD5"/>
    <w:rsid w:val="00CD1B09"/>
    <w:rsid w:val="00CD1C46"/>
    <w:rsid w:val="00CD1FEB"/>
    <w:rsid w:val="00CD21FD"/>
    <w:rsid w:val="00CD22FE"/>
    <w:rsid w:val="00CD28C7"/>
    <w:rsid w:val="00CD2C2B"/>
    <w:rsid w:val="00CD2D33"/>
    <w:rsid w:val="00CD2DC6"/>
    <w:rsid w:val="00CD3067"/>
    <w:rsid w:val="00CD323C"/>
    <w:rsid w:val="00CD33E8"/>
    <w:rsid w:val="00CD3443"/>
    <w:rsid w:val="00CD345B"/>
    <w:rsid w:val="00CD35DA"/>
    <w:rsid w:val="00CD366A"/>
    <w:rsid w:val="00CD3717"/>
    <w:rsid w:val="00CD388B"/>
    <w:rsid w:val="00CD3956"/>
    <w:rsid w:val="00CD3A3D"/>
    <w:rsid w:val="00CD3ABC"/>
    <w:rsid w:val="00CD3C2D"/>
    <w:rsid w:val="00CD3C6A"/>
    <w:rsid w:val="00CD3D88"/>
    <w:rsid w:val="00CD3D8E"/>
    <w:rsid w:val="00CD42D7"/>
    <w:rsid w:val="00CD4311"/>
    <w:rsid w:val="00CD46D2"/>
    <w:rsid w:val="00CD4807"/>
    <w:rsid w:val="00CD486B"/>
    <w:rsid w:val="00CD492A"/>
    <w:rsid w:val="00CD4AD5"/>
    <w:rsid w:val="00CD4C93"/>
    <w:rsid w:val="00CD4CBE"/>
    <w:rsid w:val="00CD4F4C"/>
    <w:rsid w:val="00CD5011"/>
    <w:rsid w:val="00CD516D"/>
    <w:rsid w:val="00CD5956"/>
    <w:rsid w:val="00CD5A43"/>
    <w:rsid w:val="00CD5BFD"/>
    <w:rsid w:val="00CD5C14"/>
    <w:rsid w:val="00CD5C88"/>
    <w:rsid w:val="00CD6080"/>
    <w:rsid w:val="00CD64AC"/>
    <w:rsid w:val="00CD6543"/>
    <w:rsid w:val="00CD659C"/>
    <w:rsid w:val="00CD6872"/>
    <w:rsid w:val="00CD6BE7"/>
    <w:rsid w:val="00CD6DF2"/>
    <w:rsid w:val="00CD7306"/>
    <w:rsid w:val="00CD756A"/>
    <w:rsid w:val="00CD7660"/>
    <w:rsid w:val="00CD766F"/>
    <w:rsid w:val="00CD782B"/>
    <w:rsid w:val="00CD7892"/>
    <w:rsid w:val="00CD7997"/>
    <w:rsid w:val="00CD7AFA"/>
    <w:rsid w:val="00CD7B01"/>
    <w:rsid w:val="00CD7B36"/>
    <w:rsid w:val="00CD7B8A"/>
    <w:rsid w:val="00CD7ECC"/>
    <w:rsid w:val="00CD7EE4"/>
    <w:rsid w:val="00CD7F5C"/>
    <w:rsid w:val="00CD7F99"/>
    <w:rsid w:val="00CE004C"/>
    <w:rsid w:val="00CE032E"/>
    <w:rsid w:val="00CE03DB"/>
    <w:rsid w:val="00CE0465"/>
    <w:rsid w:val="00CE0711"/>
    <w:rsid w:val="00CE0A09"/>
    <w:rsid w:val="00CE0E9A"/>
    <w:rsid w:val="00CE0FB2"/>
    <w:rsid w:val="00CE105E"/>
    <w:rsid w:val="00CE1061"/>
    <w:rsid w:val="00CE10D3"/>
    <w:rsid w:val="00CE1110"/>
    <w:rsid w:val="00CE1193"/>
    <w:rsid w:val="00CE11A8"/>
    <w:rsid w:val="00CE11F6"/>
    <w:rsid w:val="00CE1213"/>
    <w:rsid w:val="00CE1310"/>
    <w:rsid w:val="00CE1524"/>
    <w:rsid w:val="00CE1B8B"/>
    <w:rsid w:val="00CE1C4F"/>
    <w:rsid w:val="00CE1C86"/>
    <w:rsid w:val="00CE2046"/>
    <w:rsid w:val="00CE24BF"/>
    <w:rsid w:val="00CE24D7"/>
    <w:rsid w:val="00CE2B39"/>
    <w:rsid w:val="00CE3078"/>
    <w:rsid w:val="00CE31C0"/>
    <w:rsid w:val="00CE357F"/>
    <w:rsid w:val="00CE35CA"/>
    <w:rsid w:val="00CE363D"/>
    <w:rsid w:val="00CE3982"/>
    <w:rsid w:val="00CE3A2A"/>
    <w:rsid w:val="00CE3C85"/>
    <w:rsid w:val="00CE3CBB"/>
    <w:rsid w:val="00CE3E12"/>
    <w:rsid w:val="00CE3E60"/>
    <w:rsid w:val="00CE3F5D"/>
    <w:rsid w:val="00CE3FD6"/>
    <w:rsid w:val="00CE4420"/>
    <w:rsid w:val="00CE44AE"/>
    <w:rsid w:val="00CE4921"/>
    <w:rsid w:val="00CE4A22"/>
    <w:rsid w:val="00CE4D68"/>
    <w:rsid w:val="00CE4F33"/>
    <w:rsid w:val="00CE4FF2"/>
    <w:rsid w:val="00CE5124"/>
    <w:rsid w:val="00CE5198"/>
    <w:rsid w:val="00CE5268"/>
    <w:rsid w:val="00CE53DB"/>
    <w:rsid w:val="00CE5530"/>
    <w:rsid w:val="00CE575B"/>
    <w:rsid w:val="00CE58D5"/>
    <w:rsid w:val="00CE5E96"/>
    <w:rsid w:val="00CE5F8A"/>
    <w:rsid w:val="00CE5FCE"/>
    <w:rsid w:val="00CE5FD1"/>
    <w:rsid w:val="00CE5FF4"/>
    <w:rsid w:val="00CE62EB"/>
    <w:rsid w:val="00CE6473"/>
    <w:rsid w:val="00CE65BF"/>
    <w:rsid w:val="00CE678C"/>
    <w:rsid w:val="00CE67DB"/>
    <w:rsid w:val="00CE697D"/>
    <w:rsid w:val="00CE6B68"/>
    <w:rsid w:val="00CE6B6C"/>
    <w:rsid w:val="00CE6BA2"/>
    <w:rsid w:val="00CE6D2D"/>
    <w:rsid w:val="00CE70CC"/>
    <w:rsid w:val="00CE7115"/>
    <w:rsid w:val="00CE7169"/>
    <w:rsid w:val="00CE7304"/>
    <w:rsid w:val="00CE73FE"/>
    <w:rsid w:val="00CE7439"/>
    <w:rsid w:val="00CE78DA"/>
    <w:rsid w:val="00CE79AD"/>
    <w:rsid w:val="00CE79F8"/>
    <w:rsid w:val="00CE7E4E"/>
    <w:rsid w:val="00CF00E7"/>
    <w:rsid w:val="00CF041B"/>
    <w:rsid w:val="00CF04A0"/>
    <w:rsid w:val="00CF072C"/>
    <w:rsid w:val="00CF087D"/>
    <w:rsid w:val="00CF0A5A"/>
    <w:rsid w:val="00CF0C23"/>
    <w:rsid w:val="00CF0E19"/>
    <w:rsid w:val="00CF10E1"/>
    <w:rsid w:val="00CF1187"/>
    <w:rsid w:val="00CF134C"/>
    <w:rsid w:val="00CF1403"/>
    <w:rsid w:val="00CF152F"/>
    <w:rsid w:val="00CF1595"/>
    <w:rsid w:val="00CF16A8"/>
    <w:rsid w:val="00CF1894"/>
    <w:rsid w:val="00CF19E2"/>
    <w:rsid w:val="00CF1B81"/>
    <w:rsid w:val="00CF1BDA"/>
    <w:rsid w:val="00CF1D3A"/>
    <w:rsid w:val="00CF1F3F"/>
    <w:rsid w:val="00CF1F5B"/>
    <w:rsid w:val="00CF1FC9"/>
    <w:rsid w:val="00CF2133"/>
    <w:rsid w:val="00CF215E"/>
    <w:rsid w:val="00CF21F8"/>
    <w:rsid w:val="00CF22AA"/>
    <w:rsid w:val="00CF25F4"/>
    <w:rsid w:val="00CF292B"/>
    <w:rsid w:val="00CF2A58"/>
    <w:rsid w:val="00CF2C3D"/>
    <w:rsid w:val="00CF2C69"/>
    <w:rsid w:val="00CF2D04"/>
    <w:rsid w:val="00CF3020"/>
    <w:rsid w:val="00CF33F3"/>
    <w:rsid w:val="00CF348F"/>
    <w:rsid w:val="00CF3523"/>
    <w:rsid w:val="00CF3AE7"/>
    <w:rsid w:val="00CF3C34"/>
    <w:rsid w:val="00CF3DBD"/>
    <w:rsid w:val="00CF3ECC"/>
    <w:rsid w:val="00CF4075"/>
    <w:rsid w:val="00CF435A"/>
    <w:rsid w:val="00CF4360"/>
    <w:rsid w:val="00CF480A"/>
    <w:rsid w:val="00CF4A2C"/>
    <w:rsid w:val="00CF4B24"/>
    <w:rsid w:val="00CF4B79"/>
    <w:rsid w:val="00CF4E11"/>
    <w:rsid w:val="00CF5196"/>
    <w:rsid w:val="00CF51F6"/>
    <w:rsid w:val="00CF541E"/>
    <w:rsid w:val="00CF5545"/>
    <w:rsid w:val="00CF557A"/>
    <w:rsid w:val="00CF58FD"/>
    <w:rsid w:val="00CF59B8"/>
    <w:rsid w:val="00CF5BB3"/>
    <w:rsid w:val="00CF5DC0"/>
    <w:rsid w:val="00CF5E06"/>
    <w:rsid w:val="00CF5E09"/>
    <w:rsid w:val="00CF5F06"/>
    <w:rsid w:val="00CF5F10"/>
    <w:rsid w:val="00CF5F11"/>
    <w:rsid w:val="00CF5F13"/>
    <w:rsid w:val="00CF627E"/>
    <w:rsid w:val="00CF62A3"/>
    <w:rsid w:val="00CF6447"/>
    <w:rsid w:val="00CF652A"/>
    <w:rsid w:val="00CF6668"/>
    <w:rsid w:val="00CF6A2F"/>
    <w:rsid w:val="00CF6C33"/>
    <w:rsid w:val="00CF6D57"/>
    <w:rsid w:val="00CF6EC9"/>
    <w:rsid w:val="00CF70DB"/>
    <w:rsid w:val="00CF7178"/>
    <w:rsid w:val="00CF77A0"/>
    <w:rsid w:val="00CF7B1C"/>
    <w:rsid w:val="00CF7B54"/>
    <w:rsid w:val="00CF7C53"/>
    <w:rsid w:val="00CF7D53"/>
    <w:rsid w:val="00D001B1"/>
    <w:rsid w:val="00D00332"/>
    <w:rsid w:val="00D005EE"/>
    <w:rsid w:val="00D0074D"/>
    <w:rsid w:val="00D0076A"/>
    <w:rsid w:val="00D00885"/>
    <w:rsid w:val="00D00922"/>
    <w:rsid w:val="00D00AA3"/>
    <w:rsid w:val="00D00F9D"/>
    <w:rsid w:val="00D012D3"/>
    <w:rsid w:val="00D01474"/>
    <w:rsid w:val="00D016BC"/>
    <w:rsid w:val="00D016E6"/>
    <w:rsid w:val="00D0171B"/>
    <w:rsid w:val="00D01939"/>
    <w:rsid w:val="00D01991"/>
    <w:rsid w:val="00D01CAE"/>
    <w:rsid w:val="00D01E5E"/>
    <w:rsid w:val="00D02170"/>
    <w:rsid w:val="00D02483"/>
    <w:rsid w:val="00D02641"/>
    <w:rsid w:val="00D02662"/>
    <w:rsid w:val="00D02884"/>
    <w:rsid w:val="00D02E8B"/>
    <w:rsid w:val="00D03182"/>
    <w:rsid w:val="00D033FF"/>
    <w:rsid w:val="00D034DC"/>
    <w:rsid w:val="00D03510"/>
    <w:rsid w:val="00D03665"/>
    <w:rsid w:val="00D038F9"/>
    <w:rsid w:val="00D03AA8"/>
    <w:rsid w:val="00D03BAF"/>
    <w:rsid w:val="00D03FB9"/>
    <w:rsid w:val="00D03FBB"/>
    <w:rsid w:val="00D04689"/>
    <w:rsid w:val="00D0493F"/>
    <w:rsid w:val="00D04B59"/>
    <w:rsid w:val="00D04EC0"/>
    <w:rsid w:val="00D0504E"/>
    <w:rsid w:val="00D051FF"/>
    <w:rsid w:val="00D05635"/>
    <w:rsid w:val="00D056DA"/>
    <w:rsid w:val="00D05829"/>
    <w:rsid w:val="00D059FC"/>
    <w:rsid w:val="00D05A78"/>
    <w:rsid w:val="00D05BCE"/>
    <w:rsid w:val="00D05C8C"/>
    <w:rsid w:val="00D05CA4"/>
    <w:rsid w:val="00D05CE0"/>
    <w:rsid w:val="00D05E72"/>
    <w:rsid w:val="00D05F6A"/>
    <w:rsid w:val="00D0644D"/>
    <w:rsid w:val="00D064F6"/>
    <w:rsid w:val="00D06533"/>
    <w:rsid w:val="00D066A4"/>
    <w:rsid w:val="00D06808"/>
    <w:rsid w:val="00D06A88"/>
    <w:rsid w:val="00D06DC3"/>
    <w:rsid w:val="00D06DDC"/>
    <w:rsid w:val="00D06F9D"/>
    <w:rsid w:val="00D06FF9"/>
    <w:rsid w:val="00D071B9"/>
    <w:rsid w:val="00D072DF"/>
    <w:rsid w:val="00D074BD"/>
    <w:rsid w:val="00D07755"/>
    <w:rsid w:val="00D079A5"/>
    <w:rsid w:val="00D07B4C"/>
    <w:rsid w:val="00D07C00"/>
    <w:rsid w:val="00D07E37"/>
    <w:rsid w:val="00D07F68"/>
    <w:rsid w:val="00D07F73"/>
    <w:rsid w:val="00D101A7"/>
    <w:rsid w:val="00D106DE"/>
    <w:rsid w:val="00D10744"/>
    <w:rsid w:val="00D1083B"/>
    <w:rsid w:val="00D108AD"/>
    <w:rsid w:val="00D10BB7"/>
    <w:rsid w:val="00D10E43"/>
    <w:rsid w:val="00D10F67"/>
    <w:rsid w:val="00D10FE3"/>
    <w:rsid w:val="00D11099"/>
    <w:rsid w:val="00D11281"/>
    <w:rsid w:val="00D114C2"/>
    <w:rsid w:val="00D11FAD"/>
    <w:rsid w:val="00D1226A"/>
    <w:rsid w:val="00D12328"/>
    <w:rsid w:val="00D124C0"/>
    <w:rsid w:val="00D1258D"/>
    <w:rsid w:val="00D12824"/>
    <w:rsid w:val="00D128DD"/>
    <w:rsid w:val="00D128E4"/>
    <w:rsid w:val="00D129DC"/>
    <w:rsid w:val="00D12DA0"/>
    <w:rsid w:val="00D12E36"/>
    <w:rsid w:val="00D130CE"/>
    <w:rsid w:val="00D131DB"/>
    <w:rsid w:val="00D13291"/>
    <w:rsid w:val="00D13378"/>
    <w:rsid w:val="00D136E4"/>
    <w:rsid w:val="00D13961"/>
    <w:rsid w:val="00D13981"/>
    <w:rsid w:val="00D13BDA"/>
    <w:rsid w:val="00D13F55"/>
    <w:rsid w:val="00D14037"/>
    <w:rsid w:val="00D141C3"/>
    <w:rsid w:val="00D145D3"/>
    <w:rsid w:val="00D14666"/>
    <w:rsid w:val="00D14799"/>
    <w:rsid w:val="00D147E3"/>
    <w:rsid w:val="00D14844"/>
    <w:rsid w:val="00D14B2F"/>
    <w:rsid w:val="00D14CAA"/>
    <w:rsid w:val="00D1521B"/>
    <w:rsid w:val="00D15259"/>
    <w:rsid w:val="00D1526C"/>
    <w:rsid w:val="00D15290"/>
    <w:rsid w:val="00D154E7"/>
    <w:rsid w:val="00D15543"/>
    <w:rsid w:val="00D15584"/>
    <w:rsid w:val="00D156AC"/>
    <w:rsid w:val="00D15842"/>
    <w:rsid w:val="00D159D7"/>
    <w:rsid w:val="00D15C13"/>
    <w:rsid w:val="00D15C3D"/>
    <w:rsid w:val="00D15E36"/>
    <w:rsid w:val="00D1610E"/>
    <w:rsid w:val="00D1643D"/>
    <w:rsid w:val="00D1699B"/>
    <w:rsid w:val="00D16A2B"/>
    <w:rsid w:val="00D16A85"/>
    <w:rsid w:val="00D16C2F"/>
    <w:rsid w:val="00D172ED"/>
    <w:rsid w:val="00D17A81"/>
    <w:rsid w:val="00D17EDE"/>
    <w:rsid w:val="00D2036E"/>
    <w:rsid w:val="00D2041C"/>
    <w:rsid w:val="00D2054B"/>
    <w:rsid w:val="00D206CF"/>
    <w:rsid w:val="00D20816"/>
    <w:rsid w:val="00D20967"/>
    <w:rsid w:val="00D20BC3"/>
    <w:rsid w:val="00D20C05"/>
    <w:rsid w:val="00D20FF5"/>
    <w:rsid w:val="00D21154"/>
    <w:rsid w:val="00D21204"/>
    <w:rsid w:val="00D2153E"/>
    <w:rsid w:val="00D2155F"/>
    <w:rsid w:val="00D218F7"/>
    <w:rsid w:val="00D21B74"/>
    <w:rsid w:val="00D21CEF"/>
    <w:rsid w:val="00D21F92"/>
    <w:rsid w:val="00D22226"/>
    <w:rsid w:val="00D222FE"/>
    <w:rsid w:val="00D224DC"/>
    <w:rsid w:val="00D227E5"/>
    <w:rsid w:val="00D22960"/>
    <w:rsid w:val="00D229E7"/>
    <w:rsid w:val="00D22AEE"/>
    <w:rsid w:val="00D22D54"/>
    <w:rsid w:val="00D230D6"/>
    <w:rsid w:val="00D231D0"/>
    <w:rsid w:val="00D232ED"/>
    <w:rsid w:val="00D23620"/>
    <w:rsid w:val="00D23683"/>
    <w:rsid w:val="00D23A05"/>
    <w:rsid w:val="00D241F2"/>
    <w:rsid w:val="00D242AC"/>
    <w:rsid w:val="00D24487"/>
    <w:rsid w:val="00D246D9"/>
    <w:rsid w:val="00D24FFB"/>
    <w:rsid w:val="00D253B4"/>
    <w:rsid w:val="00D2574B"/>
    <w:rsid w:val="00D259BD"/>
    <w:rsid w:val="00D25ADE"/>
    <w:rsid w:val="00D26037"/>
    <w:rsid w:val="00D260FF"/>
    <w:rsid w:val="00D26154"/>
    <w:rsid w:val="00D26169"/>
    <w:rsid w:val="00D26243"/>
    <w:rsid w:val="00D263A0"/>
    <w:rsid w:val="00D26604"/>
    <w:rsid w:val="00D2669F"/>
    <w:rsid w:val="00D2670D"/>
    <w:rsid w:val="00D2677C"/>
    <w:rsid w:val="00D26B5E"/>
    <w:rsid w:val="00D26B8C"/>
    <w:rsid w:val="00D26DD5"/>
    <w:rsid w:val="00D26F1C"/>
    <w:rsid w:val="00D27243"/>
    <w:rsid w:val="00D273B2"/>
    <w:rsid w:val="00D273D8"/>
    <w:rsid w:val="00D275DB"/>
    <w:rsid w:val="00D2779F"/>
    <w:rsid w:val="00D2788B"/>
    <w:rsid w:val="00D27FA0"/>
    <w:rsid w:val="00D30222"/>
    <w:rsid w:val="00D30254"/>
    <w:rsid w:val="00D30402"/>
    <w:rsid w:val="00D30530"/>
    <w:rsid w:val="00D30680"/>
    <w:rsid w:val="00D309CD"/>
    <w:rsid w:val="00D30F33"/>
    <w:rsid w:val="00D3108E"/>
    <w:rsid w:val="00D313E6"/>
    <w:rsid w:val="00D318D7"/>
    <w:rsid w:val="00D319B3"/>
    <w:rsid w:val="00D31D83"/>
    <w:rsid w:val="00D31EC1"/>
    <w:rsid w:val="00D31F9D"/>
    <w:rsid w:val="00D32043"/>
    <w:rsid w:val="00D32284"/>
    <w:rsid w:val="00D32295"/>
    <w:rsid w:val="00D322A0"/>
    <w:rsid w:val="00D323B8"/>
    <w:rsid w:val="00D3264C"/>
    <w:rsid w:val="00D32799"/>
    <w:rsid w:val="00D3281E"/>
    <w:rsid w:val="00D32A31"/>
    <w:rsid w:val="00D32B24"/>
    <w:rsid w:val="00D32BFA"/>
    <w:rsid w:val="00D32D04"/>
    <w:rsid w:val="00D32E3E"/>
    <w:rsid w:val="00D32E96"/>
    <w:rsid w:val="00D32F9D"/>
    <w:rsid w:val="00D332E0"/>
    <w:rsid w:val="00D3337A"/>
    <w:rsid w:val="00D33394"/>
    <w:rsid w:val="00D3347D"/>
    <w:rsid w:val="00D3348A"/>
    <w:rsid w:val="00D3370B"/>
    <w:rsid w:val="00D339BE"/>
    <w:rsid w:val="00D339EF"/>
    <w:rsid w:val="00D33B72"/>
    <w:rsid w:val="00D33B83"/>
    <w:rsid w:val="00D33C15"/>
    <w:rsid w:val="00D33F84"/>
    <w:rsid w:val="00D34069"/>
    <w:rsid w:val="00D340B4"/>
    <w:rsid w:val="00D34287"/>
    <w:rsid w:val="00D342DA"/>
    <w:rsid w:val="00D34446"/>
    <w:rsid w:val="00D344B6"/>
    <w:rsid w:val="00D34501"/>
    <w:rsid w:val="00D34B45"/>
    <w:rsid w:val="00D34BE9"/>
    <w:rsid w:val="00D34CBD"/>
    <w:rsid w:val="00D34DC9"/>
    <w:rsid w:val="00D35054"/>
    <w:rsid w:val="00D35128"/>
    <w:rsid w:val="00D3538D"/>
    <w:rsid w:val="00D35409"/>
    <w:rsid w:val="00D35507"/>
    <w:rsid w:val="00D356DC"/>
    <w:rsid w:val="00D3580F"/>
    <w:rsid w:val="00D35DCA"/>
    <w:rsid w:val="00D35E10"/>
    <w:rsid w:val="00D35ECB"/>
    <w:rsid w:val="00D361B0"/>
    <w:rsid w:val="00D363EE"/>
    <w:rsid w:val="00D366A6"/>
    <w:rsid w:val="00D36720"/>
    <w:rsid w:val="00D367D5"/>
    <w:rsid w:val="00D36F16"/>
    <w:rsid w:val="00D376D1"/>
    <w:rsid w:val="00D37911"/>
    <w:rsid w:val="00D37A18"/>
    <w:rsid w:val="00D37B4F"/>
    <w:rsid w:val="00D37BEA"/>
    <w:rsid w:val="00D37CA3"/>
    <w:rsid w:val="00D37E94"/>
    <w:rsid w:val="00D4003B"/>
    <w:rsid w:val="00D400A0"/>
    <w:rsid w:val="00D4035E"/>
    <w:rsid w:val="00D40458"/>
    <w:rsid w:val="00D40614"/>
    <w:rsid w:val="00D406B0"/>
    <w:rsid w:val="00D40F39"/>
    <w:rsid w:val="00D40F76"/>
    <w:rsid w:val="00D411C2"/>
    <w:rsid w:val="00D41361"/>
    <w:rsid w:val="00D4141C"/>
    <w:rsid w:val="00D41BCB"/>
    <w:rsid w:val="00D41D72"/>
    <w:rsid w:val="00D41F2C"/>
    <w:rsid w:val="00D420B9"/>
    <w:rsid w:val="00D421EC"/>
    <w:rsid w:val="00D42268"/>
    <w:rsid w:val="00D429DC"/>
    <w:rsid w:val="00D42D3D"/>
    <w:rsid w:val="00D42DA8"/>
    <w:rsid w:val="00D42EAD"/>
    <w:rsid w:val="00D42ED9"/>
    <w:rsid w:val="00D42FBD"/>
    <w:rsid w:val="00D430D7"/>
    <w:rsid w:val="00D43139"/>
    <w:rsid w:val="00D4320B"/>
    <w:rsid w:val="00D43297"/>
    <w:rsid w:val="00D433C8"/>
    <w:rsid w:val="00D43498"/>
    <w:rsid w:val="00D43611"/>
    <w:rsid w:val="00D4363B"/>
    <w:rsid w:val="00D43820"/>
    <w:rsid w:val="00D4382E"/>
    <w:rsid w:val="00D43865"/>
    <w:rsid w:val="00D43896"/>
    <w:rsid w:val="00D438B4"/>
    <w:rsid w:val="00D43C5A"/>
    <w:rsid w:val="00D43C9B"/>
    <w:rsid w:val="00D43CEB"/>
    <w:rsid w:val="00D443C3"/>
    <w:rsid w:val="00D44452"/>
    <w:rsid w:val="00D44524"/>
    <w:rsid w:val="00D4458B"/>
    <w:rsid w:val="00D44624"/>
    <w:rsid w:val="00D447B3"/>
    <w:rsid w:val="00D4481B"/>
    <w:rsid w:val="00D44870"/>
    <w:rsid w:val="00D44999"/>
    <w:rsid w:val="00D4499B"/>
    <w:rsid w:val="00D44B05"/>
    <w:rsid w:val="00D44B4C"/>
    <w:rsid w:val="00D44CE3"/>
    <w:rsid w:val="00D44D23"/>
    <w:rsid w:val="00D44D6F"/>
    <w:rsid w:val="00D44D9E"/>
    <w:rsid w:val="00D44DB6"/>
    <w:rsid w:val="00D44F5F"/>
    <w:rsid w:val="00D45095"/>
    <w:rsid w:val="00D45099"/>
    <w:rsid w:val="00D45253"/>
    <w:rsid w:val="00D45721"/>
    <w:rsid w:val="00D45956"/>
    <w:rsid w:val="00D45B92"/>
    <w:rsid w:val="00D46121"/>
    <w:rsid w:val="00D462D8"/>
    <w:rsid w:val="00D464B0"/>
    <w:rsid w:val="00D467D7"/>
    <w:rsid w:val="00D4683F"/>
    <w:rsid w:val="00D46A7B"/>
    <w:rsid w:val="00D47027"/>
    <w:rsid w:val="00D4709E"/>
    <w:rsid w:val="00D470B4"/>
    <w:rsid w:val="00D47459"/>
    <w:rsid w:val="00D47469"/>
    <w:rsid w:val="00D47863"/>
    <w:rsid w:val="00D47B68"/>
    <w:rsid w:val="00D47BFD"/>
    <w:rsid w:val="00D47C3A"/>
    <w:rsid w:val="00D47D9F"/>
    <w:rsid w:val="00D47E22"/>
    <w:rsid w:val="00D50119"/>
    <w:rsid w:val="00D502A1"/>
    <w:rsid w:val="00D50547"/>
    <w:rsid w:val="00D508FA"/>
    <w:rsid w:val="00D50AB3"/>
    <w:rsid w:val="00D50B2E"/>
    <w:rsid w:val="00D50C49"/>
    <w:rsid w:val="00D50DB9"/>
    <w:rsid w:val="00D5104E"/>
    <w:rsid w:val="00D510A6"/>
    <w:rsid w:val="00D5124E"/>
    <w:rsid w:val="00D51379"/>
    <w:rsid w:val="00D513EF"/>
    <w:rsid w:val="00D51A1D"/>
    <w:rsid w:val="00D51D7B"/>
    <w:rsid w:val="00D52001"/>
    <w:rsid w:val="00D5201C"/>
    <w:rsid w:val="00D5222B"/>
    <w:rsid w:val="00D52438"/>
    <w:rsid w:val="00D52505"/>
    <w:rsid w:val="00D52843"/>
    <w:rsid w:val="00D528E2"/>
    <w:rsid w:val="00D5318A"/>
    <w:rsid w:val="00D5324E"/>
    <w:rsid w:val="00D53344"/>
    <w:rsid w:val="00D5336E"/>
    <w:rsid w:val="00D533EF"/>
    <w:rsid w:val="00D534FD"/>
    <w:rsid w:val="00D5366C"/>
    <w:rsid w:val="00D53D87"/>
    <w:rsid w:val="00D53E60"/>
    <w:rsid w:val="00D54636"/>
    <w:rsid w:val="00D5492F"/>
    <w:rsid w:val="00D54B79"/>
    <w:rsid w:val="00D54D4E"/>
    <w:rsid w:val="00D54F00"/>
    <w:rsid w:val="00D54FA2"/>
    <w:rsid w:val="00D5503B"/>
    <w:rsid w:val="00D5517F"/>
    <w:rsid w:val="00D55639"/>
    <w:rsid w:val="00D55964"/>
    <w:rsid w:val="00D5598C"/>
    <w:rsid w:val="00D559ED"/>
    <w:rsid w:val="00D55B4C"/>
    <w:rsid w:val="00D55CA8"/>
    <w:rsid w:val="00D562AC"/>
    <w:rsid w:val="00D56397"/>
    <w:rsid w:val="00D564A2"/>
    <w:rsid w:val="00D56A7F"/>
    <w:rsid w:val="00D56BD0"/>
    <w:rsid w:val="00D56BE3"/>
    <w:rsid w:val="00D56FF8"/>
    <w:rsid w:val="00D5750B"/>
    <w:rsid w:val="00D5752B"/>
    <w:rsid w:val="00D57562"/>
    <w:rsid w:val="00D5762D"/>
    <w:rsid w:val="00D5766B"/>
    <w:rsid w:val="00D57FA8"/>
    <w:rsid w:val="00D6028A"/>
    <w:rsid w:val="00D60290"/>
    <w:rsid w:val="00D603C0"/>
    <w:rsid w:val="00D604C9"/>
    <w:rsid w:val="00D60650"/>
    <w:rsid w:val="00D609EC"/>
    <w:rsid w:val="00D60AD7"/>
    <w:rsid w:val="00D60D64"/>
    <w:rsid w:val="00D60D69"/>
    <w:rsid w:val="00D60E93"/>
    <w:rsid w:val="00D61122"/>
    <w:rsid w:val="00D6147A"/>
    <w:rsid w:val="00D615A9"/>
    <w:rsid w:val="00D616FB"/>
    <w:rsid w:val="00D61766"/>
    <w:rsid w:val="00D617CD"/>
    <w:rsid w:val="00D61825"/>
    <w:rsid w:val="00D618BE"/>
    <w:rsid w:val="00D61B7D"/>
    <w:rsid w:val="00D61EB1"/>
    <w:rsid w:val="00D6211C"/>
    <w:rsid w:val="00D6218B"/>
    <w:rsid w:val="00D62198"/>
    <w:rsid w:val="00D623BF"/>
    <w:rsid w:val="00D6264A"/>
    <w:rsid w:val="00D626F2"/>
    <w:rsid w:val="00D62890"/>
    <w:rsid w:val="00D628C1"/>
    <w:rsid w:val="00D62B61"/>
    <w:rsid w:val="00D62BBC"/>
    <w:rsid w:val="00D6318C"/>
    <w:rsid w:val="00D63370"/>
    <w:rsid w:val="00D6343F"/>
    <w:rsid w:val="00D637B5"/>
    <w:rsid w:val="00D63B24"/>
    <w:rsid w:val="00D63F83"/>
    <w:rsid w:val="00D640B8"/>
    <w:rsid w:val="00D64191"/>
    <w:rsid w:val="00D642C6"/>
    <w:rsid w:val="00D646C4"/>
    <w:rsid w:val="00D6474E"/>
    <w:rsid w:val="00D648A9"/>
    <w:rsid w:val="00D64B9F"/>
    <w:rsid w:val="00D64C39"/>
    <w:rsid w:val="00D65023"/>
    <w:rsid w:val="00D6506C"/>
    <w:rsid w:val="00D65141"/>
    <w:rsid w:val="00D65161"/>
    <w:rsid w:val="00D651CB"/>
    <w:rsid w:val="00D6520C"/>
    <w:rsid w:val="00D6525D"/>
    <w:rsid w:val="00D65319"/>
    <w:rsid w:val="00D65587"/>
    <w:rsid w:val="00D65607"/>
    <w:rsid w:val="00D65658"/>
    <w:rsid w:val="00D658DF"/>
    <w:rsid w:val="00D65B5E"/>
    <w:rsid w:val="00D65DE4"/>
    <w:rsid w:val="00D65EA7"/>
    <w:rsid w:val="00D65EF9"/>
    <w:rsid w:val="00D661DB"/>
    <w:rsid w:val="00D6621B"/>
    <w:rsid w:val="00D66310"/>
    <w:rsid w:val="00D66411"/>
    <w:rsid w:val="00D66413"/>
    <w:rsid w:val="00D66490"/>
    <w:rsid w:val="00D6679E"/>
    <w:rsid w:val="00D669AF"/>
    <w:rsid w:val="00D66A40"/>
    <w:rsid w:val="00D66A83"/>
    <w:rsid w:val="00D66CBC"/>
    <w:rsid w:val="00D66E1D"/>
    <w:rsid w:val="00D66F3F"/>
    <w:rsid w:val="00D66FA8"/>
    <w:rsid w:val="00D67AA4"/>
    <w:rsid w:val="00D67BB7"/>
    <w:rsid w:val="00D67D26"/>
    <w:rsid w:val="00D67DCC"/>
    <w:rsid w:val="00D67F4C"/>
    <w:rsid w:val="00D7028D"/>
    <w:rsid w:val="00D703A7"/>
    <w:rsid w:val="00D704A7"/>
    <w:rsid w:val="00D705DF"/>
    <w:rsid w:val="00D70654"/>
    <w:rsid w:val="00D70728"/>
    <w:rsid w:val="00D708D1"/>
    <w:rsid w:val="00D70BAC"/>
    <w:rsid w:val="00D70CC3"/>
    <w:rsid w:val="00D70D25"/>
    <w:rsid w:val="00D70E34"/>
    <w:rsid w:val="00D7107F"/>
    <w:rsid w:val="00D71596"/>
    <w:rsid w:val="00D715C4"/>
    <w:rsid w:val="00D71775"/>
    <w:rsid w:val="00D71A5E"/>
    <w:rsid w:val="00D71D81"/>
    <w:rsid w:val="00D71DCA"/>
    <w:rsid w:val="00D71DF9"/>
    <w:rsid w:val="00D71E92"/>
    <w:rsid w:val="00D71FFE"/>
    <w:rsid w:val="00D7215C"/>
    <w:rsid w:val="00D7235A"/>
    <w:rsid w:val="00D72C55"/>
    <w:rsid w:val="00D7315F"/>
    <w:rsid w:val="00D736FE"/>
    <w:rsid w:val="00D737E4"/>
    <w:rsid w:val="00D7382F"/>
    <w:rsid w:val="00D73919"/>
    <w:rsid w:val="00D73AA6"/>
    <w:rsid w:val="00D73AA7"/>
    <w:rsid w:val="00D73BB0"/>
    <w:rsid w:val="00D73C4A"/>
    <w:rsid w:val="00D73D6A"/>
    <w:rsid w:val="00D73DF4"/>
    <w:rsid w:val="00D73E9C"/>
    <w:rsid w:val="00D73FFA"/>
    <w:rsid w:val="00D741AC"/>
    <w:rsid w:val="00D74293"/>
    <w:rsid w:val="00D7447F"/>
    <w:rsid w:val="00D74696"/>
    <w:rsid w:val="00D748F8"/>
    <w:rsid w:val="00D74947"/>
    <w:rsid w:val="00D74C9C"/>
    <w:rsid w:val="00D74D12"/>
    <w:rsid w:val="00D74DDE"/>
    <w:rsid w:val="00D7501A"/>
    <w:rsid w:val="00D7531A"/>
    <w:rsid w:val="00D753CD"/>
    <w:rsid w:val="00D75428"/>
    <w:rsid w:val="00D75496"/>
    <w:rsid w:val="00D754B7"/>
    <w:rsid w:val="00D754E4"/>
    <w:rsid w:val="00D755AF"/>
    <w:rsid w:val="00D75703"/>
    <w:rsid w:val="00D757A0"/>
    <w:rsid w:val="00D75801"/>
    <w:rsid w:val="00D7595C"/>
    <w:rsid w:val="00D7597A"/>
    <w:rsid w:val="00D759A8"/>
    <w:rsid w:val="00D75A2C"/>
    <w:rsid w:val="00D75C0F"/>
    <w:rsid w:val="00D75C16"/>
    <w:rsid w:val="00D75E8F"/>
    <w:rsid w:val="00D75F31"/>
    <w:rsid w:val="00D75FF7"/>
    <w:rsid w:val="00D76003"/>
    <w:rsid w:val="00D760A3"/>
    <w:rsid w:val="00D76266"/>
    <w:rsid w:val="00D76564"/>
    <w:rsid w:val="00D765EB"/>
    <w:rsid w:val="00D766AC"/>
    <w:rsid w:val="00D767B5"/>
    <w:rsid w:val="00D76814"/>
    <w:rsid w:val="00D768DB"/>
    <w:rsid w:val="00D76BE4"/>
    <w:rsid w:val="00D76F0F"/>
    <w:rsid w:val="00D77348"/>
    <w:rsid w:val="00D77854"/>
    <w:rsid w:val="00D77A71"/>
    <w:rsid w:val="00D77BE0"/>
    <w:rsid w:val="00D77FF4"/>
    <w:rsid w:val="00D801E1"/>
    <w:rsid w:val="00D80460"/>
    <w:rsid w:val="00D804C2"/>
    <w:rsid w:val="00D8061B"/>
    <w:rsid w:val="00D80701"/>
    <w:rsid w:val="00D8087D"/>
    <w:rsid w:val="00D80947"/>
    <w:rsid w:val="00D80CCD"/>
    <w:rsid w:val="00D810C8"/>
    <w:rsid w:val="00D81137"/>
    <w:rsid w:val="00D81479"/>
    <w:rsid w:val="00D81577"/>
    <w:rsid w:val="00D817AA"/>
    <w:rsid w:val="00D819BC"/>
    <w:rsid w:val="00D81BD6"/>
    <w:rsid w:val="00D81C99"/>
    <w:rsid w:val="00D81ED9"/>
    <w:rsid w:val="00D820EA"/>
    <w:rsid w:val="00D82114"/>
    <w:rsid w:val="00D8222B"/>
    <w:rsid w:val="00D822DB"/>
    <w:rsid w:val="00D825D8"/>
    <w:rsid w:val="00D8278B"/>
    <w:rsid w:val="00D82A43"/>
    <w:rsid w:val="00D82B1A"/>
    <w:rsid w:val="00D82B5A"/>
    <w:rsid w:val="00D83419"/>
    <w:rsid w:val="00D83483"/>
    <w:rsid w:val="00D83680"/>
    <w:rsid w:val="00D837BF"/>
    <w:rsid w:val="00D837E5"/>
    <w:rsid w:val="00D83BB5"/>
    <w:rsid w:val="00D83C55"/>
    <w:rsid w:val="00D83E40"/>
    <w:rsid w:val="00D83F81"/>
    <w:rsid w:val="00D8432F"/>
    <w:rsid w:val="00D8442F"/>
    <w:rsid w:val="00D8451C"/>
    <w:rsid w:val="00D8459A"/>
    <w:rsid w:val="00D847A0"/>
    <w:rsid w:val="00D84CAB"/>
    <w:rsid w:val="00D8500D"/>
    <w:rsid w:val="00D850D1"/>
    <w:rsid w:val="00D8521A"/>
    <w:rsid w:val="00D853F0"/>
    <w:rsid w:val="00D85474"/>
    <w:rsid w:val="00D855BE"/>
    <w:rsid w:val="00D856E0"/>
    <w:rsid w:val="00D859B0"/>
    <w:rsid w:val="00D85A6E"/>
    <w:rsid w:val="00D85BDD"/>
    <w:rsid w:val="00D85BF8"/>
    <w:rsid w:val="00D85DBB"/>
    <w:rsid w:val="00D85FD9"/>
    <w:rsid w:val="00D860D1"/>
    <w:rsid w:val="00D867D6"/>
    <w:rsid w:val="00D868D2"/>
    <w:rsid w:val="00D86B7C"/>
    <w:rsid w:val="00D86EDC"/>
    <w:rsid w:val="00D87029"/>
    <w:rsid w:val="00D8738B"/>
    <w:rsid w:val="00D87716"/>
    <w:rsid w:val="00D87960"/>
    <w:rsid w:val="00D87C91"/>
    <w:rsid w:val="00D87DF7"/>
    <w:rsid w:val="00D87F42"/>
    <w:rsid w:val="00D901CB"/>
    <w:rsid w:val="00D9054B"/>
    <w:rsid w:val="00D9070E"/>
    <w:rsid w:val="00D907EB"/>
    <w:rsid w:val="00D90948"/>
    <w:rsid w:val="00D909FF"/>
    <w:rsid w:val="00D90A65"/>
    <w:rsid w:val="00D91008"/>
    <w:rsid w:val="00D9102E"/>
    <w:rsid w:val="00D912A1"/>
    <w:rsid w:val="00D915F3"/>
    <w:rsid w:val="00D9163D"/>
    <w:rsid w:val="00D91778"/>
    <w:rsid w:val="00D917D0"/>
    <w:rsid w:val="00D917D2"/>
    <w:rsid w:val="00D92666"/>
    <w:rsid w:val="00D9280C"/>
    <w:rsid w:val="00D92864"/>
    <w:rsid w:val="00D9289D"/>
    <w:rsid w:val="00D9293E"/>
    <w:rsid w:val="00D92A37"/>
    <w:rsid w:val="00D92A9D"/>
    <w:rsid w:val="00D92CC7"/>
    <w:rsid w:val="00D9301D"/>
    <w:rsid w:val="00D93414"/>
    <w:rsid w:val="00D938A5"/>
    <w:rsid w:val="00D93BDF"/>
    <w:rsid w:val="00D94100"/>
    <w:rsid w:val="00D941A5"/>
    <w:rsid w:val="00D943C0"/>
    <w:rsid w:val="00D944F5"/>
    <w:rsid w:val="00D94A70"/>
    <w:rsid w:val="00D94B76"/>
    <w:rsid w:val="00D94D1A"/>
    <w:rsid w:val="00D9502F"/>
    <w:rsid w:val="00D9515C"/>
    <w:rsid w:val="00D95572"/>
    <w:rsid w:val="00D955D6"/>
    <w:rsid w:val="00D9567C"/>
    <w:rsid w:val="00D958D3"/>
    <w:rsid w:val="00D959CE"/>
    <w:rsid w:val="00D959E0"/>
    <w:rsid w:val="00D95AFC"/>
    <w:rsid w:val="00D95B19"/>
    <w:rsid w:val="00D95CB9"/>
    <w:rsid w:val="00D95E9B"/>
    <w:rsid w:val="00D95FA1"/>
    <w:rsid w:val="00D95FA8"/>
    <w:rsid w:val="00D96138"/>
    <w:rsid w:val="00D96205"/>
    <w:rsid w:val="00D9628D"/>
    <w:rsid w:val="00D9652F"/>
    <w:rsid w:val="00D96568"/>
    <w:rsid w:val="00D9680B"/>
    <w:rsid w:val="00D9694B"/>
    <w:rsid w:val="00D96A07"/>
    <w:rsid w:val="00D96B49"/>
    <w:rsid w:val="00D96BEF"/>
    <w:rsid w:val="00D96C33"/>
    <w:rsid w:val="00D96CC1"/>
    <w:rsid w:val="00D96EC7"/>
    <w:rsid w:val="00D96F99"/>
    <w:rsid w:val="00D970A0"/>
    <w:rsid w:val="00D97138"/>
    <w:rsid w:val="00D97284"/>
    <w:rsid w:val="00D972D1"/>
    <w:rsid w:val="00D972F6"/>
    <w:rsid w:val="00D97C22"/>
    <w:rsid w:val="00DA07FF"/>
    <w:rsid w:val="00DA0AAC"/>
    <w:rsid w:val="00DA0ADB"/>
    <w:rsid w:val="00DA0D8F"/>
    <w:rsid w:val="00DA0E88"/>
    <w:rsid w:val="00DA106A"/>
    <w:rsid w:val="00DA126B"/>
    <w:rsid w:val="00DA12C0"/>
    <w:rsid w:val="00DA15F9"/>
    <w:rsid w:val="00DA1808"/>
    <w:rsid w:val="00DA18BB"/>
    <w:rsid w:val="00DA1ABB"/>
    <w:rsid w:val="00DA1D8A"/>
    <w:rsid w:val="00DA1DEE"/>
    <w:rsid w:val="00DA1E5D"/>
    <w:rsid w:val="00DA201D"/>
    <w:rsid w:val="00DA2136"/>
    <w:rsid w:val="00DA2157"/>
    <w:rsid w:val="00DA220A"/>
    <w:rsid w:val="00DA222F"/>
    <w:rsid w:val="00DA2592"/>
    <w:rsid w:val="00DA25E4"/>
    <w:rsid w:val="00DA2915"/>
    <w:rsid w:val="00DA2970"/>
    <w:rsid w:val="00DA29BD"/>
    <w:rsid w:val="00DA2C43"/>
    <w:rsid w:val="00DA3091"/>
    <w:rsid w:val="00DA30E3"/>
    <w:rsid w:val="00DA30F7"/>
    <w:rsid w:val="00DA31D9"/>
    <w:rsid w:val="00DA32CE"/>
    <w:rsid w:val="00DA36E8"/>
    <w:rsid w:val="00DA3839"/>
    <w:rsid w:val="00DA3F2C"/>
    <w:rsid w:val="00DA407C"/>
    <w:rsid w:val="00DA41C9"/>
    <w:rsid w:val="00DA429E"/>
    <w:rsid w:val="00DA4327"/>
    <w:rsid w:val="00DA43A8"/>
    <w:rsid w:val="00DA43F3"/>
    <w:rsid w:val="00DA441A"/>
    <w:rsid w:val="00DA450F"/>
    <w:rsid w:val="00DA472A"/>
    <w:rsid w:val="00DA4AB5"/>
    <w:rsid w:val="00DA4BA9"/>
    <w:rsid w:val="00DA4C46"/>
    <w:rsid w:val="00DA4D24"/>
    <w:rsid w:val="00DA5000"/>
    <w:rsid w:val="00DA5283"/>
    <w:rsid w:val="00DA5453"/>
    <w:rsid w:val="00DA54F0"/>
    <w:rsid w:val="00DA587D"/>
    <w:rsid w:val="00DA58A5"/>
    <w:rsid w:val="00DA594B"/>
    <w:rsid w:val="00DA59C3"/>
    <w:rsid w:val="00DA5B74"/>
    <w:rsid w:val="00DA5C40"/>
    <w:rsid w:val="00DA5D16"/>
    <w:rsid w:val="00DA5E0D"/>
    <w:rsid w:val="00DA5E1E"/>
    <w:rsid w:val="00DA5FFD"/>
    <w:rsid w:val="00DA6385"/>
    <w:rsid w:val="00DA6606"/>
    <w:rsid w:val="00DA7248"/>
    <w:rsid w:val="00DA72AE"/>
    <w:rsid w:val="00DA73DE"/>
    <w:rsid w:val="00DA7893"/>
    <w:rsid w:val="00DA7B5D"/>
    <w:rsid w:val="00DB0010"/>
    <w:rsid w:val="00DB00CA"/>
    <w:rsid w:val="00DB03C7"/>
    <w:rsid w:val="00DB04A4"/>
    <w:rsid w:val="00DB09D4"/>
    <w:rsid w:val="00DB0B56"/>
    <w:rsid w:val="00DB0D42"/>
    <w:rsid w:val="00DB0DAF"/>
    <w:rsid w:val="00DB1BC7"/>
    <w:rsid w:val="00DB1CD4"/>
    <w:rsid w:val="00DB1CE7"/>
    <w:rsid w:val="00DB22F5"/>
    <w:rsid w:val="00DB2565"/>
    <w:rsid w:val="00DB277C"/>
    <w:rsid w:val="00DB2894"/>
    <w:rsid w:val="00DB2C4E"/>
    <w:rsid w:val="00DB2FEC"/>
    <w:rsid w:val="00DB3282"/>
    <w:rsid w:val="00DB35F1"/>
    <w:rsid w:val="00DB3722"/>
    <w:rsid w:val="00DB37F9"/>
    <w:rsid w:val="00DB3B70"/>
    <w:rsid w:val="00DB3D0E"/>
    <w:rsid w:val="00DB400E"/>
    <w:rsid w:val="00DB4163"/>
    <w:rsid w:val="00DB464E"/>
    <w:rsid w:val="00DB4705"/>
    <w:rsid w:val="00DB4A7F"/>
    <w:rsid w:val="00DB4B1D"/>
    <w:rsid w:val="00DB4C1C"/>
    <w:rsid w:val="00DB4C4A"/>
    <w:rsid w:val="00DB4DE5"/>
    <w:rsid w:val="00DB5173"/>
    <w:rsid w:val="00DB5419"/>
    <w:rsid w:val="00DB5451"/>
    <w:rsid w:val="00DB5A19"/>
    <w:rsid w:val="00DB630C"/>
    <w:rsid w:val="00DB631B"/>
    <w:rsid w:val="00DB63DC"/>
    <w:rsid w:val="00DB64BF"/>
    <w:rsid w:val="00DB65B2"/>
    <w:rsid w:val="00DB66C3"/>
    <w:rsid w:val="00DB66C5"/>
    <w:rsid w:val="00DB66FE"/>
    <w:rsid w:val="00DB679A"/>
    <w:rsid w:val="00DB67C1"/>
    <w:rsid w:val="00DB689B"/>
    <w:rsid w:val="00DB69F3"/>
    <w:rsid w:val="00DB6B4F"/>
    <w:rsid w:val="00DB70E4"/>
    <w:rsid w:val="00DB71C4"/>
    <w:rsid w:val="00DB7696"/>
    <w:rsid w:val="00DB7A41"/>
    <w:rsid w:val="00DB7A56"/>
    <w:rsid w:val="00DB7A80"/>
    <w:rsid w:val="00DB7F3B"/>
    <w:rsid w:val="00DB7F79"/>
    <w:rsid w:val="00DC0034"/>
    <w:rsid w:val="00DC005F"/>
    <w:rsid w:val="00DC0288"/>
    <w:rsid w:val="00DC03B5"/>
    <w:rsid w:val="00DC04F7"/>
    <w:rsid w:val="00DC050A"/>
    <w:rsid w:val="00DC053C"/>
    <w:rsid w:val="00DC0579"/>
    <w:rsid w:val="00DC07B3"/>
    <w:rsid w:val="00DC0B4E"/>
    <w:rsid w:val="00DC1A10"/>
    <w:rsid w:val="00DC1B76"/>
    <w:rsid w:val="00DC1CB8"/>
    <w:rsid w:val="00DC1D65"/>
    <w:rsid w:val="00DC1E57"/>
    <w:rsid w:val="00DC208A"/>
    <w:rsid w:val="00DC25E9"/>
    <w:rsid w:val="00DC268F"/>
    <w:rsid w:val="00DC2D08"/>
    <w:rsid w:val="00DC2FC4"/>
    <w:rsid w:val="00DC3053"/>
    <w:rsid w:val="00DC369D"/>
    <w:rsid w:val="00DC3741"/>
    <w:rsid w:val="00DC3B69"/>
    <w:rsid w:val="00DC3E38"/>
    <w:rsid w:val="00DC3E69"/>
    <w:rsid w:val="00DC4207"/>
    <w:rsid w:val="00DC4667"/>
    <w:rsid w:val="00DC482A"/>
    <w:rsid w:val="00DC49B5"/>
    <w:rsid w:val="00DC4A36"/>
    <w:rsid w:val="00DC4BFA"/>
    <w:rsid w:val="00DC4CDB"/>
    <w:rsid w:val="00DC4D6B"/>
    <w:rsid w:val="00DC4ED0"/>
    <w:rsid w:val="00DC4FC7"/>
    <w:rsid w:val="00DC52E6"/>
    <w:rsid w:val="00DC54CA"/>
    <w:rsid w:val="00DC55BF"/>
    <w:rsid w:val="00DC56F2"/>
    <w:rsid w:val="00DC58BA"/>
    <w:rsid w:val="00DC58F8"/>
    <w:rsid w:val="00DC5951"/>
    <w:rsid w:val="00DC5C3F"/>
    <w:rsid w:val="00DC5CB9"/>
    <w:rsid w:val="00DC5DED"/>
    <w:rsid w:val="00DC6113"/>
    <w:rsid w:val="00DC6332"/>
    <w:rsid w:val="00DC65A0"/>
    <w:rsid w:val="00DC6915"/>
    <w:rsid w:val="00DC6ADD"/>
    <w:rsid w:val="00DC6BF8"/>
    <w:rsid w:val="00DC6CE4"/>
    <w:rsid w:val="00DC6F13"/>
    <w:rsid w:val="00DC70C5"/>
    <w:rsid w:val="00DC70DA"/>
    <w:rsid w:val="00DC7185"/>
    <w:rsid w:val="00DC7656"/>
    <w:rsid w:val="00DC7726"/>
    <w:rsid w:val="00DC7754"/>
    <w:rsid w:val="00DC7813"/>
    <w:rsid w:val="00DC7889"/>
    <w:rsid w:val="00DC7905"/>
    <w:rsid w:val="00DC7CAD"/>
    <w:rsid w:val="00DC7EE0"/>
    <w:rsid w:val="00DD01C0"/>
    <w:rsid w:val="00DD032B"/>
    <w:rsid w:val="00DD058A"/>
    <w:rsid w:val="00DD06CE"/>
    <w:rsid w:val="00DD06D8"/>
    <w:rsid w:val="00DD0D4A"/>
    <w:rsid w:val="00DD0DF8"/>
    <w:rsid w:val="00DD0E43"/>
    <w:rsid w:val="00DD0ED3"/>
    <w:rsid w:val="00DD0F7D"/>
    <w:rsid w:val="00DD0FB8"/>
    <w:rsid w:val="00DD101A"/>
    <w:rsid w:val="00DD128E"/>
    <w:rsid w:val="00DD13C6"/>
    <w:rsid w:val="00DD14A7"/>
    <w:rsid w:val="00DD1697"/>
    <w:rsid w:val="00DD1865"/>
    <w:rsid w:val="00DD1880"/>
    <w:rsid w:val="00DD1E67"/>
    <w:rsid w:val="00DD2186"/>
    <w:rsid w:val="00DD270B"/>
    <w:rsid w:val="00DD273A"/>
    <w:rsid w:val="00DD294C"/>
    <w:rsid w:val="00DD2B2C"/>
    <w:rsid w:val="00DD2CA8"/>
    <w:rsid w:val="00DD2DEE"/>
    <w:rsid w:val="00DD3037"/>
    <w:rsid w:val="00DD31B3"/>
    <w:rsid w:val="00DD3235"/>
    <w:rsid w:val="00DD3372"/>
    <w:rsid w:val="00DD35A7"/>
    <w:rsid w:val="00DD387E"/>
    <w:rsid w:val="00DD3903"/>
    <w:rsid w:val="00DD39A7"/>
    <w:rsid w:val="00DD3AFA"/>
    <w:rsid w:val="00DD3C1E"/>
    <w:rsid w:val="00DD3C8A"/>
    <w:rsid w:val="00DD3DD8"/>
    <w:rsid w:val="00DD41AA"/>
    <w:rsid w:val="00DD43D3"/>
    <w:rsid w:val="00DD4408"/>
    <w:rsid w:val="00DD443B"/>
    <w:rsid w:val="00DD45BF"/>
    <w:rsid w:val="00DD45DE"/>
    <w:rsid w:val="00DD45F8"/>
    <w:rsid w:val="00DD4724"/>
    <w:rsid w:val="00DD48B5"/>
    <w:rsid w:val="00DD4BEC"/>
    <w:rsid w:val="00DD5419"/>
    <w:rsid w:val="00DD5642"/>
    <w:rsid w:val="00DD574E"/>
    <w:rsid w:val="00DD5933"/>
    <w:rsid w:val="00DD596B"/>
    <w:rsid w:val="00DD5C53"/>
    <w:rsid w:val="00DD5FEC"/>
    <w:rsid w:val="00DD61E4"/>
    <w:rsid w:val="00DD62F7"/>
    <w:rsid w:val="00DD6338"/>
    <w:rsid w:val="00DD642A"/>
    <w:rsid w:val="00DD6575"/>
    <w:rsid w:val="00DD698B"/>
    <w:rsid w:val="00DD6D5B"/>
    <w:rsid w:val="00DD700F"/>
    <w:rsid w:val="00DD70C6"/>
    <w:rsid w:val="00DD7311"/>
    <w:rsid w:val="00DD735B"/>
    <w:rsid w:val="00DD7738"/>
    <w:rsid w:val="00DD7765"/>
    <w:rsid w:val="00DD7A08"/>
    <w:rsid w:val="00DD7DFF"/>
    <w:rsid w:val="00DE00CF"/>
    <w:rsid w:val="00DE05DC"/>
    <w:rsid w:val="00DE05FA"/>
    <w:rsid w:val="00DE06D3"/>
    <w:rsid w:val="00DE0924"/>
    <w:rsid w:val="00DE0B34"/>
    <w:rsid w:val="00DE0D48"/>
    <w:rsid w:val="00DE0F1F"/>
    <w:rsid w:val="00DE12F4"/>
    <w:rsid w:val="00DE13B7"/>
    <w:rsid w:val="00DE142C"/>
    <w:rsid w:val="00DE158E"/>
    <w:rsid w:val="00DE162B"/>
    <w:rsid w:val="00DE1810"/>
    <w:rsid w:val="00DE189B"/>
    <w:rsid w:val="00DE1C26"/>
    <w:rsid w:val="00DE203F"/>
    <w:rsid w:val="00DE2354"/>
    <w:rsid w:val="00DE2469"/>
    <w:rsid w:val="00DE2800"/>
    <w:rsid w:val="00DE2B2F"/>
    <w:rsid w:val="00DE2C2C"/>
    <w:rsid w:val="00DE2E5A"/>
    <w:rsid w:val="00DE2F57"/>
    <w:rsid w:val="00DE2F64"/>
    <w:rsid w:val="00DE32F6"/>
    <w:rsid w:val="00DE35E7"/>
    <w:rsid w:val="00DE364D"/>
    <w:rsid w:val="00DE378B"/>
    <w:rsid w:val="00DE380D"/>
    <w:rsid w:val="00DE3A22"/>
    <w:rsid w:val="00DE3A42"/>
    <w:rsid w:val="00DE3A8D"/>
    <w:rsid w:val="00DE3AE2"/>
    <w:rsid w:val="00DE3AEA"/>
    <w:rsid w:val="00DE3BCC"/>
    <w:rsid w:val="00DE3C6B"/>
    <w:rsid w:val="00DE3DDF"/>
    <w:rsid w:val="00DE3E2A"/>
    <w:rsid w:val="00DE3E51"/>
    <w:rsid w:val="00DE40EE"/>
    <w:rsid w:val="00DE4502"/>
    <w:rsid w:val="00DE4607"/>
    <w:rsid w:val="00DE482A"/>
    <w:rsid w:val="00DE4BFC"/>
    <w:rsid w:val="00DE502C"/>
    <w:rsid w:val="00DE5047"/>
    <w:rsid w:val="00DE5183"/>
    <w:rsid w:val="00DE5249"/>
    <w:rsid w:val="00DE597F"/>
    <w:rsid w:val="00DE5ED4"/>
    <w:rsid w:val="00DE5F1D"/>
    <w:rsid w:val="00DE6205"/>
    <w:rsid w:val="00DE6207"/>
    <w:rsid w:val="00DE6387"/>
    <w:rsid w:val="00DE6503"/>
    <w:rsid w:val="00DE65BF"/>
    <w:rsid w:val="00DE695B"/>
    <w:rsid w:val="00DE6E2E"/>
    <w:rsid w:val="00DE6F61"/>
    <w:rsid w:val="00DE6FB6"/>
    <w:rsid w:val="00DE711D"/>
    <w:rsid w:val="00DE7725"/>
    <w:rsid w:val="00DE77B8"/>
    <w:rsid w:val="00DE7A22"/>
    <w:rsid w:val="00DE7C5B"/>
    <w:rsid w:val="00DE7D08"/>
    <w:rsid w:val="00DE7D5A"/>
    <w:rsid w:val="00DE7E35"/>
    <w:rsid w:val="00DF01AE"/>
    <w:rsid w:val="00DF0401"/>
    <w:rsid w:val="00DF068A"/>
    <w:rsid w:val="00DF06BD"/>
    <w:rsid w:val="00DF0A24"/>
    <w:rsid w:val="00DF0D72"/>
    <w:rsid w:val="00DF0DDD"/>
    <w:rsid w:val="00DF1073"/>
    <w:rsid w:val="00DF13E6"/>
    <w:rsid w:val="00DF14CC"/>
    <w:rsid w:val="00DF14E6"/>
    <w:rsid w:val="00DF14EB"/>
    <w:rsid w:val="00DF1517"/>
    <w:rsid w:val="00DF15D0"/>
    <w:rsid w:val="00DF18ED"/>
    <w:rsid w:val="00DF19FA"/>
    <w:rsid w:val="00DF19FD"/>
    <w:rsid w:val="00DF1C13"/>
    <w:rsid w:val="00DF1E23"/>
    <w:rsid w:val="00DF20F5"/>
    <w:rsid w:val="00DF215A"/>
    <w:rsid w:val="00DF21CA"/>
    <w:rsid w:val="00DF2479"/>
    <w:rsid w:val="00DF2660"/>
    <w:rsid w:val="00DF281F"/>
    <w:rsid w:val="00DF2C8A"/>
    <w:rsid w:val="00DF2EDE"/>
    <w:rsid w:val="00DF2FA7"/>
    <w:rsid w:val="00DF3070"/>
    <w:rsid w:val="00DF336F"/>
    <w:rsid w:val="00DF37FB"/>
    <w:rsid w:val="00DF3948"/>
    <w:rsid w:val="00DF39AC"/>
    <w:rsid w:val="00DF3B49"/>
    <w:rsid w:val="00DF3BC6"/>
    <w:rsid w:val="00DF3BEA"/>
    <w:rsid w:val="00DF3C5A"/>
    <w:rsid w:val="00DF3D2D"/>
    <w:rsid w:val="00DF400D"/>
    <w:rsid w:val="00DF41EC"/>
    <w:rsid w:val="00DF4264"/>
    <w:rsid w:val="00DF42F0"/>
    <w:rsid w:val="00DF432C"/>
    <w:rsid w:val="00DF45B9"/>
    <w:rsid w:val="00DF46C8"/>
    <w:rsid w:val="00DF49E1"/>
    <w:rsid w:val="00DF4A6E"/>
    <w:rsid w:val="00DF4B32"/>
    <w:rsid w:val="00DF4CB8"/>
    <w:rsid w:val="00DF4CE1"/>
    <w:rsid w:val="00DF539B"/>
    <w:rsid w:val="00DF5759"/>
    <w:rsid w:val="00DF5874"/>
    <w:rsid w:val="00DF58E7"/>
    <w:rsid w:val="00DF5BFF"/>
    <w:rsid w:val="00DF5D04"/>
    <w:rsid w:val="00DF5DBC"/>
    <w:rsid w:val="00DF5DC4"/>
    <w:rsid w:val="00DF5EA3"/>
    <w:rsid w:val="00DF6165"/>
    <w:rsid w:val="00DF6182"/>
    <w:rsid w:val="00DF627A"/>
    <w:rsid w:val="00DF62D8"/>
    <w:rsid w:val="00DF6AA1"/>
    <w:rsid w:val="00DF6E3C"/>
    <w:rsid w:val="00DF6EB6"/>
    <w:rsid w:val="00DF6F1C"/>
    <w:rsid w:val="00DF7017"/>
    <w:rsid w:val="00DF74F5"/>
    <w:rsid w:val="00DF7557"/>
    <w:rsid w:val="00DF7845"/>
    <w:rsid w:val="00DF7927"/>
    <w:rsid w:val="00DF7A99"/>
    <w:rsid w:val="00DF7ABC"/>
    <w:rsid w:val="00DF7AD1"/>
    <w:rsid w:val="00DF7C9F"/>
    <w:rsid w:val="00DF7F05"/>
    <w:rsid w:val="00DF7FEA"/>
    <w:rsid w:val="00DF7FFD"/>
    <w:rsid w:val="00DFF8FF"/>
    <w:rsid w:val="00E003A5"/>
    <w:rsid w:val="00E004BB"/>
    <w:rsid w:val="00E0062C"/>
    <w:rsid w:val="00E0085D"/>
    <w:rsid w:val="00E00911"/>
    <w:rsid w:val="00E00B9B"/>
    <w:rsid w:val="00E00FD2"/>
    <w:rsid w:val="00E0138E"/>
    <w:rsid w:val="00E014C9"/>
    <w:rsid w:val="00E0161F"/>
    <w:rsid w:val="00E01652"/>
    <w:rsid w:val="00E01831"/>
    <w:rsid w:val="00E01833"/>
    <w:rsid w:val="00E019B4"/>
    <w:rsid w:val="00E019D8"/>
    <w:rsid w:val="00E019ED"/>
    <w:rsid w:val="00E01E67"/>
    <w:rsid w:val="00E0212C"/>
    <w:rsid w:val="00E021DC"/>
    <w:rsid w:val="00E02374"/>
    <w:rsid w:val="00E02567"/>
    <w:rsid w:val="00E02758"/>
    <w:rsid w:val="00E027B7"/>
    <w:rsid w:val="00E02B6B"/>
    <w:rsid w:val="00E02BDE"/>
    <w:rsid w:val="00E02E7B"/>
    <w:rsid w:val="00E02E7C"/>
    <w:rsid w:val="00E02F83"/>
    <w:rsid w:val="00E02FE1"/>
    <w:rsid w:val="00E0320C"/>
    <w:rsid w:val="00E033D1"/>
    <w:rsid w:val="00E034D9"/>
    <w:rsid w:val="00E0367B"/>
    <w:rsid w:val="00E03EE8"/>
    <w:rsid w:val="00E04154"/>
    <w:rsid w:val="00E04598"/>
    <w:rsid w:val="00E04666"/>
    <w:rsid w:val="00E04708"/>
    <w:rsid w:val="00E04D6F"/>
    <w:rsid w:val="00E04DED"/>
    <w:rsid w:val="00E04FA2"/>
    <w:rsid w:val="00E0502D"/>
    <w:rsid w:val="00E0523E"/>
    <w:rsid w:val="00E05502"/>
    <w:rsid w:val="00E05566"/>
    <w:rsid w:val="00E05622"/>
    <w:rsid w:val="00E056F8"/>
    <w:rsid w:val="00E05FF2"/>
    <w:rsid w:val="00E06113"/>
    <w:rsid w:val="00E0628A"/>
    <w:rsid w:val="00E06583"/>
    <w:rsid w:val="00E06758"/>
    <w:rsid w:val="00E0680A"/>
    <w:rsid w:val="00E06B79"/>
    <w:rsid w:val="00E06CBC"/>
    <w:rsid w:val="00E06EAE"/>
    <w:rsid w:val="00E06EFD"/>
    <w:rsid w:val="00E06F3D"/>
    <w:rsid w:val="00E06FC2"/>
    <w:rsid w:val="00E071BD"/>
    <w:rsid w:val="00E072B0"/>
    <w:rsid w:val="00E0772F"/>
    <w:rsid w:val="00E0788E"/>
    <w:rsid w:val="00E07B9D"/>
    <w:rsid w:val="00E07BF0"/>
    <w:rsid w:val="00E07CD2"/>
    <w:rsid w:val="00E07E7A"/>
    <w:rsid w:val="00E10B52"/>
    <w:rsid w:val="00E10EF1"/>
    <w:rsid w:val="00E11028"/>
    <w:rsid w:val="00E115DD"/>
    <w:rsid w:val="00E11876"/>
    <w:rsid w:val="00E11A66"/>
    <w:rsid w:val="00E11ACA"/>
    <w:rsid w:val="00E11D12"/>
    <w:rsid w:val="00E11D42"/>
    <w:rsid w:val="00E11D54"/>
    <w:rsid w:val="00E120F0"/>
    <w:rsid w:val="00E1212D"/>
    <w:rsid w:val="00E123F5"/>
    <w:rsid w:val="00E130AE"/>
    <w:rsid w:val="00E13534"/>
    <w:rsid w:val="00E136D1"/>
    <w:rsid w:val="00E13755"/>
    <w:rsid w:val="00E13BBA"/>
    <w:rsid w:val="00E13F8C"/>
    <w:rsid w:val="00E140EA"/>
    <w:rsid w:val="00E14170"/>
    <w:rsid w:val="00E143B7"/>
    <w:rsid w:val="00E144DA"/>
    <w:rsid w:val="00E145DD"/>
    <w:rsid w:val="00E149A8"/>
    <w:rsid w:val="00E14CE7"/>
    <w:rsid w:val="00E14D0C"/>
    <w:rsid w:val="00E14E13"/>
    <w:rsid w:val="00E14F67"/>
    <w:rsid w:val="00E151FC"/>
    <w:rsid w:val="00E1546B"/>
    <w:rsid w:val="00E15500"/>
    <w:rsid w:val="00E1574D"/>
    <w:rsid w:val="00E158D0"/>
    <w:rsid w:val="00E159E3"/>
    <w:rsid w:val="00E15B56"/>
    <w:rsid w:val="00E15BC3"/>
    <w:rsid w:val="00E15E0D"/>
    <w:rsid w:val="00E16283"/>
    <w:rsid w:val="00E16301"/>
    <w:rsid w:val="00E16339"/>
    <w:rsid w:val="00E165E5"/>
    <w:rsid w:val="00E16754"/>
    <w:rsid w:val="00E167B9"/>
    <w:rsid w:val="00E1680A"/>
    <w:rsid w:val="00E16B66"/>
    <w:rsid w:val="00E16BC2"/>
    <w:rsid w:val="00E16D69"/>
    <w:rsid w:val="00E16E75"/>
    <w:rsid w:val="00E1725D"/>
    <w:rsid w:val="00E17262"/>
    <w:rsid w:val="00E1766E"/>
    <w:rsid w:val="00E17B39"/>
    <w:rsid w:val="00E17B3E"/>
    <w:rsid w:val="00E17B41"/>
    <w:rsid w:val="00E17CDC"/>
    <w:rsid w:val="00E17E76"/>
    <w:rsid w:val="00E17EF8"/>
    <w:rsid w:val="00E17F08"/>
    <w:rsid w:val="00E17F58"/>
    <w:rsid w:val="00E20038"/>
    <w:rsid w:val="00E20298"/>
    <w:rsid w:val="00E202E2"/>
    <w:rsid w:val="00E203A1"/>
    <w:rsid w:val="00E203F6"/>
    <w:rsid w:val="00E20536"/>
    <w:rsid w:val="00E205CC"/>
    <w:rsid w:val="00E20A21"/>
    <w:rsid w:val="00E20C81"/>
    <w:rsid w:val="00E20CCB"/>
    <w:rsid w:val="00E2174C"/>
    <w:rsid w:val="00E21754"/>
    <w:rsid w:val="00E217A6"/>
    <w:rsid w:val="00E2199F"/>
    <w:rsid w:val="00E21BF6"/>
    <w:rsid w:val="00E21CC2"/>
    <w:rsid w:val="00E21D56"/>
    <w:rsid w:val="00E21FA7"/>
    <w:rsid w:val="00E2254B"/>
    <w:rsid w:val="00E227FC"/>
    <w:rsid w:val="00E2285E"/>
    <w:rsid w:val="00E228CD"/>
    <w:rsid w:val="00E22A7E"/>
    <w:rsid w:val="00E22AD4"/>
    <w:rsid w:val="00E22C10"/>
    <w:rsid w:val="00E22C71"/>
    <w:rsid w:val="00E22E9A"/>
    <w:rsid w:val="00E22F6A"/>
    <w:rsid w:val="00E22FE3"/>
    <w:rsid w:val="00E23144"/>
    <w:rsid w:val="00E231A2"/>
    <w:rsid w:val="00E23265"/>
    <w:rsid w:val="00E2336D"/>
    <w:rsid w:val="00E23604"/>
    <w:rsid w:val="00E23874"/>
    <w:rsid w:val="00E238D6"/>
    <w:rsid w:val="00E239C7"/>
    <w:rsid w:val="00E23B55"/>
    <w:rsid w:val="00E23CBB"/>
    <w:rsid w:val="00E23DA5"/>
    <w:rsid w:val="00E23F15"/>
    <w:rsid w:val="00E241BB"/>
    <w:rsid w:val="00E2428C"/>
    <w:rsid w:val="00E246A6"/>
    <w:rsid w:val="00E24892"/>
    <w:rsid w:val="00E248E0"/>
    <w:rsid w:val="00E2494C"/>
    <w:rsid w:val="00E24A85"/>
    <w:rsid w:val="00E24B3A"/>
    <w:rsid w:val="00E24C2F"/>
    <w:rsid w:val="00E24C62"/>
    <w:rsid w:val="00E24C63"/>
    <w:rsid w:val="00E254FE"/>
    <w:rsid w:val="00E2551D"/>
    <w:rsid w:val="00E258B2"/>
    <w:rsid w:val="00E25AD0"/>
    <w:rsid w:val="00E25B89"/>
    <w:rsid w:val="00E25CCF"/>
    <w:rsid w:val="00E2620B"/>
    <w:rsid w:val="00E2633C"/>
    <w:rsid w:val="00E2677C"/>
    <w:rsid w:val="00E2689E"/>
    <w:rsid w:val="00E26A1F"/>
    <w:rsid w:val="00E26B22"/>
    <w:rsid w:val="00E26B60"/>
    <w:rsid w:val="00E26EF5"/>
    <w:rsid w:val="00E2704B"/>
    <w:rsid w:val="00E270A7"/>
    <w:rsid w:val="00E270C6"/>
    <w:rsid w:val="00E270E7"/>
    <w:rsid w:val="00E271CD"/>
    <w:rsid w:val="00E272DF"/>
    <w:rsid w:val="00E27495"/>
    <w:rsid w:val="00E276B1"/>
    <w:rsid w:val="00E27D5A"/>
    <w:rsid w:val="00E27E57"/>
    <w:rsid w:val="00E30092"/>
    <w:rsid w:val="00E3010E"/>
    <w:rsid w:val="00E302AA"/>
    <w:rsid w:val="00E30493"/>
    <w:rsid w:val="00E30730"/>
    <w:rsid w:val="00E30B7D"/>
    <w:rsid w:val="00E31086"/>
    <w:rsid w:val="00E311B7"/>
    <w:rsid w:val="00E31255"/>
    <w:rsid w:val="00E312C1"/>
    <w:rsid w:val="00E31504"/>
    <w:rsid w:val="00E315A2"/>
    <w:rsid w:val="00E316E5"/>
    <w:rsid w:val="00E31A7D"/>
    <w:rsid w:val="00E31ACF"/>
    <w:rsid w:val="00E31C67"/>
    <w:rsid w:val="00E31CED"/>
    <w:rsid w:val="00E31DFC"/>
    <w:rsid w:val="00E3221B"/>
    <w:rsid w:val="00E32234"/>
    <w:rsid w:val="00E322FD"/>
    <w:rsid w:val="00E3248B"/>
    <w:rsid w:val="00E326CD"/>
    <w:rsid w:val="00E329B0"/>
    <w:rsid w:val="00E32C68"/>
    <w:rsid w:val="00E32DD4"/>
    <w:rsid w:val="00E32ECE"/>
    <w:rsid w:val="00E32F3E"/>
    <w:rsid w:val="00E32F46"/>
    <w:rsid w:val="00E32F4D"/>
    <w:rsid w:val="00E33247"/>
    <w:rsid w:val="00E3328B"/>
    <w:rsid w:val="00E33A75"/>
    <w:rsid w:val="00E33BC1"/>
    <w:rsid w:val="00E33C96"/>
    <w:rsid w:val="00E33CC2"/>
    <w:rsid w:val="00E33DD7"/>
    <w:rsid w:val="00E33E36"/>
    <w:rsid w:val="00E33FEA"/>
    <w:rsid w:val="00E340C1"/>
    <w:rsid w:val="00E34356"/>
    <w:rsid w:val="00E343FD"/>
    <w:rsid w:val="00E34425"/>
    <w:rsid w:val="00E34563"/>
    <w:rsid w:val="00E34585"/>
    <w:rsid w:val="00E34622"/>
    <w:rsid w:val="00E3469E"/>
    <w:rsid w:val="00E347F1"/>
    <w:rsid w:val="00E3482E"/>
    <w:rsid w:val="00E34A1B"/>
    <w:rsid w:val="00E34BE7"/>
    <w:rsid w:val="00E34D80"/>
    <w:rsid w:val="00E34DB0"/>
    <w:rsid w:val="00E34EFB"/>
    <w:rsid w:val="00E34F3A"/>
    <w:rsid w:val="00E34F56"/>
    <w:rsid w:val="00E34FA8"/>
    <w:rsid w:val="00E35049"/>
    <w:rsid w:val="00E35276"/>
    <w:rsid w:val="00E35367"/>
    <w:rsid w:val="00E35385"/>
    <w:rsid w:val="00E355DF"/>
    <w:rsid w:val="00E356CA"/>
    <w:rsid w:val="00E35852"/>
    <w:rsid w:val="00E35B84"/>
    <w:rsid w:val="00E36075"/>
    <w:rsid w:val="00E361B7"/>
    <w:rsid w:val="00E3625B"/>
    <w:rsid w:val="00E363EB"/>
    <w:rsid w:val="00E36614"/>
    <w:rsid w:val="00E3663C"/>
    <w:rsid w:val="00E367CC"/>
    <w:rsid w:val="00E36B45"/>
    <w:rsid w:val="00E36BB7"/>
    <w:rsid w:val="00E36C1B"/>
    <w:rsid w:val="00E3713A"/>
    <w:rsid w:val="00E37177"/>
    <w:rsid w:val="00E372DE"/>
    <w:rsid w:val="00E37379"/>
    <w:rsid w:val="00E376C0"/>
    <w:rsid w:val="00E376D7"/>
    <w:rsid w:val="00E378FB"/>
    <w:rsid w:val="00E37ABA"/>
    <w:rsid w:val="00E37B59"/>
    <w:rsid w:val="00E37C39"/>
    <w:rsid w:val="00E37D70"/>
    <w:rsid w:val="00E37E07"/>
    <w:rsid w:val="00E404C6"/>
    <w:rsid w:val="00E40977"/>
    <w:rsid w:val="00E40D1C"/>
    <w:rsid w:val="00E40E3E"/>
    <w:rsid w:val="00E41052"/>
    <w:rsid w:val="00E41325"/>
    <w:rsid w:val="00E415ED"/>
    <w:rsid w:val="00E4165C"/>
    <w:rsid w:val="00E418AC"/>
    <w:rsid w:val="00E41DF1"/>
    <w:rsid w:val="00E42044"/>
    <w:rsid w:val="00E421DB"/>
    <w:rsid w:val="00E422A8"/>
    <w:rsid w:val="00E4250E"/>
    <w:rsid w:val="00E4251F"/>
    <w:rsid w:val="00E42828"/>
    <w:rsid w:val="00E42CB6"/>
    <w:rsid w:val="00E42CC0"/>
    <w:rsid w:val="00E43165"/>
    <w:rsid w:val="00E43355"/>
    <w:rsid w:val="00E4346E"/>
    <w:rsid w:val="00E4352E"/>
    <w:rsid w:val="00E435C4"/>
    <w:rsid w:val="00E4378D"/>
    <w:rsid w:val="00E437EB"/>
    <w:rsid w:val="00E438EC"/>
    <w:rsid w:val="00E43A17"/>
    <w:rsid w:val="00E43ABC"/>
    <w:rsid w:val="00E43FF7"/>
    <w:rsid w:val="00E442F3"/>
    <w:rsid w:val="00E44638"/>
    <w:rsid w:val="00E446E0"/>
    <w:rsid w:val="00E44872"/>
    <w:rsid w:val="00E44A9F"/>
    <w:rsid w:val="00E44EAF"/>
    <w:rsid w:val="00E450D0"/>
    <w:rsid w:val="00E458A8"/>
    <w:rsid w:val="00E4597A"/>
    <w:rsid w:val="00E45B2D"/>
    <w:rsid w:val="00E45C84"/>
    <w:rsid w:val="00E45CD3"/>
    <w:rsid w:val="00E45D41"/>
    <w:rsid w:val="00E45EDD"/>
    <w:rsid w:val="00E46003"/>
    <w:rsid w:val="00E46135"/>
    <w:rsid w:val="00E461E0"/>
    <w:rsid w:val="00E4624A"/>
    <w:rsid w:val="00E46274"/>
    <w:rsid w:val="00E4638B"/>
    <w:rsid w:val="00E463DE"/>
    <w:rsid w:val="00E465F3"/>
    <w:rsid w:val="00E46A30"/>
    <w:rsid w:val="00E46FEC"/>
    <w:rsid w:val="00E47172"/>
    <w:rsid w:val="00E47236"/>
    <w:rsid w:val="00E47286"/>
    <w:rsid w:val="00E47335"/>
    <w:rsid w:val="00E47353"/>
    <w:rsid w:val="00E47416"/>
    <w:rsid w:val="00E47463"/>
    <w:rsid w:val="00E477D5"/>
    <w:rsid w:val="00E478A6"/>
    <w:rsid w:val="00E47EEE"/>
    <w:rsid w:val="00E47FF5"/>
    <w:rsid w:val="00E5023B"/>
    <w:rsid w:val="00E502C4"/>
    <w:rsid w:val="00E5044B"/>
    <w:rsid w:val="00E50498"/>
    <w:rsid w:val="00E50541"/>
    <w:rsid w:val="00E506DA"/>
    <w:rsid w:val="00E50810"/>
    <w:rsid w:val="00E509C0"/>
    <w:rsid w:val="00E509D0"/>
    <w:rsid w:val="00E50CAE"/>
    <w:rsid w:val="00E50DBA"/>
    <w:rsid w:val="00E50F4B"/>
    <w:rsid w:val="00E51016"/>
    <w:rsid w:val="00E5108D"/>
    <w:rsid w:val="00E510F4"/>
    <w:rsid w:val="00E5123A"/>
    <w:rsid w:val="00E51642"/>
    <w:rsid w:val="00E51643"/>
    <w:rsid w:val="00E51786"/>
    <w:rsid w:val="00E51A52"/>
    <w:rsid w:val="00E51A99"/>
    <w:rsid w:val="00E51B87"/>
    <w:rsid w:val="00E51E13"/>
    <w:rsid w:val="00E52075"/>
    <w:rsid w:val="00E521C0"/>
    <w:rsid w:val="00E52551"/>
    <w:rsid w:val="00E52B3E"/>
    <w:rsid w:val="00E52D6A"/>
    <w:rsid w:val="00E52ED8"/>
    <w:rsid w:val="00E52F23"/>
    <w:rsid w:val="00E53217"/>
    <w:rsid w:val="00E53438"/>
    <w:rsid w:val="00E536D0"/>
    <w:rsid w:val="00E537E8"/>
    <w:rsid w:val="00E53818"/>
    <w:rsid w:val="00E53B1C"/>
    <w:rsid w:val="00E53B74"/>
    <w:rsid w:val="00E53C36"/>
    <w:rsid w:val="00E53D19"/>
    <w:rsid w:val="00E53D5B"/>
    <w:rsid w:val="00E53E02"/>
    <w:rsid w:val="00E53E15"/>
    <w:rsid w:val="00E53F36"/>
    <w:rsid w:val="00E54263"/>
    <w:rsid w:val="00E54908"/>
    <w:rsid w:val="00E54C21"/>
    <w:rsid w:val="00E54D9B"/>
    <w:rsid w:val="00E54F2D"/>
    <w:rsid w:val="00E55008"/>
    <w:rsid w:val="00E551E4"/>
    <w:rsid w:val="00E552D6"/>
    <w:rsid w:val="00E554F9"/>
    <w:rsid w:val="00E55619"/>
    <w:rsid w:val="00E556BF"/>
    <w:rsid w:val="00E5577E"/>
    <w:rsid w:val="00E55A94"/>
    <w:rsid w:val="00E55B20"/>
    <w:rsid w:val="00E55E11"/>
    <w:rsid w:val="00E55F56"/>
    <w:rsid w:val="00E5625E"/>
    <w:rsid w:val="00E563B3"/>
    <w:rsid w:val="00E56403"/>
    <w:rsid w:val="00E564C9"/>
    <w:rsid w:val="00E56542"/>
    <w:rsid w:val="00E567C2"/>
    <w:rsid w:val="00E567F1"/>
    <w:rsid w:val="00E56AA1"/>
    <w:rsid w:val="00E56BCD"/>
    <w:rsid w:val="00E56C73"/>
    <w:rsid w:val="00E56E6D"/>
    <w:rsid w:val="00E56F7C"/>
    <w:rsid w:val="00E5709D"/>
    <w:rsid w:val="00E57142"/>
    <w:rsid w:val="00E57281"/>
    <w:rsid w:val="00E572A1"/>
    <w:rsid w:val="00E572F7"/>
    <w:rsid w:val="00E574E2"/>
    <w:rsid w:val="00E5755D"/>
    <w:rsid w:val="00E57725"/>
    <w:rsid w:val="00E578FB"/>
    <w:rsid w:val="00E57A66"/>
    <w:rsid w:val="00E57B46"/>
    <w:rsid w:val="00E57DE3"/>
    <w:rsid w:val="00E57EC5"/>
    <w:rsid w:val="00E57F48"/>
    <w:rsid w:val="00E601B7"/>
    <w:rsid w:val="00E602D6"/>
    <w:rsid w:val="00E60421"/>
    <w:rsid w:val="00E605BB"/>
    <w:rsid w:val="00E6069E"/>
    <w:rsid w:val="00E60772"/>
    <w:rsid w:val="00E609A4"/>
    <w:rsid w:val="00E60B11"/>
    <w:rsid w:val="00E60D28"/>
    <w:rsid w:val="00E61327"/>
    <w:rsid w:val="00E61357"/>
    <w:rsid w:val="00E61594"/>
    <w:rsid w:val="00E615F6"/>
    <w:rsid w:val="00E617C7"/>
    <w:rsid w:val="00E61B0B"/>
    <w:rsid w:val="00E61B80"/>
    <w:rsid w:val="00E61F26"/>
    <w:rsid w:val="00E621A0"/>
    <w:rsid w:val="00E62522"/>
    <w:rsid w:val="00E6255C"/>
    <w:rsid w:val="00E626C6"/>
    <w:rsid w:val="00E62892"/>
    <w:rsid w:val="00E62FD1"/>
    <w:rsid w:val="00E62FF8"/>
    <w:rsid w:val="00E63091"/>
    <w:rsid w:val="00E631DF"/>
    <w:rsid w:val="00E63484"/>
    <w:rsid w:val="00E636E8"/>
    <w:rsid w:val="00E638CB"/>
    <w:rsid w:val="00E63953"/>
    <w:rsid w:val="00E639DF"/>
    <w:rsid w:val="00E63B3B"/>
    <w:rsid w:val="00E63C76"/>
    <w:rsid w:val="00E63EB9"/>
    <w:rsid w:val="00E6404F"/>
    <w:rsid w:val="00E644DB"/>
    <w:rsid w:val="00E64637"/>
    <w:rsid w:val="00E6470C"/>
    <w:rsid w:val="00E64825"/>
    <w:rsid w:val="00E64876"/>
    <w:rsid w:val="00E648CC"/>
    <w:rsid w:val="00E648F5"/>
    <w:rsid w:val="00E64949"/>
    <w:rsid w:val="00E64AD7"/>
    <w:rsid w:val="00E64B5C"/>
    <w:rsid w:val="00E64B7A"/>
    <w:rsid w:val="00E64FB2"/>
    <w:rsid w:val="00E64FE4"/>
    <w:rsid w:val="00E6523E"/>
    <w:rsid w:val="00E65445"/>
    <w:rsid w:val="00E65584"/>
    <w:rsid w:val="00E656DE"/>
    <w:rsid w:val="00E656E9"/>
    <w:rsid w:val="00E657B7"/>
    <w:rsid w:val="00E657D8"/>
    <w:rsid w:val="00E658D6"/>
    <w:rsid w:val="00E65AEE"/>
    <w:rsid w:val="00E65BB3"/>
    <w:rsid w:val="00E65E05"/>
    <w:rsid w:val="00E65EBB"/>
    <w:rsid w:val="00E65ECF"/>
    <w:rsid w:val="00E65EE8"/>
    <w:rsid w:val="00E65F0C"/>
    <w:rsid w:val="00E661EE"/>
    <w:rsid w:val="00E663C9"/>
    <w:rsid w:val="00E6660D"/>
    <w:rsid w:val="00E667F2"/>
    <w:rsid w:val="00E66D3A"/>
    <w:rsid w:val="00E66D45"/>
    <w:rsid w:val="00E67179"/>
    <w:rsid w:val="00E675F0"/>
    <w:rsid w:val="00E676EA"/>
    <w:rsid w:val="00E678E8"/>
    <w:rsid w:val="00E67D1F"/>
    <w:rsid w:val="00E70102"/>
    <w:rsid w:val="00E70116"/>
    <w:rsid w:val="00E702F4"/>
    <w:rsid w:val="00E70366"/>
    <w:rsid w:val="00E7073F"/>
    <w:rsid w:val="00E70760"/>
    <w:rsid w:val="00E70880"/>
    <w:rsid w:val="00E709B2"/>
    <w:rsid w:val="00E70A00"/>
    <w:rsid w:val="00E70B8D"/>
    <w:rsid w:val="00E70BF9"/>
    <w:rsid w:val="00E70EF5"/>
    <w:rsid w:val="00E710F2"/>
    <w:rsid w:val="00E711BA"/>
    <w:rsid w:val="00E7161A"/>
    <w:rsid w:val="00E717CC"/>
    <w:rsid w:val="00E7197C"/>
    <w:rsid w:val="00E71A4C"/>
    <w:rsid w:val="00E71CA7"/>
    <w:rsid w:val="00E71CDB"/>
    <w:rsid w:val="00E722D8"/>
    <w:rsid w:val="00E7233B"/>
    <w:rsid w:val="00E7247A"/>
    <w:rsid w:val="00E7258D"/>
    <w:rsid w:val="00E725FC"/>
    <w:rsid w:val="00E7282E"/>
    <w:rsid w:val="00E72948"/>
    <w:rsid w:val="00E72CB7"/>
    <w:rsid w:val="00E72DCB"/>
    <w:rsid w:val="00E72F7F"/>
    <w:rsid w:val="00E73198"/>
    <w:rsid w:val="00E731F4"/>
    <w:rsid w:val="00E7324E"/>
    <w:rsid w:val="00E73258"/>
    <w:rsid w:val="00E7340F"/>
    <w:rsid w:val="00E735CE"/>
    <w:rsid w:val="00E73736"/>
    <w:rsid w:val="00E73A03"/>
    <w:rsid w:val="00E73A6A"/>
    <w:rsid w:val="00E73DEE"/>
    <w:rsid w:val="00E743A8"/>
    <w:rsid w:val="00E743AD"/>
    <w:rsid w:val="00E744B7"/>
    <w:rsid w:val="00E74644"/>
    <w:rsid w:val="00E746D8"/>
    <w:rsid w:val="00E746F6"/>
    <w:rsid w:val="00E74964"/>
    <w:rsid w:val="00E74F34"/>
    <w:rsid w:val="00E75091"/>
    <w:rsid w:val="00E7538F"/>
    <w:rsid w:val="00E754FB"/>
    <w:rsid w:val="00E757C0"/>
    <w:rsid w:val="00E758C3"/>
    <w:rsid w:val="00E75A54"/>
    <w:rsid w:val="00E75B80"/>
    <w:rsid w:val="00E75C3F"/>
    <w:rsid w:val="00E75D88"/>
    <w:rsid w:val="00E75E50"/>
    <w:rsid w:val="00E7669D"/>
    <w:rsid w:val="00E767E4"/>
    <w:rsid w:val="00E77052"/>
    <w:rsid w:val="00E770ED"/>
    <w:rsid w:val="00E7720D"/>
    <w:rsid w:val="00E7771C"/>
    <w:rsid w:val="00E779F9"/>
    <w:rsid w:val="00E77A61"/>
    <w:rsid w:val="00E77AD7"/>
    <w:rsid w:val="00E77D0F"/>
    <w:rsid w:val="00E77FAD"/>
    <w:rsid w:val="00E77FD4"/>
    <w:rsid w:val="00E8004A"/>
    <w:rsid w:val="00E8010C"/>
    <w:rsid w:val="00E801A1"/>
    <w:rsid w:val="00E802F1"/>
    <w:rsid w:val="00E8040A"/>
    <w:rsid w:val="00E8054B"/>
    <w:rsid w:val="00E807DB"/>
    <w:rsid w:val="00E80A48"/>
    <w:rsid w:val="00E80BCD"/>
    <w:rsid w:val="00E80C0D"/>
    <w:rsid w:val="00E80C5C"/>
    <w:rsid w:val="00E80E6E"/>
    <w:rsid w:val="00E80FB2"/>
    <w:rsid w:val="00E81044"/>
    <w:rsid w:val="00E81171"/>
    <w:rsid w:val="00E81356"/>
    <w:rsid w:val="00E81388"/>
    <w:rsid w:val="00E81541"/>
    <w:rsid w:val="00E8166A"/>
    <w:rsid w:val="00E818C4"/>
    <w:rsid w:val="00E81976"/>
    <w:rsid w:val="00E81A17"/>
    <w:rsid w:val="00E81B8A"/>
    <w:rsid w:val="00E827B6"/>
    <w:rsid w:val="00E828C9"/>
    <w:rsid w:val="00E8293F"/>
    <w:rsid w:val="00E82BA9"/>
    <w:rsid w:val="00E82DA9"/>
    <w:rsid w:val="00E830E5"/>
    <w:rsid w:val="00E832B0"/>
    <w:rsid w:val="00E8348A"/>
    <w:rsid w:val="00E8348F"/>
    <w:rsid w:val="00E83515"/>
    <w:rsid w:val="00E835FF"/>
    <w:rsid w:val="00E83604"/>
    <w:rsid w:val="00E83638"/>
    <w:rsid w:val="00E836D1"/>
    <w:rsid w:val="00E83750"/>
    <w:rsid w:val="00E83954"/>
    <w:rsid w:val="00E83E9D"/>
    <w:rsid w:val="00E83F2C"/>
    <w:rsid w:val="00E8450D"/>
    <w:rsid w:val="00E84643"/>
    <w:rsid w:val="00E846BB"/>
    <w:rsid w:val="00E847CD"/>
    <w:rsid w:val="00E84B2A"/>
    <w:rsid w:val="00E84DA0"/>
    <w:rsid w:val="00E85137"/>
    <w:rsid w:val="00E8521E"/>
    <w:rsid w:val="00E85553"/>
    <w:rsid w:val="00E8563F"/>
    <w:rsid w:val="00E85745"/>
    <w:rsid w:val="00E85A36"/>
    <w:rsid w:val="00E85C84"/>
    <w:rsid w:val="00E85DCC"/>
    <w:rsid w:val="00E85DF5"/>
    <w:rsid w:val="00E85E9F"/>
    <w:rsid w:val="00E8606C"/>
    <w:rsid w:val="00E86151"/>
    <w:rsid w:val="00E863F6"/>
    <w:rsid w:val="00E866B1"/>
    <w:rsid w:val="00E86C78"/>
    <w:rsid w:val="00E86E46"/>
    <w:rsid w:val="00E86EDA"/>
    <w:rsid w:val="00E86FBC"/>
    <w:rsid w:val="00E870D5"/>
    <w:rsid w:val="00E87151"/>
    <w:rsid w:val="00E87208"/>
    <w:rsid w:val="00E872B8"/>
    <w:rsid w:val="00E8750C"/>
    <w:rsid w:val="00E8761E"/>
    <w:rsid w:val="00E87708"/>
    <w:rsid w:val="00E877F4"/>
    <w:rsid w:val="00E87A7E"/>
    <w:rsid w:val="00E87CBA"/>
    <w:rsid w:val="00E87CBE"/>
    <w:rsid w:val="00E900E1"/>
    <w:rsid w:val="00E901DB"/>
    <w:rsid w:val="00E90402"/>
    <w:rsid w:val="00E905D9"/>
    <w:rsid w:val="00E906BA"/>
    <w:rsid w:val="00E906EE"/>
    <w:rsid w:val="00E90810"/>
    <w:rsid w:val="00E90D45"/>
    <w:rsid w:val="00E90D85"/>
    <w:rsid w:val="00E90EF3"/>
    <w:rsid w:val="00E90F92"/>
    <w:rsid w:val="00E90FD8"/>
    <w:rsid w:val="00E9124D"/>
    <w:rsid w:val="00E91457"/>
    <w:rsid w:val="00E915BC"/>
    <w:rsid w:val="00E91AC4"/>
    <w:rsid w:val="00E91C49"/>
    <w:rsid w:val="00E92376"/>
    <w:rsid w:val="00E9237D"/>
    <w:rsid w:val="00E92622"/>
    <w:rsid w:val="00E9272B"/>
    <w:rsid w:val="00E92776"/>
    <w:rsid w:val="00E927E0"/>
    <w:rsid w:val="00E92A4E"/>
    <w:rsid w:val="00E92AD7"/>
    <w:rsid w:val="00E92ADE"/>
    <w:rsid w:val="00E92BCE"/>
    <w:rsid w:val="00E92F6A"/>
    <w:rsid w:val="00E92FC7"/>
    <w:rsid w:val="00E93467"/>
    <w:rsid w:val="00E93507"/>
    <w:rsid w:val="00E939AC"/>
    <w:rsid w:val="00E93A10"/>
    <w:rsid w:val="00E93AE8"/>
    <w:rsid w:val="00E93BB4"/>
    <w:rsid w:val="00E93DCC"/>
    <w:rsid w:val="00E93E1B"/>
    <w:rsid w:val="00E93F7D"/>
    <w:rsid w:val="00E93FBB"/>
    <w:rsid w:val="00E94064"/>
    <w:rsid w:val="00E94383"/>
    <w:rsid w:val="00E945F9"/>
    <w:rsid w:val="00E94A4E"/>
    <w:rsid w:val="00E94CD5"/>
    <w:rsid w:val="00E94EBE"/>
    <w:rsid w:val="00E94EF6"/>
    <w:rsid w:val="00E95792"/>
    <w:rsid w:val="00E959CE"/>
    <w:rsid w:val="00E95C04"/>
    <w:rsid w:val="00E95D2E"/>
    <w:rsid w:val="00E9607E"/>
    <w:rsid w:val="00E96207"/>
    <w:rsid w:val="00E96326"/>
    <w:rsid w:val="00E963E1"/>
    <w:rsid w:val="00E96636"/>
    <w:rsid w:val="00E96668"/>
    <w:rsid w:val="00E96751"/>
    <w:rsid w:val="00E96D78"/>
    <w:rsid w:val="00E97055"/>
    <w:rsid w:val="00E971BD"/>
    <w:rsid w:val="00E97903"/>
    <w:rsid w:val="00E97D05"/>
    <w:rsid w:val="00E97D75"/>
    <w:rsid w:val="00E97DE8"/>
    <w:rsid w:val="00E97E07"/>
    <w:rsid w:val="00EA0109"/>
    <w:rsid w:val="00EA018B"/>
    <w:rsid w:val="00EA02EF"/>
    <w:rsid w:val="00EA035C"/>
    <w:rsid w:val="00EA0583"/>
    <w:rsid w:val="00EA05D9"/>
    <w:rsid w:val="00EA0786"/>
    <w:rsid w:val="00EA0787"/>
    <w:rsid w:val="00EA0877"/>
    <w:rsid w:val="00EA0BA4"/>
    <w:rsid w:val="00EA0D15"/>
    <w:rsid w:val="00EA0EDD"/>
    <w:rsid w:val="00EA123F"/>
    <w:rsid w:val="00EA1940"/>
    <w:rsid w:val="00EA1996"/>
    <w:rsid w:val="00EA1E38"/>
    <w:rsid w:val="00EA1F62"/>
    <w:rsid w:val="00EA24D8"/>
    <w:rsid w:val="00EA25EF"/>
    <w:rsid w:val="00EA2A6C"/>
    <w:rsid w:val="00EA2BC7"/>
    <w:rsid w:val="00EA2DF6"/>
    <w:rsid w:val="00EA2E2D"/>
    <w:rsid w:val="00EA2F58"/>
    <w:rsid w:val="00EA30E2"/>
    <w:rsid w:val="00EA3394"/>
    <w:rsid w:val="00EA33AD"/>
    <w:rsid w:val="00EA3443"/>
    <w:rsid w:val="00EA36C6"/>
    <w:rsid w:val="00EA39D8"/>
    <w:rsid w:val="00EA3BAF"/>
    <w:rsid w:val="00EA3C0A"/>
    <w:rsid w:val="00EA3E76"/>
    <w:rsid w:val="00EA3E7C"/>
    <w:rsid w:val="00EA3F7F"/>
    <w:rsid w:val="00EA3FD3"/>
    <w:rsid w:val="00EA4796"/>
    <w:rsid w:val="00EA4953"/>
    <w:rsid w:val="00EA4A67"/>
    <w:rsid w:val="00EA4C27"/>
    <w:rsid w:val="00EA4D4D"/>
    <w:rsid w:val="00EA4D71"/>
    <w:rsid w:val="00EA50A7"/>
    <w:rsid w:val="00EA51A0"/>
    <w:rsid w:val="00EA51F6"/>
    <w:rsid w:val="00EA5239"/>
    <w:rsid w:val="00EA52F1"/>
    <w:rsid w:val="00EA5330"/>
    <w:rsid w:val="00EA5C84"/>
    <w:rsid w:val="00EA5DBB"/>
    <w:rsid w:val="00EA5E55"/>
    <w:rsid w:val="00EA5EB3"/>
    <w:rsid w:val="00EA5F4F"/>
    <w:rsid w:val="00EA6390"/>
    <w:rsid w:val="00EA64A8"/>
    <w:rsid w:val="00EA6810"/>
    <w:rsid w:val="00EA6909"/>
    <w:rsid w:val="00EA6A0B"/>
    <w:rsid w:val="00EA6A7E"/>
    <w:rsid w:val="00EA6B85"/>
    <w:rsid w:val="00EA6CAC"/>
    <w:rsid w:val="00EA6D57"/>
    <w:rsid w:val="00EA6E08"/>
    <w:rsid w:val="00EA6E98"/>
    <w:rsid w:val="00EA6F9D"/>
    <w:rsid w:val="00EA705F"/>
    <w:rsid w:val="00EA7061"/>
    <w:rsid w:val="00EA717E"/>
    <w:rsid w:val="00EA7350"/>
    <w:rsid w:val="00EA7722"/>
    <w:rsid w:val="00EA7972"/>
    <w:rsid w:val="00EA7A97"/>
    <w:rsid w:val="00EA7AF5"/>
    <w:rsid w:val="00EA7E78"/>
    <w:rsid w:val="00EA7EDA"/>
    <w:rsid w:val="00EB0092"/>
    <w:rsid w:val="00EB01F7"/>
    <w:rsid w:val="00EB02AA"/>
    <w:rsid w:val="00EB037A"/>
    <w:rsid w:val="00EB03EF"/>
    <w:rsid w:val="00EB0530"/>
    <w:rsid w:val="00EB0BB4"/>
    <w:rsid w:val="00EB0E40"/>
    <w:rsid w:val="00EB1050"/>
    <w:rsid w:val="00EB12E9"/>
    <w:rsid w:val="00EB1611"/>
    <w:rsid w:val="00EB1738"/>
    <w:rsid w:val="00EB183A"/>
    <w:rsid w:val="00EB18A7"/>
    <w:rsid w:val="00EB1B3C"/>
    <w:rsid w:val="00EB1DE5"/>
    <w:rsid w:val="00EB1DE8"/>
    <w:rsid w:val="00EB2012"/>
    <w:rsid w:val="00EB22B0"/>
    <w:rsid w:val="00EB24AF"/>
    <w:rsid w:val="00EB2754"/>
    <w:rsid w:val="00EB28A1"/>
    <w:rsid w:val="00EB2A01"/>
    <w:rsid w:val="00EB2A89"/>
    <w:rsid w:val="00EB2C37"/>
    <w:rsid w:val="00EB2E55"/>
    <w:rsid w:val="00EB2FCE"/>
    <w:rsid w:val="00EB3061"/>
    <w:rsid w:val="00EB30FF"/>
    <w:rsid w:val="00EB317E"/>
    <w:rsid w:val="00EB33FD"/>
    <w:rsid w:val="00EB3505"/>
    <w:rsid w:val="00EB3907"/>
    <w:rsid w:val="00EB399B"/>
    <w:rsid w:val="00EB3A1D"/>
    <w:rsid w:val="00EB3B76"/>
    <w:rsid w:val="00EB3CD0"/>
    <w:rsid w:val="00EB3E73"/>
    <w:rsid w:val="00EB417C"/>
    <w:rsid w:val="00EB4315"/>
    <w:rsid w:val="00EB44F5"/>
    <w:rsid w:val="00EB46D5"/>
    <w:rsid w:val="00EB470D"/>
    <w:rsid w:val="00EB483B"/>
    <w:rsid w:val="00EB4D1A"/>
    <w:rsid w:val="00EB4F9D"/>
    <w:rsid w:val="00EB508C"/>
    <w:rsid w:val="00EB517F"/>
    <w:rsid w:val="00EB527E"/>
    <w:rsid w:val="00EB54F1"/>
    <w:rsid w:val="00EB564C"/>
    <w:rsid w:val="00EB565E"/>
    <w:rsid w:val="00EB5663"/>
    <w:rsid w:val="00EB5852"/>
    <w:rsid w:val="00EB5979"/>
    <w:rsid w:val="00EB5C0B"/>
    <w:rsid w:val="00EB5C9F"/>
    <w:rsid w:val="00EB5D51"/>
    <w:rsid w:val="00EB5FDE"/>
    <w:rsid w:val="00EB62E2"/>
    <w:rsid w:val="00EB63C6"/>
    <w:rsid w:val="00EB63DE"/>
    <w:rsid w:val="00EB64B1"/>
    <w:rsid w:val="00EB6571"/>
    <w:rsid w:val="00EB6793"/>
    <w:rsid w:val="00EB69A8"/>
    <w:rsid w:val="00EB6C32"/>
    <w:rsid w:val="00EB6DBB"/>
    <w:rsid w:val="00EB6E11"/>
    <w:rsid w:val="00EB70AE"/>
    <w:rsid w:val="00EB7188"/>
    <w:rsid w:val="00EB71A0"/>
    <w:rsid w:val="00EB71A1"/>
    <w:rsid w:val="00EB7306"/>
    <w:rsid w:val="00EB783D"/>
    <w:rsid w:val="00EB787F"/>
    <w:rsid w:val="00EB7EC8"/>
    <w:rsid w:val="00EC0330"/>
    <w:rsid w:val="00EC0547"/>
    <w:rsid w:val="00EC0A4D"/>
    <w:rsid w:val="00EC0B49"/>
    <w:rsid w:val="00EC1209"/>
    <w:rsid w:val="00EC14FF"/>
    <w:rsid w:val="00EC15CA"/>
    <w:rsid w:val="00EC161E"/>
    <w:rsid w:val="00EC169D"/>
    <w:rsid w:val="00EC1981"/>
    <w:rsid w:val="00EC1C13"/>
    <w:rsid w:val="00EC1D91"/>
    <w:rsid w:val="00EC1E52"/>
    <w:rsid w:val="00EC2030"/>
    <w:rsid w:val="00EC2149"/>
    <w:rsid w:val="00EC23E4"/>
    <w:rsid w:val="00EC2DAC"/>
    <w:rsid w:val="00EC2FCB"/>
    <w:rsid w:val="00EC30F9"/>
    <w:rsid w:val="00EC3196"/>
    <w:rsid w:val="00EC3623"/>
    <w:rsid w:val="00EC3B32"/>
    <w:rsid w:val="00EC3F15"/>
    <w:rsid w:val="00EC41E1"/>
    <w:rsid w:val="00EC4371"/>
    <w:rsid w:val="00EC454D"/>
    <w:rsid w:val="00EC4B72"/>
    <w:rsid w:val="00EC4D30"/>
    <w:rsid w:val="00EC4E27"/>
    <w:rsid w:val="00EC4E9D"/>
    <w:rsid w:val="00EC507F"/>
    <w:rsid w:val="00EC54AC"/>
    <w:rsid w:val="00EC5798"/>
    <w:rsid w:val="00EC57FE"/>
    <w:rsid w:val="00EC5A94"/>
    <w:rsid w:val="00EC6231"/>
    <w:rsid w:val="00EC689E"/>
    <w:rsid w:val="00EC6BB6"/>
    <w:rsid w:val="00EC6C10"/>
    <w:rsid w:val="00EC6F83"/>
    <w:rsid w:val="00EC709B"/>
    <w:rsid w:val="00EC71E1"/>
    <w:rsid w:val="00EC71F7"/>
    <w:rsid w:val="00EC7281"/>
    <w:rsid w:val="00EC7291"/>
    <w:rsid w:val="00EC731D"/>
    <w:rsid w:val="00EC747D"/>
    <w:rsid w:val="00EC775E"/>
    <w:rsid w:val="00EC795E"/>
    <w:rsid w:val="00EC7CDF"/>
    <w:rsid w:val="00EC7D9C"/>
    <w:rsid w:val="00EC7E1A"/>
    <w:rsid w:val="00ED044B"/>
    <w:rsid w:val="00ED0634"/>
    <w:rsid w:val="00ED097B"/>
    <w:rsid w:val="00ED0BFA"/>
    <w:rsid w:val="00ED0F87"/>
    <w:rsid w:val="00ED11DC"/>
    <w:rsid w:val="00ED14FC"/>
    <w:rsid w:val="00ED1C75"/>
    <w:rsid w:val="00ED1C9E"/>
    <w:rsid w:val="00ED1FAA"/>
    <w:rsid w:val="00ED2117"/>
    <w:rsid w:val="00ED2162"/>
    <w:rsid w:val="00ED2429"/>
    <w:rsid w:val="00ED257A"/>
    <w:rsid w:val="00ED27F9"/>
    <w:rsid w:val="00ED298E"/>
    <w:rsid w:val="00ED29D4"/>
    <w:rsid w:val="00ED2B03"/>
    <w:rsid w:val="00ED2C2F"/>
    <w:rsid w:val="00ED2F45"/>
    <w:rsid w:val="00ED30E1"/>
    <w:rsid w:val="00ED30E3"/>
    <w:rsid w:val="00ED3201"/>
    <w:rsid w:val="00ED3475"/>
    <w:rsid w:val="00ED38E2"/>
    <w:rsid w:val="00ED3A2A"/>
    <w:rsid w:val="00ED3B0E"/>
    <w:rsid w:val="00ED3DD9"/>
    <w:rsid w:val="00ED3E80"/>
    <w:rsid w:val="00ED3EAC"/>
    <w:rsid w:val="00ED4159"/>
    <w:rsid w:val="00ED41DF"/>
    <w:rsid w:val="00ED425F"/>
    <w:rsid w:val="00ED42CB"/>
    <w:rsid w:val="00ED43A0"/>
    <w:rsid w:val="00ED4483"/>
    <w:rsid w:val="00ED44A8"/>
    <w:rsid w:val="00ED44AB"/>
    <w:rsid w:val="00ED4DEA"/>
    <w:rsid w:val="00ED4EA5"/>
    <w:rsid w:val="00ED505C"/>
    <w:rsid w:val="00ED50A4"/>
    <w:rsid w:val="00ED5421"/>
    <w:rsid w:val="00ED55A7"/>
    <w:rsid w:val="00ED56B4"/>
    <w:rsid w:val="00ED5725"/>
    <w:rsid w:val="00ED5B12"/>
    <w:rsid w:val="00ED5DA0"/>
    <w:rsid w:val="00ED605F"/>
    <w:rsid w:val="00ED6150"/>
    <w:rsid w:val="00ED635C"/>
    <w:rsid w:val="00ED6431"/>
    <w:rsid w:val="00ED6444"/>
    <w:rsid w:val="00ED649E"/>
    <w:rsid w:val="00ED6C47"/>
    <w:rsid w:val="00ED6FEE"/>
    <w:rsid w:val="00ED7031"/>
    <w:rsid w:val="00ED7076"/>
    <w:rsid w:val="00ED70B5"/>
    <w:rsid w:val="00ED7555"/>
    <w:rsid w:val="00ED75A7"/>
    <w:rsid w:val="00ED75DA"/>
    <w:rsid w:val="00ED76AE"/>
    <w:rsid w:val="00ED7902"/>
    <w:rsid w:val="00ED79F1"/>
    <w:rsid w:val="00ED7C23"/>
    <w:rsid w:val="00ED7D5B"/>
    <w:rsid w:val="00EE007B"/>
    <w:rsid w:val="00EE00AB"/>
    <w:rsid w:val="00EE021A"/>
    <w:rsid w:val="00EE023D"/>
    <w:rsid w:val="00EE0588"/>
    <w:rsid w:val="00EE08C2"/>
    <w:rsid w:val="00EE0A8D"/>
    <w:rsid w:val="00EE0C0F"/>
    <w:rsid w:val="00EE0D9A"/>
    <w:rsid w:val="00EE104A"/>
    <w:rsid w:val="00EE109D"/>
    <w:rsid w:val="00EE11A2"/>
    <w:rsid w:val="00EE1307"/>
    <w:rsid w:val="00EE14DA"/>
    <w:rsid w:val="00EE1A59"/>
    <w:rsid w:val="00EE1A71"/>
    <w:rsid w:val="00EE1FE6"/>
    <w:rsid w:val="00EE2563"/>
    <w:rsid w:val="00EE28B0"/>
    <w:rsid w:val="00EE2A8D"/>
    <w:rsid w:val="00EE2D6A"/>
    <w:rsid w:val="00EE2F09"/>
    <w:rsid w:val="00EE2FB7"/>
    <w:rsid w:val="00EE3060"/>
    <w:rsid w:val="00EE3074"/>
    <w:rsid w:val="00EE3253"/>
    <w:rsid w:val="00EE3275"/>
    <w:rsid w:val="00EE33B2"/>
    <w:rsid w:val="00EE3420"/>
    <w:rsid w:val="00EE34CF"/>
    <w:rsid w:val="00EE37C0"/>
    <w:rsid w:val="00EE37C7"/>
    <w:rsid w:val="00EE39FC"/>
    <w:rsid w:val="00EE3A8B"/>
    <w:rsid w:val="00EE3C8F"/>
    <w:rsid w:val="00EE3F31"/>
    <w:rsid w:val="00EE4234"/>
    <w:rsid w:val="00EE4315"/>
    <w:rsid w:val="00EE44A2"/>
    <w:rsid w:val="00EE48A8"/>
    <w:rsid w:val="00EE49FA"/>
    <w:rsid w:val="00EE5097"/>
    <w:rsid w:val="00EE515F"/>
    <w:rsid w:val="00EE5266"/>
    <w:rsid w:val="00EE528C"/>
    <w:rsid w:val="00EE548D"/>
    <w:rsid w:val="00EE54E4"/>
    <w:rsid w:val="00EE5581"/>
    <w:rsid w:val="00EE56DF"/>
    <w:rsid w:val="00EE59E1"/>
    <w:rsid w:val="00EE5A8D"/>
    <w:rsid w:val="00EE5F81"/>
    <w:rsid w:val="00EE5F8C"/>
    <w:rsid w:val="00EE5FB4"/>
    <w:rsid w:val="00EE605C"/>
    <w:rsid w:val="00EE6114"/>
    <w:rsid w:val="00EE6174"/>
    <w:rsid w:val="00EE6294"/>
    <w:rsid w:val="00EE67D8"/>
    <w:rsid w:val="00EE6B28"/>
    <w:rsid w:val="00EE6BC2"/>
    <w:rsid w:val="00EE6E46"/>
    <w:rsid w:val="00EE6F10"/>
    <w:rsid w:val="00EE6FA4"/>
    <w:rsid w:val="00EE6FA5"/>
    <w:rsid w:val="00EE727F"/>
    <w:rsid w:val="00EE731E"/>
    <w:rsid w:val="00EE7824"/>
    <w:rsid w:val="00EE7880"/>
    <w:rsid w:val="00EE792B"/>
    <w:rsid w:val="00EE7CB2"/>
    <w:rsid w:val="00EE7CB8"/>
    <w:rsid w:val="00EF0321"/>
    <w:rsid w:val="00EF03A9"/>
    <w:rsid w:val="00EF0644"/>
    <w:rsid w:val="00EF0945"/>
    <w:rsid w:val="00EF0C3D"/>
    <w:rsid w:val="00EF0E2C"/>
    <w:rsid w:val="00EF118D"/>
    <w:rsid w:val="00EF1547"/>
    <w:rsid w:val="00EF1767"/>
    <w:rsid w:val="00EF19EA"/>
    <w:rsid w:val="00EF1CA1"/>
    <w:rsid w:val="00EF1E32"/>
    <w:rsid w:val="00EF1F5E"/>
    <w:rsid w:val="00EF1F91"/>
    <w:rsid w:val="00EF233C"/>
    <w:rsid w:val="00EF27DF"/>
    <w:rsid w:val="00EF288F"/>
    <w:rsid w:val="00EF29CF"/>
    <w:rsid w:val="00EF3059"/>
    <w:rsid w:val="00EF310A"/>
    <w:rsid w:val="00EF317C"/>
    <w:rsid w:val="00EF31A5"/>
    <w:rsid w:val="00EF332F"/>
    <w:rsid w:val="00EF3380"/>
    <w:rsid w:val="00EF34A1"/>
    <w:rsid w:val="00EF359F"/>
    <w:rsid w:val="00EF35AA"/>
    <w:rsid w:val="00EF36C9"/>
    <w:rsid w:val="00EF38F2"/>
    <w:rsid w:val="00EF3B8A"/>
    <w:rsid w:val="00EF3C6C"/>
    <w:rsid w:val="00EF3C81"/>
    <w:rsid w:val="00EF3CC0"/>
    <w:rsid w:val="00EF3F79"/>
    <w:rsid w:val="00EF4169"/>
    <w:rsid w:val="00EF4446"/>
    <w:rsid w:val="00EF447C"/>
    <w:rsid w:val="00EF469B"/>
    <w:rsid w:val="00EF4723"/>
    <w:rsid w:val="00EF49F5"/>
    <w:rsid w:val="00EF4A87"/>
    <w:rsid w:val="00EF4AA8"/>
    <w:rsid w:val="00EF4C38"/>
    <w:rsid w:val="00EF4D3D"/>
    <w:rsid w:val="00EF4D99"/>
    <w:rsid w:val="00EF4EA9"/>
    <w:rsid w:val="00EF50DD"/>
    <w:rsid w:val="00EF517E"/>
    <w:rsid w:val="00EF5AE8"/>
    <w:rsid w:val="00EF5E76"/>
    <w:rsid w:val="00EF5ECC"/>
    <w:rsid w:val="00EF60DB"/>
    <w:rsid w:val="00EF6614"/>
    <w:rsid w:val="00EF662D"/>
    <w:rsid w:val="00EF67C9"/>
    <w:rsid w:val="00EF6925"/>
    <w:rsid w:val="00EF6CC1"/>
    <w:rsid w:val="00EF6F70"/>
    <w:rsid w:val="00EF70B0"/>
    <w:rsid w:val="00EF70D4"/>
    <w:rsid w:val="00EF7237"/>
    <w:rsid w:val="00EF730C"/>
    <w:rsid w:val="00EF73EE"/>
    <w:rsid w:val="00EF74A6"/>
    <w:rsid w:val="00EF77C1"/>
    <w:rsid w:val="00EF77DB"/>
    <w:rsid w:val="00EF7939"/>
    <w:rsid w:val="00EF7BA1"/>
    <w:rsid w:val="00EF7BF5"/>
    <w:rsid w:val="00EF7C1A"/>
    <w:rsid w:val="00EF7C4D"/>
    <w:rsid w:val="00F00575"/>
    <w:rsid w:val="00F006DF"/>
    <w:rsid w:val="00F008F9"/>
    <w:rsid w:val="00F00960"/>
    <w:rsid w:val="00F00A37"/>
    <w:rsid w:val="00F00A7D"/>
    <w:rsid w:val="00F00DA3"/>
    <w:rsid w:val="00F00EDA"/>
    <w:rsid w:val="00F00F8F"/>
    <w:rsid w:val="00F01333"/>
    <w:rsid w:val="00F0135D"/>
    <w:rsid w:val="00F0159F"/>
    <w:rsid w:val="00F016C6"/>
    <w:rsid w:val="00F01A3A"/>
    <w:rsid w:val="00F01A71"/>
    <w:rsid w:val="00F01B51"/>
    <w:rsid w:val="00F01B96"/>
    <w:rsid w:val="00F01DCB"/>
    <w:rsid w:val="00F01EAE"/>
    <w:rsid w:val="00F02042"/>
    <w:rsid w:val="00F02092"/>
    <w:rsid w:val="00F020F6"/>
    <w:rsid w:val="00F0219A"/>
    <w:rsid w:val="00F02396"/>
    <w:rsid w:val="00F02484"/>
    <w:rsid w:val="00F02556"/>
    <w:rsid w:val="00F025C6"/>
    <w:rsid w:val="00F025FE"/>
    <w:rsid w:val="00F0293C"/>
    <w:rsid w:val="00F02996"/>
    <w:rsid w:val="00F029D1"/>
    <w:rsid w:val="00F02B6D"/>
    <w:rsid w:val="00F02D7E"/>
    <w:rsid w:val="00F02F38"/>
    <w:rsid w:val="00F031B8"/>
    <w:rsid w:val="00F033C8"/>
    <w:rsid w:val="00F03949"/>
    <w:rsid w:val="00F03C2F"/>
    <w:rsid w:val="00F03CA6"/>
    <w:rsid w:val="00F03F33"/>
    <w:rsid w:val="00F042C5"/>
    <w:rsid w:val="00F0434C"/>
    <w:rsid w:val="00F044D0"/>
    <w:rsid w:val="00F04557"/>
    <w:rsid w:val="00F0466D"/>
    <w:rsid w:val="00F04B23"/>
    <w:rsid w:val="00F04C5D"/>
    <w:rsid w:val="00F04C73"/>
    <w:rsid w:val="00F04CAF"/>
    <w:rsid w:val="00F04DDB"/>
    <w:rsid w:val="00F04DEB"/>
    <w:rsid w:val="00F04DFE"/>
    <w:rsid w:val="00F04E18"/>
    <w:rsid w:val="00F04E25"/>
    <w:rsid w:val="00F04F8F"/>
    <w:rsid w:val="00F05091"/>
    <w:rsid w:val="00F050E0"/>
    <w:rsid w:val="00F05158"/>
    <w:rsid w:val="00F052DA"/>
    <w:rsid w:val="00F054DF"/>
    <w:rsid w:val="00F0585B"/>
    <w:rsid w:val="00F0592F"/>
    <w:rsid w:val="00F05C02"/>
    <w:rsid w:val="00F05C22"/>
    <w:rsid w:val="00F05CA6"/>
    <w:rsid w:val="00F05D98"/>
    <w:rsid w:val="00F05E0F"/>
    <w:rsid w:val="00F05E7B"/>
    <w:rsid w:val="00F05FA0"/>
    <w:rsid w:val="00F06266"/>
    <w:rsid w:val="00F0676B"/>
    <w:rsid w:val="00F069E5"/>
    <w:rsid w:val="00F06D1F"/>
    <w:rsid w:val="00F06E9B"/>
    <w:rsid w:val="00F070DA"/>
    <w:rsid w:val="00F07254"/>
    <w:rsid w:val="00F072B0"/>
    <w:rsid w:val="00F072BC"/>
    <w:rsid w:val="00F072E0"/>
    <w:rsid w:val="00F07501"/>
    <w:rsid w:val="00F07530"/>
    <w:rsid w:val="00F07834"/>
    <w:rsid w:val="00F07989"/>
    <w:rsid w:val="00F07BAA"/>
    <w:rsid w:val="00F07BF6"/>
    <w:rsid w:val="00F07D15"/>
    <w:rsid w:val="00F07DAA"/>
    <w:rsid w:val="00F07F26"/>
    <w:rsid w:val="00F07FD2"/>
    <w:rsid w:val="00F07FF3"/>
    <w:rsid w:val="00F07FFC"/>
    <w:rsid w:val="00F100B7"/>
    <w:rsid w:val="00F105DF"/>
    <w:rsid w:val="00F10952"/>
    <w:rsid w:val="00F10ABF"/>
    <w:rsid w:val="00F10B26"/>
    <w:rsid w:val="00F10C77"/>
    <w:rsid w:val="00F10C85"/>
    <w:rsid w:val="00F10D7A"/>
    <w:rsid w:val="00F10D88"/>
    <w:rsid w:val="00F10E06"/>
    <w:rsid w:val="00F10F7C"/>
    <w:rsid w:val="00F111B8"/>
    <w:rsid w:val="00F11393"/>
    <w:rsid w:val="00F1145E"/>
    <w:rsid w:val="00F11689"/>
    <w:rsid w:val="00F11704"/>
    <w:rsid w:val="00F117A8"/>
    <w:rsid w:val="00F11A72"/>
    <w:rsid w:val="00F11A9C"/>
    <w:rsid w:val="00F11B1E"/>
    <w:rsid w:val="00F11BBE"/>
    <w:rsid w:val="00F11C68"/>
    <w:rsid w:val="00F11FE3"/>
    <w:rsid w:val="00F120E9"/>
    <w:rsid w:val="00F12118"/>
    <w:rsid w:val="00F12664"/>
    <w:rsid w:val="00F12900"/>
    <w:rsid w:val="00F12A4C"/>
    <w:rsid w:val="00F12A79"/>
    <w:rsid w:val="00F12E2E"/>
    <w:rsid w:val="00F12F4D"/>
    <w:rsid w:val="00F12FB4"/>
    <w:rsid w:val="00F1356F"/>
    <w:rsid w:val="00F13635"/>
    <w:rsid w:val="00F1377C"/>
    <w:rsid w:val="00F137D2"/>
    <w:rsid w:val="00F137EC"/>
    <w:rsid w:val="00F138FF"/>
    <w:rsid w:val="00F13B79"/>
    <w:rsid w:val="00F13CA2"/>
    <w:rsid w:val="00F13E0C"/>
    <w:rsid w:val="00F140CB"/>
    <w:rsid w:val="00F142A2"/>
    <w:rsid w:val="00F142F1"/>
    <w:rsid w:val="00F1451F"/>
    <w:rsid w:val="00F14774"/>
    <w:rsid w:val="00F1482C"/>
    <w:rsid w:val="00F14ABF"/>
    <w:rsid w:val="00F14BC2"/>
    <w:rsid w:val="00F14BC6"/>
    <w:rsid w:val="00F14CCE"/>
    <w:rsid w:val="00F15379"/>
    <w:rsid w:val="00F15566"/>
    <w:rsid w:val="00F15667"/>
    <w:rsid w:val="00F157D2"/>
    <w:rsid w:val="00F158F9"/>
    <w:rsid w:val="00F15B1F"/>
    <w:rsid w:val="00F15C18"/>
    <w:rsid w:val="00F15CE1"/>
    <w:rsid w:val="00F15EBC"/>
    <w:rsid w:val="00F16113"/>
    <w:rsid w:val="00F1651B"/>
    <w:rsid w:val="00F1652E"/>
    <w:rsid w:val="00F1667D"/>
    <w:rsid w:val="00F16B78"/>
    <w:rsid w:val="00F16C09"/>
    <w:rsid w:val="00F16F2D"/>
    <w:rsid w:val="00F17034"/>
    <w:rsid w:val="00F172D6"/>
    <w:rsid w:val="00F1763F"/>
    <w:rsid w:val="00F17694"/>
    <w:rsid w:val="00F17738"/>
    <w:rsid w:val="00F17A41"/>
    <w:rsid w:val="00F17CAE"/>
    <w:rsid w:val="00F17CC0"/>
    <w:rsid w:val="00F17CD1"/>
    <w:rsid w:val="00F201F0"/>
    <w:rsid w:val="00F20628"/>
    <w:rsid w:val="00F20703"/>
    <w:rsid w:val="00F2070C"/>
    <w:rsid w:val="00F20B7E"/>
    <w:rsid w:val="00F20B89"/>
    <w:rsid w:val="00F21038"/>
    <w:rsid w:val="00F210DF"/>
    <w:rsid w:val="00F212AE"/>
    <w:rsid w:val="00F214ED"/>
    <w:rsid w:val="00F2175D"/>
    <w:rsid w:val="00F21ADA"/>
    <w:rsid w:val="00F21F40"/>
    <w:rsid w:val="00F22164"/>
    <w:rsid w:val="00F22341"/>
    <w:rsid w:val="00F223FD"/>
    <w:rsid w:val="00F22576"/>
    <w:rsid w:val="00F225EE"/>
    <w:rsid w:val="00F22704"/>
    <w:rsid w:val="00F227BD"/>
    <w:rsid w:val="00F2282F"/>
    <w:rsid w:val="00F228A9"/>
    <w:rsid w:val="00F229B0"/>
    <w:rsid w:val="00F22D90"/>
    <w:rsid w:val="00F22E1A"/>
    <w:rsid w:val="00F22F6F"/>
    <w:rsid w:val="00F23152"/>
    <w:rsid w:val="00F23232"/>
    <w:rsid w:val="00F233D0"/>
    <w:rsid w:val="00F2352A"/>
    <w:rsid w:val="00F23622"/>
    <w:rsid w:val="00F2374B"/>
    <w:rsid w:val="00F23844"/>
    <w:rsid w:val="00F238BA"/>
    <w:rsid w:val="00F23956"/>
    <w:rsid w:val="00F23A84"/>
    <w:rsid w:val="00F23AE5"/>
    <w:rsid w:val="00F23BBD"/>
    <w:rsid w:val="00F23D57"/>
    <w:rsid w:val="00F23F86"/>
    <w:rsid w:val="00F24044"/>
    <w:rsid w:val="00F240ED"/>
    <w:rsid w:val="00F24139"/>
    <w:rsid w:val="00F2443B"/>
    <w:rsid w:val="00F244B0"/>
    <w:rsid w:val="00F245E8"/>
    <w:rsid w:val="00F24745"/>
    <w:rsid w:val="00F24798"/>
    <w:rsid w:val="00F24D42"/>
    <w:rsid w:val="00F252A7"/>
    <w:rsid w:val="00F255C4"/>
    <w:rsid w:val="00F258AA"/>
    <w:rsid w:val="00F26001"/>
    <w:rsid w:val="00F260EC"/>
    <w:rsid w:val="00F2615A"/>
    <w:rsid w:val="00F26236"/>
    <w:rsid w:val="00F262B9"/>
    <w:rsid w:val="00F26330"/>
    <w:rsid w:val="00F2646B"/>
    <w:rsid w:val="00F265A1"/>
    <w:rsid w:val="00F26780"/>
    <w:rsid w:val="00F26879"/>
    <w:rsid w:val="00F26920"/>
    <w:rsid w:val="00F26A4E"/>
    <w:rsid w:val="00F26AF4"/>
    <w:rsid w:val="00F26EA5"/>
    <w:rsid w:val="00F26ED3"/>
    <w:rsid w:val="00F272E1"/>
    <w:rsid w:val="00F2749C"/>
    <w:rsid w:val="00F27797"/>
    <w:rsid w:val="00F277A2"/>
    <w:rsid w:val="00F27934"/>
    <w:rsid w:val="00F279A5"/>
    <w:rsid w:val="00F27BDF"/>
    <w:rsid w:val="00F27F57"/>
    <w:rsid w:val="00F304D5"/>
    <w:rsid w:val="00F30505"/>
    <w:rsid w:val="00F30595"/>
    <w:rsid w:val="00F30764"/>
    <w:rsid w:val="00F308FE"/>
    <w:rsid w:val="00F30B83"/>
    <w:rsid w:val="00F30F5C"/>
    <w:rsid w:val="00F3119B"/>
    <w:rsid w:val="00F31555"/>
    <w:rsid w:val="00F31567"/>
    <w:rsid w:val="00F317E3"/>
    <w:rsid w:val="00F31E3E"/>
    <w:rsid w:val="00F31F0F"/>
    <w:rsid w:val="00F3222D"/>
    <w:rsid w:val="00F3228E"/>
    <w:rsid w:val="00F322A4"/>
    <w:rsid w:val="00F322F4"/>
    <w:rsid w:val="00F32601"/>
    <w:rsid w:val="00F327E6"/>
    <w:rsid w:val="00F329A6"/>
    <w:rsid w:val="00F329E6"/>
    <w:rsid w:val="00F32D15"/>
    <w:rsid w:val="00F32D27"/>
    <w:rsid w:val="00F32D4D"/>
    <w:rsid w:val="00F32E0B"/>
    <w:rsid w:val="00F32EA9"/>
    <w:rsid w:val="00F32FD4"/>
    <w:rsid w:val="00F33142"/>
    <w:rsid w:val="00F33895"/>
    <w:rsid w:val="00F33967"/>
    <w:rsid w:val="00F33B0C"/>
    <w:rsid w:val="00F340BA"/>
    <w:rsid w:val="00F3416D"/>
    <w:rsid w:val="00F34208"/>
    <w:rsid w:val="00F34893"/>
    <w:rsid w:val="00F34AFE"/>
    <w:rsid w:val="00F34C91"/>
    <w:rsid w:val="00F34DFE"/>
    <w:rsid w:val="00F350FF"/>
    <w:rsid w:val="00F3545B"/>
    <w:rsid w:val="00F35518"/>
    <w:rsid w:val="00F355BC"/>
    <w:rsid w:val="00F35A9D"/>
    <w:rsid w:val="00F35B65"/>
    <w:rsid w:val="00F35DF3"/>
    <w:rsid w:val="00F35E11"/>
    <w:rsid w:val="00F35E9F"/>
    <w:rsid w:val="00F36045"/>
    <w:rsid w:val="00F361CA"/>
    <w:rsid w:val="00F36390"/>
    <w:rsid w:val="00F36418"/>
    <w:rsid w:val="00F36549"/>
    <w:rsid w:val="00F3658C"/>
    <w:rsid w:val="00F36703"/>
    <w:rsid w:val="00F36F5C"/>
    <w:rsid w:val="00F36FE9"/>
    <w:rsid w:val="00F37100"/>
    <w:rsid w:val="00F3739B"/>
    <w:rsid w:val="00F373D6"/>
    <w:rsid w:val="00F376A7"/>
    <w:rsid w:val="00F378B9"/>
    <w:rsid w:val="00F401EF"/>
    <w:rsid w:val="00F40217"/>
    <w:rsid w:val="00F40290"/>
    <w:rsid w:val="00F403AD"/>
    <w:rsid w:val="00F406AA"/>
    <w:rsid w:val="00F406D7"/>
    <w:rsid w:val="00F40AD5"/>
    <w:rsid w:val="00F40BC8"/>
    <w:rsid w:val="00F40E5A"/>
    <w:rsid w:val="00F4103C"/>
    <w:rsid w:val="00F41051"/>
    <w:rsid w:val="00F41496"/>
    <w:rsid w:val="00F416A7"/>
    <w:rsid w:val="00F416D3"/>
    <w:rsid w:val="00F417F5"/>
    <w:rsid w:val="00F418C6"/>
    <w:rsid w:val="00F41DFB"/>
    <w:rsid w:val="00F41FBF"/>
    <w:rsid w:val="00F4210B"/>
    <w:rsid w:val="00F423D8"/>
    <w:rsid w:val="00F427EF"/>
    <w:rsid w:val="00F428B3"/>
    <w:rsid w:val="00F429A1"/>
    <w:rsid w:val="00F42B53"/>
    <w:rsid w:val="00F43089"/>
    <w:rsid w:val="00F43488"/>
    <w:rsid w:val="00F4349F"/>
    <w:rsid w:val="00F435AB"/>
    <w:rsid w:val="00F438A3"/>
    <w:rsid w:val="00F43A17"/>
    <w:rsid w:val="00F43F15"/>
    <w:rsid w:val="00F43F89"/>
    <w:rsid w:val="00F441E0"/>
    <w:rsid w:val="00F4438C"/>
    <w:rsid w:val="00F4443D"/>
    <w:rsid w:val="00F44459"/>
    <w:rsid w:val="00F44947"/>
    <w:rsid w:val="00F449EC"/>
    <w:rsid w:val="00F44BEF"/>
    <w:rsid w:val="00F44D4C"/>
    <w:rsid w:val="00F44D7D"/>
    <w:rsid w:val="00F45002"/>
    <w:rsid w:val="00F45ACD"/>
    <w:rsid w:val="00F45BB0"/>
    <w:rsid w:val="00F45E09"/>
    <w:rsid w:val="00F4615D"/>
    <w:rsid w:val="00F4652E"/>
    <w:rsid w:val="00F465DB"/>
    <w:rsid w:val="00F466D4"/>
    <w:rsid w:val="00F468A0"/>
    <w:rsid w:val="00F46A33"/>
    <w:rsid w:val="00F46DF6"/>
    <w:rsid w:val="00F46F3B"/>
    <w:rsid w:val="00F471BD"/>
    <w:rsid w:val="00F4751C"/>
    <w:rsid w:val="00F477B2"/>
    <w:rsid w:val="00F47853"/>
    <w:rsid w:val="00F47922"/>
    <w:rsid w:val="00F47B95"/>
    <w:rsid w:val="00F47D6F"/>
    <w:rsid w:val="00F47EA1"/>
    <w:rsid w:val="00F47EAA"/>
    <w:rsid w:val="00F47F7A"/>
    <w:rsid w:val="00F47FBC"/>
    <w:rsid w:val="00F50202"/>
    <w:rsid w:val="00F5021F"/>
    <w:rsid w:val="00F50310"/>
    <w:rsid w:val="00F506C6"/>
    <w:rsid w:val="00F50B00"/>
    <w:rsid w:val="00F50B1E"/>
    <w:rsid w:val="00F50BBE"/>
    <w:rsid w:val="00F50C69"/>
    <w:rsid w:val="00F50D68"/>
    <w:rsid w:val="00F50E83"/>
    <w:rsid w:val="00F50E89"/>
    <w:rsid w:val="00F51271"/>
    <w:rsid w:val="00F51278"/>
    <w:rsid w:val="00F51282"/>
    <w:rsid w:val="00F513E2"/>
    <w:rsid w:val="00F513F4"/>
    <w:rsid w:val="00F5191A"/>
    <w:rsid w:val="00F51B22"/>
    <w:rsid w:val="00F51E20"/>
    <w:rsid w:val="00F51E52"/>
    <w:rsid w:val="00F52138"/>
    <w:rsid w:val="00F52186"/>
    <w:rsid w:val="00F5247E"/>
    <w:rsid w:val="00F527A3"/>
    <w:rsid w:val="00F527BD"/>
    <w:rsid w:val="00F52896"/>
    <w:rsid w:val="00F528BB"/>
    <w:rsid w:val="00F52A87"/>
    <w:rsid w:val="00F52C3B"/>
    <w:rsid w:val="00F52F0F"/>
    <w:rsid w:val="00F5341C"/>
    <w:rsid w:val="00F53461"/>
    <w:rsid w:val="00F53B8B"/>
    <w:rsid w:val="00F53DD2"/>
    <w:rsid w:val="00F53FE9"/>
    <w:rsid w:val="00F53FFF"/>
    <w:rsid w:val="00F544C1"/>
    <w:rsid w:val="00F5451D"/>
    <w:rsid w:val="00F545F1"/>
    <w:rsid w:val="00F5467F"/>
    <w:rsid w:val="00F546D8"/>
    <w:rsid w:val="00F548BB"/>
    <w:rsid w:val="00F54A91"/>
    <w:rsid w:val="00F54FBB"/>
    <w:rsid w:val="00F550E5"/>
    <w:rsid w:val="00F55392"/>
    <w:rsid w:val="00F554F1"/>
    <w:rsid w:val="00F55A62"/>
    <w:rsid w:val="00F55F7B"/>
    <w:rsid w:val="00F55FFB"/>
    <w:rsid w:val="00F5612A"/>
    <w:rsid w:val="00F56172"/>
    <w:rsid w:val="00F561B8"/>
    <w:rsid w:val="00F56287"/>
    <w:rsid w:val="00F56430"/>
    <w:rsid w:val="00F566E4"/>
    <w:rsid w:val="00F56716"/>
    <w:rsid w:val="00F56755"/>
    <w:rsid w:val="00F5682D"/>
    <w:rsid w:val="00F57098"/>
    <w:rsid w:val="00F57105"/>
    <w:rsid w:val="00F57296"/>
    <w:rsid w:val="00F5756B"/>
    <w:rsid w:val="00F5768D"/>
    <w:rsid w:val="00F57B99"/>
    <w:rsid w:val="00F57BAA"/>
    <w:rsid w:val="00F57CD4"/>
    <w:rsid w:val="00F57D0F"/>
    <w:rsid w:val="00F57D75"/>
    <w:rsid w:val="00F57EC7"/>
    <w:rsid w:val="00F57FF5"/>
    <w:rsid w:val="00F60308"/>
    <w:rsid w:val="00F603E2"/>
    <w:rsid w:val="00F6046F"/>
    <w:rsid w:val="00F60677"/>
    <w:rsid w:val="00F6088A"/>
    <w:rsid w:val="00F60A0B"/>
    <w:rsid w:val="00F60A1D"/>
    <w:rsid w:val="00F60DC0"/>
    <w:rsid w:val="00F60F18"/>
    <w:rsid w:val="00F61103"/>
    <w:rsid w:val="00F61198"/>
    <w:rsid w:val="00F61439"/>
    <w:rsid w:val="00F61918"/>
    <w:rsid w:val="00F61CA0"/>
    <w:rsid w:val="00F61E31"/>
    <w:rsid w:val="00F61E72"/>
    <w:rsid w:val="00F62425"/>
    <w:rsid w:val="00F62626"/>
    <w:rsid w:val="00F627EC"/>
    <w:rsid w:val="00F62B40"/>
    <w:rsid w:val="00F62B7A"/>
    <w:rsid w:val="00F62D33"/>
    <w:rsid w:val="00F62FC4"/>
    <w:rsid w:val="00F62FCC"/>
    <w:rsid w:val="00F631AB"/>
    <w:rsid w:val="00F638D0"/>
    <w:rsid w:val="00F6397D"/>
    <w:rsid w:val="00F63B48"/>
    <w:rsid w:val="00F63E46"/>
    <w:rsid w:val="00F63E49"/>
    <w:rsid w:val="00F64005"/>
    <w:rsid w:val="00F6413C"/>
    <w:rsid w:val="00F644AE"/>
    <w:rsid w:val="00F6454C"/>
    <w:rsid w:val="00F64645"/>
    <w:rsid w:val="00F64860"/>
    <w:rsid w:val="00F64AF1"/>
    <w:rsid w:val="00F64C01"/>
    <w:rsid w:val="00F64D07"/>
    <w:rsid w:val="00F64E61"/>
    <w:rsid w:val="00F64E9A"/>
    <w:rsid w:val="00F650F8"/>
    <w:rsid w:val="00F65145"/>
    <w:rsid w:val="00F65325"/>
    <w:rsid w:val="00F653E6"/>
    <w:rsid w:val="00F65723"/>
    <w:rsid w:val="00F65821"/>
    <w:rsid w:val="00F659E4"/>
    <w:rsid w:val="00F65F73"/>
    <w:rsid w:val="00F65FE8"/>
    <w:rsid w:val="00F660CA"/>
    <w:rsid w:val="00F6654E"/>
    <w:rsid w:val="00F66818"/>
    <w:rsid w:val="00F66BA6"/>
    <w:rsid w:val="00F66BEA"/>
    <w:rsid w:val="00F66ECC"/>
    <w:rsid w:val="00F66F54"/>
    <w:rsid w:val="00F673E5"/>
    <w:rsid w:val="00F673E8"/>
    <w:rsid w:val="00F677EB"/>
    <w:rsid w:val="00F677FB"/>
    <w:rsid w:val="00F6786F"/>
    <w:rsid w:val="00F67BC0"/>
    <w:rsid w:val="00F70171"/>
    <w:rsid w:val="00F7033F"/>
    <w:rsid w:val="00F70386"/>
    <w:rsid w:val="00F704C2"/>
    <w:rsid w:val="00F706E7"/>
    <w:rsid w:val="00F710D9"/>
    <w:rsid w:val="00F7121A"/>
    <w:rsid w:val="00F71572"/>
    <w:rsid w:val="00F71769"/>
    <w:rsid w:val="00F71831"/>
    <w:rsid w:val="00F718E3"/>
    <w:rsid w:val="00F718F3"/>
    <w:rsid w:val="00F71DA6"/>
    <w:rsid w:val="00F71DA8"/>
    <w:rsid w:val="00F71E8D"/>
    <w:rsid w:val="00F72089"/>
    <w:rsid w:val="00F720CA"/>
    <w:rsid w:val="00F72240"/>
    <w:rsid w:val="00F722CF"/>
    <w:rsid w:val="00F7269A"/>
    <w:rsid w:val="00F726B6"/>
    <w:rsid w:val="00F727AF"/>
    <w:rsid w:val="00F727CC"/>
    <w:rsid w:val="00F72872"/>
    <w:rsid w:val="00F7293E"/>
    <w:rsid w:val="00F729CA"/>
    <w:rsid w:val="00F72A3D"/>
    <w:rsid w:val="00F72A67"/>
    <w:rsid w:val="00F72C91"/>
    <w:rsid w:val="00F72CF4"/>
    <w:rsid w:val="00F72DB7"/>
    <w:rsid w:val="00F72F84"/>
    <w:rsid w:val="00F73258"/>
    <w:rsid w:val="00F732EB"/>
    <w:rsid w:val="00F733DB"/>
    <w:rsid w:val="00F73655"/>
    <w:rsid w:val="00F73759"/>
    <w:rsid w:val="00F738B3"/>
    <w:rsid w:val="00F73975"/>
    <w:rsid w:val="00F73B9D"/>
    <w:rsid w:val="00F73C74"/>
    <w:rsid w:val="00F73CDB"/>
    <w:rsid w:val="00F73D47"/>
    <w:rsid w:val="00F73E58"/>
    <w:rsid w:val="00F73EE9"/>
    <w:rsid w:val="00F73FC0"/>
    <w:rsid w:val="00F741FE"/>
    <w:rsid w:val="00F743D2"/>
    <w:rsid w:val="00F744FD"/>
    <w:rsid w:val="00F74540"/>
    <w:rsid w:val="00F7493E"/>
    <w:rsid w:val="00F7499D"/>
    <w:rsid w:val="00F74D88"/>
    <w:rsid w:val="00F74F0E"/>
    <w:rsid w:val="00F75246"/>
    <w:rsid w:val="00F75323"/>
    <w:rsid w:val="00F753A4"/>
    <w:rsid w:val="00F75426"/>
    <w:rsid w:val="00F755AF"/>
    <w:rsid w:val="00F759AC"/>
    <w:rsid w:val="00F75A88"/>
    <w:rsid w:val="00F75B28"/>
    <w:rsid w:val="00F75E7F"/>
    <w:rsid w:val="00F75FBC"/>
    <w:rsid w:val="00F761EF"/>
    <w:rsid w:val="00F76432"/>
    <w:rsid w:val="00F764E1"/>
    <w:rsid w:val="00F764EC"/>
    <w:rsid w:val="00F76567"/>
    <w:rsid w:val="00F76650"/>
    <w:rsid w:val="00F766E4"/>
    <w:rsid w:val="00F76978"/>
    <w:rsid w:val="00F76C1D"/>
    <w:rsid w:val="00F76CD6"/>
    <w:rsid w:val="00F76D51"/>
    <w:rsid w:val="00F76F9C"/>
    <w:rsid w:val="00F7705E"/>
    <w:rsid w:val="00F772C3"/>
    <w:rsid w:val="00F77593"/>
    <w:rsid w:val="00F777A6"/>
    <w:rsid w:val="00F7797E"/>
    <w:rsid w:val="00F77C48"/>
    <w:rsid w:val="00F77DB9"/>
    <w:rsid w:val="00F801C9"/>
    <w:rsid w:val="00F802E2"/>
    <w:rsid w:val="00F80752"/>
    <w:rsid w:val="00F8095B"/>
    <w:rsid w:val="00F80AC6"/>
    <w:rsid w:val="00F80AD2"/>
    <w:rsid w:val="00F80E68"/>
    <w:rsid w:val="00F80F34"/>
    <w:rsid w:val="00F810E0"/>
    <w:rsid w:val="00F81110"/>
    <w:rsid w:val="00F8139E"/>
    <w:rsid w:val="00F81430"/>
    <w:rsid w:val="00F81469"/>
    <w:rsid w:val="00F81625"/>
    <w:rsid w:val="00F8162F"/>
    <w:rsid w:val="00F8198D"/>
    <w:rsid w:val="00F81A4C"/>
    <w:rsid w:val="00F81B6C"/>
    <w:rsid w:val="00F81D6A"/>
    <w:rsid w:val="00F81FDB"/>
    <w:rsid w:val="00F823E2"/>
    <w:rsid w:val="00F82490"/>
    <w:rsid w:val="00F8267F"/>
    <w:rsid w:val="00F82834"/>
    <w:rsid w:val="00F82D17"/>
    <w:rsid w:val="00F82E38"/>
    <w:rsid w:val="00F82FAD"/>
    <w:rsid w:val="00F82FE9"/>
    <w:rsid w:val="00F83061"/>
    <w:rsid w:val="00F830A6"/>
    <w:rsid w:val="00F830D9"/>
    <w:rsid w:val="00F831B5"/>
    <w:rsid w:val="00F834E0"/>
    <w:rsid w:val="00F83518"/>
    <w:rsid w:val="00F83729"/>
    <w:rsid w:val="00F8375C"/>
    <w:rsid w:val="00F83765"/>
    <w:rsid w:val="00F8378D"/>
    <w:rsid w:val="00F8383D"/>
    <w:rsid w:val="00F83888"/>
    <w:rsid w:val="00F83BF4"/>
    <w:rsid w:val="00F83D1B"/>
    <w:rsid w:val="00F84490"/>
    <w:rsid w:val="00F844FD"/>
    <w:rsid w:val="00F84724"/>
    <w:rsid w:val="00F848A6"/>
    <w:rsid w:val="00F84D89"/>
    <w:rsid w:val="00F84F3E"/>
    <w:rsid w:val="00F850FE"/>
    <w:rsid w:val="00F854F6"/>
    <w:rsid w:val="00F85516"/>
    <w:rsid w:val="00F85540"/>
    <w:rsid w:val="00F855C8"/>
    <w:rsid w:val="00F856ED"/>
    <w:rsid w:val="00F85814"/>
    <w:rsid w:val="00F85855"/>
    <w:rsid w:val="00F85A50"/>
    <w:rsid w:val="00F85AEA"/>
    <w:rsid w:val="00F85BD2"/>
    <w:rsid w:val="00F85C7D"/>
    <w:rsid w:val="00F85E42"/>
    <w:rsid w:val="00F85FD0"/>
    <w:rsid w:val="00F8607B"/>
    <w:rsid w:val="00F86144"/>
    <w:rsid w:val="00F861CF"/>
    <w:rsid w:val="00F8636B"/>
    <w:rsid w:val="00F86559"/>
    <w:rsid w:val="00F8692E"/>
    <w:rsid w:val="00F86AC9"/>
    <w:rsid w:val="00F86D3B"/>
    <w:rsid w:val="00F86F40"/>
    <w:rsid w:val="00F86FA4"/>
    <w:rsid w:val="00F872DA"/>
    <w:rsid w:val="00F87737"/>
    <w:rsid w:val="00F8791E"/>
    <w:rsid w:val="00F87A6C"/>
    <w:rsid w:val="00F87F77"/>
    <w:rsid w:val="00F90A61"/>
    <w:rsid w:val="00F90B8C"/>
    <w:rsid w:val="00F90B9F"/>
    <w:rsid w:val="00F90E97"/>
    <w:rsid w:val="00F913EA"/>
    <w:rsid w:val="00F91530"/>
    <w:rsid w:val="00F91540"/>
    <w:rsid w:val="00F91623"/>
    <w:rsid w:val="00F91659"/>
    <w:rsid w:val="00F91733"/>
    <w:rsid w:val="00F91800"/>
    <w:rsid w:val="00F9187B"/>
    <w:rsid w:val="00F9196B"/>
    <w:rsid w:val="00F91B18"/>
    <w:rsid w:val="00F91C99"/>
    <w:rsid w:val="00F91CA2"/>
    <w:rsid w:val="00F91E55"/>
    <w:rsid w:val="00F91F76"/>
    <w:rsid w:val="00F92385"/>
    <w:rsid w:val="00F923FB"/>
    <w:rsid w:val="00F92783"/>
    <w:rsid w:val="00F927BC"/>
    <w:rsid w:val="00F92B45"/>
    <w:rsid w:val="00F92EDA"/>
    <w:rsid w:val="00F9333D"/>
    <w:rsid w:val="00F934EC"/>
    <w:rsid w:val="00F93965"/>
    <w:rsid w:val="00F939E6"/>
    <w:rsid w:val="00F93A8C"/>
    <w:rsid w:val="00F93E90"/>
    <w:rsid w:val="00F93F8E"/>
    <w:rsid w:val="00F94008"/>
    <w:rsid w:val="00F940A2"/>
    <w:rsid w:val="00F9485A"/>
    <w:rsid w:val="00F94A31"/>
    <w:rsid w:val="00F94A9A"/>
    <w:rsid w:val="00F94B0F"/>
    <w:rsid w:val="00F94F26"/>
    <w:rsid w:val="00F95110"/>
    <w:rsid w:val="00F95381"/>
    <w:rsid w:val="00F956D3"/>
    <w:rsid w:val="00F959D7"/>
    <w:rsid w:val="00F95A50"/>
    <w:rsid w:val="00F95EDF"/>
    <w:rsid w:val="00F95F75"/>
    <w:rsid w:val="00F9601E"/>
    <w:rsid w:val="00F9602C"/>
    <w:rsid w:val="00F9653C"/>
    <w:rsid w:val="00F965E2"/>
    <w:rsid w:val="00F9677D"/>
    <w:rsid w:val="00F96F1D"/>
    <w:rsid w:val="00F96FFC"/>
    <w:rsid w:val="00F97095"/>
    <w:rsid w:val="00F97231"/>
    <w:rsid w:val="00F97535"/>
    <w:rsid w:val="00F975A5"/>
    <w:rsid w:val="00F97B9B"/>
    <w:rsid w:val="00F97CE6"/>
    <w:rsid w:val="00F97CE9"/>
    <w:rsid w:val="00F97EF8"/>
    <w:rsid w:val="00FA00C5"/>
    <w:rsid w:val="00FA01D0"/>
    <w:rsid w:val="00FA03B7"/>
    <w:rsid w:val="00FA04FD"/>
    <w:rsid w:val="00FA05A6"/>
    <w:rsid w:val="00FA090E"/>
    <w:rsid w:val="00FA09F0"/>
    <w:rsid w:val="00FA0BA0"/>
    <w:rsid w:val="00FA0F00"/>
    <w:rsid w:val="00FA104F"/>
    <w:rsid w:val="00FA11B0"/>
    <w:rsid w:val="00FA11E8"/>
    <w:rsid w:val="00FA11EA"/>
    <w:rsid w:val="00FA132A"/>
    <w:rsid w:val="00FA136D"/>
    <w:rsid w:val="00FA1414"/>
    <w:rsid w:val="00FA1706"/>
    <w:rsid w:val="00FA1782"/>
    <w:rsid w:val="00FA1B4F"/>
    <w:rsid w:val="00FA1B64"/>
    <w:rsid w:val="00FA1CA3"/>
    <w:rsid w:val="00FA215D"/>
    <w:rsid w:val="00FA219C"/>
    <w:rsid w:val="00FA226D"/>
    <w:rsid w:val="00FA22D2"/>
    <w:rsid w:val="00FA240F"/>
    <w:rsid w:val="00FA2677"/>
    <w:rsid w:val="00FA28A3"/>
    <w:rsid w:val="00FA292A"/>
    <w:rsid w:val="00FA2A38"/>
    <w:rsid w:val="00FA2E58"/>
    <w:rsid w:val="00FA2FED"/>
    <w:rsid w:val="00FA30F2"/>
    <w:rsid w:val="00FA337A"/>
    <w:rsid w:val="00FA337B"/>
    <w:rsid w:val="00FA33FD"/>
    <w:rsid w:val="00FA3539"/>
    <w:rsid w:val="00FA36A1"/>
    <w:rsid w:val="00FA38A9"/>
    <w:rsid w:val="00FA3B13"/>
    <w:rsid w:val="00FA3C40"/>
    <w:rsid w:val="00FA3EF5"/>
    <w:rsid w:val="00FA405A"/>
    <w:rsid w:val="00FA45E4"/>
    <w:rsid w:val="00FA4639"/>
    <w:rsid w:val="00FA4964"/>
    <w:rsid w:val="00FA4C7C"/>
    <w:rsid w:val="00FA4E44"/>
    <w:rsid w:val="00FA51EB"/>
    <w:rsid w:val="00FA530C"/>
    <w:rsid w:val="00FA551E"/>
    <w:rsid w:val="00FA5945"/>
    <w:rsid w:val="00FA5A45"/>
    <w:rsid w:val="00FA5AFF"/>
    <w:rsid w:val="00FA5D11"/>
    <w:rsid w:val="00FA5E16"/>
    <w:rsid w:val="00FA5E3F"/>
    <w:rsid w:val="00FA5F4E"/>
    <w:rsid w:val="00FA6151"/>
    <w:rsid w:val="00FA6536"/>
    <w:rsid w:val="00FA6D6D"/>
    <w:rsid w:val="00FA7524"/>
    <w:rsid w:val="00FA76B4"/>
    <w:rsid w:val="00FA7B65"/>
    <w:rsid w:val="00FA8C54"/>
    <w:rsid w:val="00FB035A"/>
    <w:rsid w:val="00FB066A"/>
    <w:rsid w:val="00FB09FD"/>
    <w:rsid w:val="00FB0AAB"/>
    <w:rsid w:val="00FB0D2D"/>
    <w:rsid w:val="00FB0FBC"/>
    <w:rsid w:val="00FB10AE"/>
    <w:rsid w:val="00FB1272"/>
    <w:rsid w:val="00FB12B3"/>
    <w:rsid w:val="00FB1415"/>
    <w:rsid w:val="00FB1469"/>
    <w:rsid w:val="00FB15E4"/>
    <w:rsid w:val="00FB1606"/>
    <w:rsid w:val="00FB163A"/>
    <w:rsid w:val="00FB16BD"/>
    <w:rsid w:val="00FB174E"/>
    <w:rsid w:val="00FB18DD"/>
    <w:rsid w:val="00FB1B1F"/>
    <w:rsid w:val="00FB1B56"/>
    <w:rsid w:val="00FB1BE3"/>
    <w:rsid w:val="00FB1BE6"/>
    <w:rsid w:val="00FB1C59"/>
    <w:rsid w:val="00FB1D85"/>
    <w:rsid w:val="00FB1DCC"/>
    <w:rsid w:val="00FB1F14"/>
    <w:rsid w:val="00FB2105"/>
    <w:rsid w:val="00FB22A6"/>
    <w:rsid w:val="00FB22E4"/>
    <w:rsid w:val="00FB23D7"/>
    <w:rsid w:val="00FB24BF"/>
    <w:rsid w:val="00FB254A"/>
    <w:rsid w:val="00FB25F7"/>
    <w:rsid w:val="00FB277E"/>
    <w:rsid w:val="00FB2996"/>
    <w:rsid w:val="00FB2CDD"/>
    <w:rsid w:val="00FB3025"/>
    <w:rsid w:val="00FB32C0"/>
    <w:rsid w:val="00FB3445"/>
    <w:rsid w:val="00FB3642"/>
    <w:rsid w:val="00FB3A32"/>
    <w:rsid w:val="00FB3CD2"/>
    <w:rsid w:val="00FB3E3B"/>
    <w:rsid w:val="00FB41C0"/>
    <w:rsid w:val="00FB4246"/>
    <w:rsid w:val="00FB42B6"/>
    <w:rsid w:val="00FB432F"/>
    <w:rsid w:val="00FB43BC"/>
    <w:rsid w:val="00FB43FF"/>
    <w:rsid w:val="00FB45D0"/>
    <w:rsid w:val="00FB463F"/>
    <w:rsid w:val="00FB4730"/>
    <w:rsid w:val="00FB4E12"/>
    <w:rsid w:val="00FB4E50"/>
    <w:rsid w:val="00FB523F"/>
    <w:rsid w:val="00FB535E"/>
    <w:rsid w:val="00FB5366"/>
    <w:rsid w:val="00FB539F"/>
    <w:rsid w:val="00FB57F8"/>
    <w:rsid w:val="00FB5903"/>
    <w:rsid w:val="00FB592A"/>
    <w:rsid w:val="00FB5AC8"/>
    <w:rsid w:val="00FB5CCD"/>
    <w:rsid w:val="00FB5E5E"/>
    <w:rsid w:val="00FB5F49"/>
    <w:rsid w:val="00FB606B"/>
    <w:rsid w:val="00FB64EC"/>
    <w:rsid w:val="00FB6669"/>
    <w:rsid w:val="00FB6C0A"/>
    <w:rsid w:val="00FB6D86"/>
    <w:rsid w:val="00FB6E6B"/>
    <w:rsid w:val="00FB6EFF"/>
    <w:rsid w:val="00FB728E"/>
    <w:rsid w:val="00FB7365"/>
    <w:rsid w:val="00FB7402"/>
    <w:rsid w:val="00FB7A42"/>
    <w:rsid w:val="00FB7DA4"/>
    <w:rsid w:val="00FB7F25"/>
    <w:rsid w:val="00FC027A"/>
    <w:rsid w:val="00FC02A3"/>
    <w:rsid w:val="00FC0603"/>
    <w:rsid w:val="00FC0906"/>
    <w:rsid w:val="00FC0E87"/>
    <w:rsid w:val="00FC0F02"/>
    <w:rsid w:val="00FC110D"/>
    <w:rsid w:val="00FC114C"/>
    <w:rsid w:val="00FC146D"/>
    <w:rsid w:val="00FC161A"/>
    <w:rsid w:val="00FC17A0"/>
    <w:rsid w:val="00FC182B"/>
    <w:rsid w:val="00FC193C"/>
    <w:rsid w:val="00FC1A41"/>
    <w:rsid w:val="00FC1B34"/>
    <w:rsid w:val="00FC1C3C"/>
    <w:rsid w:val="00FC1D83"/>
    <w:rsid w:val="00FC1F38"/>
    <w:rsid w:val="00FC1F3F"/>
    <w:rsid w:val="00FC1FE7"/>
    <w:rsid w:val="00FC20BC"/>
    <w:rsid w:val="00FC2460"/>
    <w:rsid w:val="00FC25FF"/>
    <w:rsid w:val="00FC270A"/>
    <w:rsid w:val="00FC27DC"/>
    <w:rsid w:val="00FC292E"/>
    <w:rsid w:val="00FC2BF8"/>
    <w:rsid w:val="00FC2D27"/>
    <w:rsid w:val="00FC2EFF"/>
    <w:rsid w:val="00FC2F8D"/>
    <w:rsid w:val="00FC312F"/>
    <w:rsid w:val="00FC3419"/>
    <w:rsid w:val="00FC3594"/>
    <w:rsid w:val="00FC36F8"/>
    <w:rsid w:val="00FC36F9"/>
    <w:rsid w:val="00FC3B72"/>
    <w:rsid w:val="00FC3E1D"/>
    <w:rsid w:val="00FC41D3"/>
    <w:rsid w:val="00FC446D"/>
    <w:rsid w:val="00FC4619"/>
    <w:rsid w:val="00FC4734"/>
    <w:rsid w:val="00FC47F9"/>
    <w:rsid w:val="00FC4ADC"/>
    <w:rsid w:val="00FC4B65"/>
    <w:rsid w:val="00FC4BEF"/>
    <w:rsid w:val="00FC4C9B"/>
    <w:rsid w:val="00FC530E"/>
    <w:rsid w:val="00FC55A2"/>
    <w:rsid w:val="00FC5771"/>
    <w:rsid w:val="00FC57DD"/>
    <w:rsid w:val="00FC5924"/>
    <w:rsid w:val="00FC59CE"/>
    <w:rsid w:val="00FC5E38"/>
    <w:rsid w:val="00FC5F6B"/>
    <w:rsid w:val="00FC61F9"/>
    <w:rsid w:val="00FC646F"/>
    <w:rsid w:val="00FC665D"/>
    <w:rsid w:val="00FC67E8"/>
    <w:rsid w:val="00FC68B4"/>
    <w:rsid w:val="00FC6A20"/>
    <w:rsid w:val="00FC6AD2"/>
    <w:rsid w:val="00FC6B08"/>
    <w:rsid w:val="00FC6CBC"/>
    <w:rsid w:val="00FC6D54"/>
    <w:rsid w:val="00FC6F90"/>
    <w:rsid w:val="00FC70F9"/>
    <w:rsid w:val="00FC7229"/>
    <w:rsid w:val="00FC7598"/>
    <w:rsid w:val="00FC7714"/>
    <w:rsid w:val="00FC7878"/>
    <w:rsid w:val="00FC78A3"/>
    <w:rsid w:val="00FC78F4"/>
    <w:rsid w:val="00FC79FA"/>
    <w:rsid w:val="00FC7B34"/>
    <w:rsid w:val="00FC7B8E"/>
    <w:rsid w:val="00FC7DD7"/>
    <w:rsid w:val="00FC7F07"/>
    <w:rsid w:val="00FD01A6"/>
    <w:rsid w:val="00FD02B7"/>
    <w:rsid w:val="00FD0551"/>
    <w:rsid w:val="00FD083E"/>
    <w:rsid w:val="00FD0A64"/>
    <w:rsid w:val="00FD0CE3"/>
    <w:rsid w:val="00FD0DFF"/>
    <w:rsid w:val="00FD0F3B"/>
    <w:rsid w:val="00FD1077"/>
    <w:rsid w:val="00FD1181"/>
    <w:rsid w:val="00FD13BF"/>
    <w:rsid w:val="00FD16DB"/>
    <w:rsid w:val="00FD1849"/>
    <w:rsid w:val="00FD20C1"/>
    <w:rsid w:val="00FD264E"/>
    <w:rsid w:val="00FD2A01"/>
    <w:rsid w:val="00FD2AAB"/>
    <w:rsid w:val="00FD2CD3"/>
    <w:rsid w:val="00FD2D89"/>
    <w:rsid w:val="00FD2DD5"/>
    <w:rsid w:val="00FD32DB"/>
    <w:rsid w:val="00FD349E"/>
    <w:rsid w:val="00FD3528"/>
    <w:rsid w:val="00FD354A"/>
    <w:rsid w:val="00FD3740"/>
    <w:rsid w:val="00FD3A77"/>
    <w:rsid w:val="00FD3C0D"/>
    <w:rsid w:val="00FD3C66"/>
    <w:rsid w:val="00FD3E1C"/>
    <w:rsid w:val="00FD3E1E"/>
    <w:rsid w:val="00FD41A2"/>
    <w:rsid w:val="00FD45F3"/>
    <w:rsid w:val="00FD4645"/>
    <w:rsid w:val="00FD4A19"/>
    <w:rsid w:val="00FD4A57"/>
    <w:rsid w:val="00FD4E3B"/>
    <w:rsid w:val="00FD4FB0"/>
    <w:rsid w:val="00FD4FC2"/>
    <w:rsid w:val="00FD530B"/>
    <w:rsid w:val="00FD5336"/>
    <w:rsid w:val="00FD5345"/>
    <w:rsid w:val="00FD5499"/>
    <w:rsid w:val="00FD5602"/>
    <w:rsid w:val="00FD573F"/>
    <w:rsid w:val="00FD5882"/>
    <w:rsid w:val="00FD5949"/>
    <w:rsid w:val="00FD595A"/>
    <w:rsid w:val="00FD59D4"/>
    <w:rsid w:val="00FD5CBF"/>
    <w:rsid w:val="00FD5CD9"/>
    <w:rsid w:val="00FD5D4E"/>
    <w:rsid w:val="00FD653A"/>
    <w:rsid w:val="00FD6666"/>
    <w:rsid w:val="00FD66BB"/>
    <w:rsid w:val="00FD6BB2"/>
    <w:rsid w:val="00FD6DF0"/>
    <w:rsid w:val="00FD700B"/>
    <w:rsid w:val="00FD705C"/>
    <w:rsid w:val="00FD74A2"/>
    <w:rsid w:val="00FD7613"/>
    <w:rsid w:val="00FD7769"/>
    <w:rsid w:val="00FD7B99"/>
    <w:rsid w:val="00FD7C0A"/>
    <w:rsid w:val="00FD7D6B"/>
    <w:rsid w:val="00FD7EAA"/>
    <w:rsid w:val="00FD7F85"/>
    <w:rsid w:val="00FD7FF5"/>
    <w:rsid w:val="00FE0423"/>
    <w:rsid w:val="00FE06C2"/>
    <w:rsid w:val="00FE0963"/>
    <w:rsid w:val="00FE0BB8"/>
    <w:rsid w:val="00FE0CBF"/>
    <w:rsid w:val="00FE1011"/>
    <w:rsid w:val="00FE1133"/>
    <w:rsid w:val="00FE1181"/>
    <w:rsid w:val="00FE131D"/>
    <w:rsid w:val="00FE148B"/>
    <w:rsid w:val="00FE1781"/>
    <w:rsid w:val="00FE19F2"/>
    <w:rsid w:val="00FE1B35"/>
    <w:rsid w:val="00FE1B9C"/>
    <w:rsid w:val="00FE1DC2"/>
    <w:rsid w:val="00FE2351"/>
    <w:rsid w:val="00FE2425"/>
    <w:rsid w:val="00FE26F5"/>
    <w:rsid w:val="00FE2889"/>
    <w:rsid w:val="00FE2E11"/>
    <w:rsid w:val="00FE32CA"/>
    <w:rsid w:val="00FE337D"/>
    <w:rsid w:val="00FE33A6"/>
    <w:rsid w:val="00FE3782"/>
    <w:rsid w:val="00FE39EB"/>
    <w:rsid w:val="00FE3A89"/>
    <w:rsid w:val="00FE3B47"/>
    <w:rsid w:val="00FE3BA1"/>
    <w:rsid w:val="00FE3CA2"/>
    <w:rsid w:val="00FE3DDE"/>
    <w:rsid w:val="00FE3E05"/>
    <w:rsid w:val="00FE3EE8"/>
    <w:rsid w:val="00FE408B"/>
    <w:rsid w:val="00FE4139"/>
    <w:rsid w:val="00FE414E"/>
    <w:rsid w:val="00FE45A8"/>
    <w:rsid w:val="00FE484C"/>
    <w:rsid w:val="00FE4990"/>
    <w:rsid w:val="00FE4C7F"/>
    <w:rsid w:val="00FE4DB4"/>
    <w:rsid w:val="00FE4F1B"/>
    <w:rsid w:val="00FE5216"/>
    <w:rsid w:val="00FE5580"/>
    <w:rsid w:val="00FE5623"/>
    <w:rsid w:val="00FE5960"/>
    <w:rsid w:val="00FE5CBA"/>
    <w:rsid w:val="00FE5D7E"/>
    <w:rsid w:val="00FE5DC9"/>
    <w:rsid w:val="00FE5F59"/>
    <w:rsid w:val="00FE67C7"/>
    <w:rsid w:val="00FE6935"/>
    <w:rsid w:val="00FE69ED"/>
    <w:rsid w:val="00FE6B8C"/>
    <w:rsid w:val="00FE6BF2"/>
    <w:rsid w:val="00FE6C09"/>
    <w:rsid w:val="00FE6E6C"/>
    <w:rsid w:val="00FE7139"/>
    <w:rsid w:val="00FE71BC"/>
    <w:rsid w:val="00FE71EE"/>
    <w:rsid w:val="00FE7280"/>
    <w:rsid w:val="00FE73DD"/>
    <w:rsid w:val="00FE763E"/>
    <w:rsid w:val="00FE7949"/>
    <w:rsid w:val="00FE7AF5"/>
    <w:rsid w:val="00FE7B1D"/>
    <w:rsid w:val="00FE7C7A"/>
    <w:rsid w:val="00FE7DC4"/>
    <w:rsid w:val="00FF0081"/>
    <w:rsid w:val="00FF0285"/>
    <w:rsid w:val="00FF0349"/>
    <w:rsid w:val="00FF0530"/>
    <w:rsid w:val="00FF0673"/>
    <w:rsid w:val="00FF0838"/>
    <w:rsid w:val="00FF08CE"/>
    <w:rsid w:val="00FF110C"/>
    <w:rsid w:val="00FF17BE"/>
    <w:rsid w:val="00FF17F1"/>
    <w:rsid w:val="00FF187E"/>
    <w:rsid w:val="00FF193E"/>
    <w:rsid w:val="00FF1B16"/>
    <w:rsid w:val="00FF1BE6"/>
    <w:rsid w:val="00FF1BEA"/>
    <w:rsid w:val="00FF1D4C"/>
    <w:rsid w:val="00FF1E44"/>
    <w:rsid w:val="00FF1F34"/>
    <w:rsid w:val="00FF2088"/>
    <w:rsid w:val="00FF26D9"/>
    <w:rsid w:val="00FF2832"/>
    <w:rsid w:val="00FF2851"/>
    <w:rsid w:val="00FF296D"/>
    <w:rsid w:val="00FF2BB1"/>
    <w:rsid w:val="00FF2C04"/>
    <w:rsid w:val="00FF2D0D"/>
    <w:rsid w:val="00FF2D89"/>
    <w:rsid w:val="00FF317E"/>
    <w:rsid w:val="00FF3183"/>
    <w:rsid w:val="00FF340B"/>
    <w:rsid w:val="00FF3495"/>
    <w:rsid w:val="00FF35BA"/>
    <w:rsid w:val="00FF370B"/>
    <w:rsid w:val="00FF375C"/>
    <w:rsid w:val="00FF3A15"/>
    <w:rsid w:val="00FF3AB6"/>
    <w:rsid w:val="00FF3BCC"/>
    <w:rsid w:val="00FF3D79"/>
    <w:rsid w:val="00FF3FEE"/>
    <w:rsid w:val="00FF4185"/>
    <w:rsid w:val="00FF4427"/>
    <w:rsid w:val="00FF45C6"/>
    <w:rsid w:val="00FF4703"/>
    <w:rsid w:val="00FF4944"/>
    <w:rsid w:val="00FF4A2F"/>
    <w:rsid w:val="00FF4A59"/>
    <w:rsid w:val="00FF4A60"/>
    <w:rsid w:val="00FF4B7A"/>
    <w:rsid w:val="00FF4C02"/>
    <w:rsid w:val="00FF4FC0"/>
    <w:rsid w:val="00FF5026"/>
    <w:rsid w:val="00FF508D"/>
    <w:rsid w:val="00FF50C9"/>
    <w:rsid w:val="00FF5250"/>
    <w:rsid w:val="00FF5355"/>
    <w:rsid w:val="00FF53A3"/>
    <w:rsid w:val="00FF55DC"/>
    <w:rsid w:val="00FF5767"/>
    <w:rsid w:val="00FF583D"/>
    <w:rsid w:val="00FF5851"/>
    <w:rsid w:val="00FF597E"/>
    <w:rsid w:val="00FF59D4"/>
    <w:rsid w:val="00FF5C39"/>
    <w:rsid w:val="00FF61C8"/>
    <w:rsid w:val="00FF62C4"/>
    <w:rsid w:val="00FF62C9"/>
    <w:rsid w:val="00FF6682"/>
    <w:rsid w:val="00FF66C9"/>
    <w:rsid w:val="00FF66E0"/>
    <w:rsid w:val="00FF6858"/>
    <w:rsid w:val="00FF6899"/>
    <w:rsid w:val="00FF6AAF"/>
    <w:rsid w:val="00FF6C28"/>
    <w:rsid w:val="00FF6EBD"/>
    <w:rsid w:val="00FF6F8E"/>
    <w:rsid w:val="00FF73AF"/>
    <w:rsid w:val="00FF7495"/>
    <w:rsid w:val="00FF7547"/>
    <w:rsid w:val="00FF7CA3"/>
    <w:rsid w:val="0106A5E8"/>
    <w:rsid w:val="011275FE"/>
    <w:rsid w:val="01241D7F"/>
    <w:rsid w:val="0125FC48"/>
    <w:rsid w:val="0127B7BC"/>
    <w:rsid w:val="012D58D6"/>
    <w:rsid w:val="01348115"/>
    <w:rsid w:val="01353380"/>
    <w:rsid w:val="013BEC66"/>
    <w:rsid w:val="013C2E53"/>
    <w:rsid w:val="013D5995"/>
    <w:rsid w:val="0146C9A8"/>
    <w:rsid w:val="014716F6"/>
    <w:rsid w:val="014A6EA0"/>
    <w:rsid w:val="014EC636"/>
    <w:rsid w:val="01572DE6"/>
    <w:rsid w:val="01582D44"/>
    <w:rsid w:val="0160180D"/>
    <w:rsid w:val="01656C74"/>
    <w:rsid w:val="01686321"/>
    <w:rsid w:val="0168E079"/>
    <w:rsid w:val="01711DAA"/>
    <w:rsid w:val="018E02E6"/>
    <w:rsid w:val="019C30D5"/>
    <w:rsid w:val="01A0B585"/>
    <w:rsid w:val="01A21F9E"/>
    <w:rsid w:val="01AE3817"/>
    <w:rsid w:val="01B5BC7A"/>
    <w:rsid w:val="01C64CDE"/>
    <w:rsid w:val="01D0FD1F"/>
    <w:rsid w:val="01D4D67B"/>
    <w:rsid w:val="01D835DD"/>
    <w:rsid w:val="01E10ECB"/>
    <w:rsid w:val="01F0B661"/>
    <w:rsid w:val="01F4BCE1"/>
    <w:rsid w:val="01F8139F"/>
    <w:rsid w:val="01FB8DD2"/>
    <w:rsid w:val="01FC3D7E"/>
    <w:rsid w:val="02017F49"/>
    <w:rsid w:val="02076564"/>
    <w:rsid w:val="020D15FF"/>
    <w:rsid w:val="021E63CE"/>
    <w:rsid w:val="02287D20"/>
    <w:rsid w:val="02381C32"/>
    <w:rsid w:val="023CDD83"/>
    <w:rsid w:val="02419431"/>
    <w:rsid w:val="02434A93"/>
    <w:rsid w:val="024C6372"/>
    <w:rsid w:val="024CDE87"/>
    <w:rsid w:val="0251F0BD"/>
    <w:rsid w:val="0255AC0C"/>
    <w:rsid w:val="02583F9F"/>
    <w:rsid w:val="0258612A"/>
    <w:rsid w:val="0258EC29"/>
    <w:rsid w:val="0267FB1E"/>
    <w:rsid w:val="0278EDC2"/>
    <w:rsid w:val="027A4A35"/>
    <w:rsid w:val="027F7F8C"/>
    <w:rsid w:val="02844003"/>
    <w:rsid w:val="0287CBEC"/>
    <w:rsid w:val="0288C188"/>
    <w:rsid w:val="02A17135"/>
    <w:rsid w:val="02A6499F"/>
    <w:rsid w:val="02B00CA7"/>
    <w:rsid w:val="02BF15DA"/>
    <w:rsid w:val="02C2F771"/>
    <w:rsid w:val="02CBBFB2"/>
    <w:rsid w:val="02CBEF6B"/>
    <w:rsid w:val="02D13824"/>
    <w:rsid w:val="02F673F8"/>
    <w:rsid w:val="02F8AB49"/>
    <w:rsid w:val="0305CB28"/>
    <w:rsid w:val="030789BB"/>
    <w:rsid w:val="030EDC47"/>
    <w:rsid w:val="03177109"/>
    <w:rsid w:val="031C530F"/>
    <w:rsid w:val="032261B2"/>
    <w:rsid w:val="0327FF99"/>
    <w:rsid w:val="0330B8E8"/>
    <w:rsid w:val="033C3F4D"/>
    <w:rsid w:val="034B7995"/>
    <w:rsid w:val="035B4A4C"/>
    <w:rsid w:val="03685A41"/>
    <w:rsid w:val="036ADACC"/>
    <w:rsid w:val="036DFB91"/>
    <w:rsid w:val="036F42C4"/>
    <w:rsid w:val="0370541C"/>
    <w:rsid w:val="03814029"/>
    <w:rsid w:val="03910358"/>
    <w:rsid w:val="03969433"/>
    <w:rsid w:val="039E2D4A"/>
    <w:rsid w:val="03BC4AAB"/>
    <w:rsid w:val="03C09A98"/>
    <w:rsid w:val="03C1F621"/>
    <w:rsid w:val="03D1D190"/>
    <w:rsid w:val="03DE11F9"/>
    <w:rsid w:val="03E1133C"/>
    <w:rsid w:val="03E9AE32"/>
    <w:rsid w:val="03EA2CD9"/>
    <w:rsid w:val="03ECF656"/>
    <w:rsid w:val="03F3939A"/>
    <w:rsid w:val="03F4FEC2"/>
    <w:rsid w:val="03FC667A"/>
    <w:rsid w:val="04078243"/>
    <w:rsid w:val="040F9603"/>
    <w:rsid w:val="0424C190"/>
    <w:rsid w:val="0424D8B9"/>
    <w:rsid w:val="0439767D"/>
    <w:rsid w:val="043AD2EF"/>
    <w:rsid w:val="043E8C96"/>
    <w:rsid w:val="0441648C"/>
    <w:rsid w:val="044A9AC9"/>
    <w:rsid w:val="044CC717"/>
    <w:rsid w:val="045CAC76"/>
    <w:rsid w:val="046B37CA"/>
    <w:rsid w:val="0477F879"/>
    <w:rsid w:val="04853258"/>
    <w:rsid w:val="04869CC3"/>
    <w:rsid w:val="048D011D"/>
    <w:rsid w:val="0499109A"/>
    <w:rsid w:val="049BD899"/>
    <w:rsid w:val="049FFCEB"/>
    <w:rsid w:val="04AAF7E1"/>
    <w:rsid w:val="04B4464B"/>
    <w:rsid w:val="04B7B08D"/>
    <w:rsid w:val="04C43986"/>
    <w:rsid w:val="04C4F3D6"/>
    <w:rsid w:val="04CBFC35"/>
    <w:rsid w:val="04D05F26"/>
    <w:rsid w:val="04D1F649"/>
    <w:rsid w:val="04D2C5F7"/>
    <w:rsid w:val="04E05B72"/>
    <w:rsid w:val="04FF6EB2"/>
    <w:rsid w:val="05102823"/>
    <w:rsid w:val="051441C4"/>
    <w:rsid w:val="0527FC30"/>
    <w:rsid w:val="0530AAD4"/>
    <w:rsid w:val="05359213"/>
    <w:rsid w:val="053AD98C"/>
    <w:rsid w:val="05449379"/>
    <w:rsid w:val="05536650"/>
    <w:rsid w:val="055CB30B"/>
    <w:rsid w:val="056EE9FE"/>
    <w:rsid w:val="05785AD4"/>
    <w:rsid w:val="057B692E"/>
    <w:rsid w:val="057FA232"/>
    <w:rsid w:val="05937E1E"/>
    <w:rsid w:val="05967AE2"/>
    <w:rsid w:val="059AF57E"/>
    <w:rsid w:val="05A19C3A"/>
    <w:rsid w:val="05AAD4AD"/>
    <w:rsid w:val="05AD9852"/>
    <w:rsid w:val="05B71D51"/>
    <w:rsid w:val="05B73560"/>
    <w:rsid w:val="05BF1E34"/>
    <w:rsid w:val="05C3ADE8"/>
    <w:rsid w:val="05C83839"/>
    <w:rsid w:val="05CBAD6A"/>
    <w:rsid w:val="05D09A36"/>
    <w:rsid w:val="05DBD79B"/>
    <w:rsid w:val="05E47BDE"/>
    <w:rsid w:val="05E50C92"/>
    <w:rsid w:val="05E67455"/>
    <w:rsid w:val="05E79869"/>
    <w:rsid w:val="05F0C28D"/>
    <w:rsid w:val="05F26CEB"/>
    <w:rsid w:val="05F353F2"/>
    <w:rsid w:val="060660F1"/>
    <w:rsid w:val="06127694"/>
    <w:rsid w:val="06135521"/>
    <w:rsid w:val="06157378"/>
    <w:rsid w:val="062AE3F9"/>
    <w:rsid w:val="062D286E"/>
    <w:rsid w:val="0643A8E2"/>
    <w:rsid w:val="06525E51"/>
    <w:rsid w:val="06532370"/>
    <w:rsid w:val="065A769F"/>
    <w:rsid w:val="06606D8E"/>
    <w:rsid w:val="066A8606"/>
    <w:rsid w:val="06758A98"/>
    <w:rsid w:val="0677EFC8"/>
    <w:rsid w:val="067BAC2D"/>
    <w:rsid w:val="067F2C29"/>
    <w:rsid w:val="06829D81"/>
    <w:rsid w:val="068BFAA7"/>
    <w:rsid w:val="06912F7C"/>
    <w:rsid w:val="0697A342"/>
    <w:rsid w:val="069AC492"/>
    <w:rsid w:val="06B7C7A6"/>
    <w:rsid w:val="06BD5968"/>
    <w:rsid w:val="06C27D24"/>
    <w:rsid w:val="06EC250A"/>
    <w:rsid w:val="06EC5CE6"/>
    <w:rsid w:val="06ED79AC"/>
    <w:rsid w:val="06EE646A"/>
    <w:rsid w:val="06F112D2"/>
    <w:rsid w:val="06F38B13"/>
    <w:rsid w:val="06F8B694"/>
    <w:rsid w:val="07083F5B"/>
    <w:rsid w:val="070A23C6"/>
    <w:rsid w:val="070B4051"/>
    <w:rsid w:val="070C1F7C"/>
    <w:rsid w:val="070C7AE9"/>
    <w:rsid w:val="0722CB4E"/>
    <w:rsid w:val="0729B424"/>
    <w:rsid w:val="072A18E0"/>
    <w:rsid w:val="072E5A94"/>
    <w:rsid w:val="0734433B"/>
    <w:rsid w:val="07372A80"/>
    <w:rsid w:val="0738516E"/>
    <w:rsid w:val="0740F108"/>
    <w:rsid w:val="0749E8F0"/>
    <w:rsid w:val="074B42E1"/>
    <w:rsid w:val="0754789E"/>
    <w:rsid w:val="0754ACE4"/>
    <w:rsid w:val="077CC31E"/>
    <w:rsid w:val="079132E5"/>
    <w:rsid w:val="0795E3CF"/>
    <w:rsid w:val="079F836C"/>
    <w:rsid w:val="07AC5F92"/>
    <w:rsid w:val="07B67EBB"/>
    <w:rsid w:val="07BA3AA1"/>
    <w:rsid w:val="07C49E18"/>
    <w:rsid w:val="07C710AE"/>
    <w:rsid w:val="07CCC5C8"/>
    <w:rsid w:val="07D96301"/>
    <w:rsid w:val="07DBE22D"/>
    <w:rsid w:val="07DC14CF"/>
    <w:rsid w:val="07EB318C"/>
    <w:rsid w:val="07EF8866"/>
    <w:rsid w:val="07F0A955"/>
    <w:rsid w:val="07F8CD58"/>
    <w:rsid w:val="07FFBA7F"/>
    <w:rsid w:val="0804279E"/>
    <w:rsid w:val="08047A80"/>
    <w:rsid w:val="080F9E29"/>
    <w:rsid w:val="081A9D9A"/>
    <w:rsid w:val="081BD0CA"/>
    <w:rsid w:val="081FF27E"/>
    <w:rsid w:val="0821A024"/>
    <w:rsid w:val="0831E135"/>
    <w:rsid w:val="0835B5CF"/>
    <w:rsid w:val="08485293"/>
    <w:rsid w:val="0852FA36"/>
    <w:rsid w:val="0854C0E4"/>
    <w:rsid w:val="085F898B"/>
    <w:rsid w:val="0865C372"/>
    <w:rsid w:val="0874F0F0"/>
    <w:rsid w:val="08855E39"/>
    <w:rsid w:val="088FB500"/>
    <w:rsid w:val="08A272F7"/>
    <w:rsid w:val="08A69E4F"/>
    <w:rsid w:val="08AB3407"/>
    <w:rsid w:val="08ACDEC4"/>
    <w:rsid w:val="08CB6DDA"/>
    <w:rsid w:val="08CC31B5"/>
    <w:rsid w:val="08D44016"/>
    <w:rsid w:val="08D95CEB"/>
    <w:rsid w:val="08E0B9B0"/>
    <w:rsid w:val="08E40A2F"/>
    <w:rsid w:val="09023AA2"/>
    <w:rsid w:val="090922BE"/>
    <w:rsid w:val="090E6E20"/>
    <w:rsid w:val="091F6D0E"/>
    <w:rsid w:val="092C77E6"/>
    <w:rsid w:val="0933B7CB"/>
    <w:rsid w:val="093CE687"/>
    <w:rsid w:val="094DDA03"/>
    <w:rsid w:val="0953403B"/>
    <w:rsid w:val="0956F187"/>
    <w:rsid w:val="095CF7C4"/>
    <w:rsid w:val="095DA4C8"/>
    <w:rsid w:val="096BC0C1"/>
    <w:rsid w:val="096FD18C"/>
    <w:rsid w:val="09751491"/>
    <w:rsid w:val="09785245"/>
    <w:rsid w:val="09800DCD"/>
    <w:rsid w:val="0989AD18"/>
    <w:rsid w:val="098FAB36"/>
    <w:rsid w:val="09A02A5F"/>
    <w:rsid w:val="09A8EBA5"/>
    <w:rsid w:val="09C7C26E"/>
    <w:rsid w:val="09CEA3E5"/>
    <w:rsid w:val="09D39B1A"/>
    <w:rsid w:val="09E8583B"/>
    <w:rsid w:val="09EAA719"/>
    <w:rsid w:val="09F1581F"/>
    <w:rsid w:val="0A004AD3"/>
    <w:rsid w:val="0A187EC1"/>
    <w:rsid w:val="0A1C0410"/>
    <w:rsid w:val="0A1C049C"/>
    <w:rsid w:val="0A3498C1"/>
    <w:rsid w:val="0A3AB352"/>
    <w:rsid w:val="0A3EFF6F"/>
    <w:rsid w:val="0A4DF272"/>
    <w:rsid w:val="0A571A88"/>
    <w:rsid w:val="0A57C33F"/>
    <w:rsid w:val="0A5E6349"/>
    <w:rsid w:val="0A61645F"/>
    <w:rsid w:val="0A65AB41"/>
    <w:rsid w:val="0A65F276"/>
    <w:rsid w:val="0A7D5987"/>
    <w:rsid w:val="0A8562FE"/>
    <w:rsid w:val="0A8BBE39"/>
    <w:rsid w:val="0A911FF4"/>
    <w:rsid w:val="0A95697D"/>
    <w:rsid w:val="0AA99D13"/>
    <w:rsid w:val="0ABC365D"/>
    <w:rsid w:val="0AC06AD3"/>
    <w:rsid w:val="0ADB06EC"/>
    <w:rsid w:val="0AFF794E"/>
    <w:rsid w:val="0B0F3181"/>
    <w:rsid w:val="0B105B25"/>
    <w:rsid w:val="0B31AE39"/>
    <w:rsid w:val="0B32F6C7"/>
    <w:rsid w:val="0B4C19CE"/>
    <w:rsid w:val="0B5435B9"/>
    <w:rsid w:val="0B5DDDD2"/>
    <w:rsid w:val="0B67AB30"/>
    <w:rsid w:val="0B6EF728"/>
    <w:rsid w:val="0B71E930"/>
    <w:rsid w:val="0B728460"/>
    <w:rsid w:val="0B7EBDBC"/>
    <w:rsid w:val="0B808960"/>
    <w:rsid w:val="0B899BCF"/>
    <w:rsid w:val="0B8FDBC0"/>
    <w:rsid w:val="0B91D774"/>
    <w:rsid w:val="0B928396"/>
    <w:rsid w:val="0B947B73"/>
    <w:rsid w:val="0BACC15D"/>
    <w:rsid w:val="0BB29A74"/>
    <w:rsid w:val="0BC14F33"/>
    <w:rsid w:val="0BC57AE5"/>
    <w:rsid w:val="0BDC9B02"/>
    <w:rsid w:val="0BEB737E"/>
    <w:rsid w:val="0BED6662"/>
    <w:rsid w:val="0BF1F9FD"/>
    <w:rsid w:val="0BF35F9B"/>
    <w:rsid w:val="0C01EDD5"/>
    <w:rsid w:val="0C0C0021"/>
    <w:rsid w:val="0C2314E0"/>
    <w:rsid w:val="0C30CC30"/>
    <w:rsid w:val="0C326373"/>
    <w:rsid w:val="0C3BCC82"/>
    <w:rsid w:val="0C4EBF4A"/>
    <w:rsid w:val="0C5469CC"/>
    <w:rsid w:val="0C6F7C41"/>
    <w:rsid w:val="0C744F72"/>
    <w:rsid w:val="0C7615B1"/>
    <w:rsid w:val="0C790883"/>
    <w:rsid w:val="0C8FB681"/>
    <w:rsid w:val="0C8FC66F"/>
    <w:rsid w:val="0C8FDEDE"/>
    <w:rsid w:val="0C92B5DC"/>
    <w:rsid w:val="0C9C5995"/>
    <w:rsid w:val="0CA00D10"/>
    <w:rsid w:val="0CA7F62D"/>
    <w:rsid w:val="0CB35164"/>
    <w:rsid w:val="0CB59317"/>
    <w:rsid w:val="0CC224F0"/>
    <w:rsid w:val="0CCCD27C"/>
    <w:rsid w:val="0CCE47C0"/>
    <w:rsid w:val="0CCEAB61"/>
    <w:rsid w:val="0CD247BE"/>
    <w:rsid w:val="0CD48164"/>
    <w:rsid w:val="0CD5A954"/>
    <w:rsid w:val="0CD7A4BE"/>
    <w:rsid w:val="0CD9C2E6"/>
    <w:rsid w:val="0CDD1E5D"/>
    <w:rsid w:val="0CE1C18F"/>
    <w:rsid w:val="0CE3352A"/>
    <w:rsid w:val="0CE51AF7"/>
    <w:rsid w:val="0CE6702A"/>
    <w:rsid w:val="0CED8E4B"/>
    <w:rsid w:val="0CF00392"/>
    <w:rsid w:val="0CF1A0C7"/>
    <w:rsid w:val="0D0FE655"/>
    <w:rsid w:val="0D16646F"/>
    <w:rsid w:val="0D275401"/>
    <w:rsid w:val="0D30BB81"/>
    <w:rsid w:val="0D311C76"/>
    <w:rsid w:val="0D32548A"/>
    <w:rsid w:val="0D48451A"/>
    <w:rsid w:val="0D489896"/>
    <w:rsid w:val="0D4A7136"/>
    <w:rsid w:val="0D4DC849"/>
    <w:rsid w:val="0D4E00B3"/>
    <w:rsid w:val="0D77E2C1"/>
    <w:rsid w:val="0D8D07FC"/>
    <w:rsid w:val="0D918C7E"/>
    <w:rsid w:val="0D9B3BF2"/>
    <w:rsid w:val="0DA3D6D1"/>
    <w:rsid w:val="0DB38A0D"/>
    <w:rsid w:val="0DB8E9DB"/>
    <w:rsid w:val="0DD07EDF"/>
    <w:rsid w:val="0DD92720"/>
    <w:rsid w:val="0DEBD855"/>
    <w:rsid w:val="0DFA1C2D"/>
    <w:rsid w:val="0E0086BE"/>
    <w:rsid w:val="0E00B3F9"/>
    <w:rsid w:val="0E01739A"/>
    <w:rsid w:val="0E154E3E"/>
    <w:rsid w:val="0E1B52ED"/>
    <w:rsid w:val="0E1CF408"/>
    <w:rsid w:val="0E2F9BC3"/>
    <w:rsid w:val="0E311314"/>
    <w:rsid w:val="0E35AED7"/>
    <w:rsid w:val="0E43CB1F"/>
    <w:rsid w:val="0E4A7084"/>
    <w:rsid w:val="0E5ACC91"/>
    <w:rsid w:val="0E65BA6C"/>
    <w:rsid w:val="0E72CEDB"/>
    <w:rsid w:val="0E7DD0EA"/>
    <w:rsid w:val="0E7DD96B"/>
    <w:rsid w:val="0E819367"/>
    <w:rsid w:val="0E881605"/>
    <w:rsid w:val="0E888213"/>
    <w:rsid w:val="0E8F3822"/>
    <w:rsid w:val="0E938C30"/>
    <w:rsid w:val="0E939C19"/>
    <w:rsid w:val="0E93B4E5"/>
    <w:rsid w:val="0EAAA88D"/>
    <w:rsid w:val="0ECBBC4B"/>
    <w:rsid w:val="0ECBF18A"/>
    <w:rsid w:val="0ECC0ADE"/>
    <w:rsid w:val="0ECEFD3D"/>
    <w:rsid w:val="0EDBAFEC"/>
    <w:rsid w:val="0EF3C583"/>
    <w:rsid w:val="0EFE5138"/>
    <w:rsid w:val="0F1554F0"/>
    <w:rsid w:val="0F18E2D2"/>
    <w:rsid w:val="0F22E222"/>
    <w:rsid w:val="0F32804C"/>
    <w:rsid w:val="0F3F3510"/>
    <w:rsid w:val="0F45ADB8"/>
    <w:rsid w:val="0F486F22"/>
    <w:rsid w:val="0F642189"/>
    <w:rsid w:val="0F7B2334"/>
    <w:rsid w:val="0F7CBD51"/>
    <w:rsid w:val="0F815BFD"/>
    <w:rsid w:val="0F81A6BD"/>
    <w:rsid w:val="0F900D3A"/>
    <w:rsid w:val="0F9A0CC4"/>
    <w:rsid w:val="0FA68A4F"/>
    <w:rsid w:val="0FB46E85"/>
    <w:rsid w:val="0FEB7BCF"/>
    <w:rsid w:val="0FEE1180"/>
    <w:rsid w:val="0FEE999F"/>
    <w:rsid w:val="1001E64B"/>
    <w:rsid w:val="100C5D72"/>
    <w:rsid w:val="1019F1E5"/>
    <w:rsid w:val="101A3B4C"/>
    <w:rsid w:val="101EB092"/>
    <w:rsid w:val="1033B452"/>
    <w:rsid w:val="1040AEE4"/>
    <w:rsid w:val="1043FDD8"/>
    <w:rsid w:val="1053BC5D"/>
    <w:rsid w:val="1055FD4B"/>
    <w:rsid w:val="10578540"/>
    <w:rsid w:val="105DBD31"/>
    <w:rsid w:val="1064BB22"/>
    <w:rsid w:val="10691D20"/>
    <w:rsid w:val="107326D4"/>
    <w:rsid w:val="10779F6D"/>
    <w:rsid w:val="10795623"/>
    <w:rsid w:val="107E1973"/>
    <w:rsid w:val="107F3747"/>
    <w:rsid w:val="108C9303"/>
    <w:rsid w:val="109049E7"/>
    <w:rsid w:val="10A45AE4"/>
    <w:rsid w:val="10CF645A"/>
    <w:rsid w:val="10D6A2B3"/>
    <w:rsid w:val="10E3AF7C"/>
    <w:rsid w:val="10E4541C"/>
    <w:rsid w:val="10EAF084"/>
    <w:rsid w:val="10F04EB0"/>
    <w:rsid w:val="10F11B37"/>
    <w:rsid w:val="10FC8851"/>
    <w:rsid w:val="10FE193F"/>
    <w:rsid w:val="110EB895"/>
    <w:rsid w:val="1115E623"/>
    <w:rsid w:val="11194049"/>
    <w:rsid w:val="1124E988"/>
    <w:rsid w:val="113378D5"/>
    <w:rsid w:val="11351D9E"/>
    <w:rsid w:val="11413753"/>
    <w:rsid w:val="11436CA8"/>
    <w:rsid w:val="1144AEEE"/>
    <w:rsid w:val="114E6A5B"/>
    <w:rsid w:val="11558B82"/>
    <w:rsid w:val="1158C56F"/>
    <w:rsid w:val="115BF6D0"/>
    <w:rsid w:val="1160BB97"/>
    <w:rsid w:val="116E0B7A"/>
    <w:rsid w:val="1172ABF5"/>
    <w:rsid w:val="1179A5E9"/>
    <w:rsid w:val="117E0C8A"/>
    <w:rsid w:val="117F349C"/>
    <w:rsid w:val="11894D1B"/>
    <w:rsid w:val="119CAE72"/>
    <w:rsid w:val="11A55D2B"/>
    <w:rsid w:val="11B80BF8"/>
    <w:rsid w:val="11BD6013"/>
    <w:rsid w:val="11C15F57"/>
    <w:rsid w:val="11C785C3"/>
    <w:rsid w:val="11D4ADD8"/>
    <w:rsid w:val="11D6771B"/>
    <w:rsid w:val="11E62883"/>
    <w:rsid w:val="11E8A9FA"/>
    <w:rsid w:val="11E9BA83"/>
    <w:rsid w:val="11EE4B73"/>
    <w:rsid w:val="11F4D63B"/>
    <w:rsid w:val="12023AC2"/>
    <w:rsid w:val="1207F023"/>
    <w:rsid w:val="1210C3D9"/>
    <w:rsid w:val="121C7BAA"/>
    <w:rsid w:val="1225DA41"/>
    <w:rsid w:val="1227A582"/>
    <w:rsid w:val="1237E2C2"/>
    <w:rsid w:val="12560F9D"/>
    <w:rsid w:val="125809CB"/>
    <w:rsid w:val="12666FB8"/>
    <w:rsid w:val="126E27F8"/>
    <w:rsid w:val="128D17D7"/>
    <w:rsid w:val="1291F6B8"/>
    <w:rsid w:val="1292ED6A"/>
    <w:rsid w:val="129C40EE"/>
    <w:rsid w:val="129EA46D"/>
    <w:rsid w:val="12A59960"/>
    <w:rsid w:val="12AE31FD"/>
    <w:rsid w:val="12BB0B1B"/>
    <w:rsid w:val="12BB9C55"/>
    <w:rsid w:val="12BE4A0C"/>
    <w:rsid w:val="12C2DCB0"/>
    <w:rsid w:val="12C66346"/>
    <w:rsid w:val="12C72299"/>
    <w:rsid w:val="12C87A44"/>
    <w:rsid w:val="12CE13C3"/>
    <w:rsid w:val="12EA3C3F"/>
    <w:rsid w:val="12F802B4"/>
    <w:rsid w:val="130217D8"/>
    <w:rsid w:val="130516CC"/>
    <w:rsid w:val="130873B0"/>
    <w:rsid w:val="130BE8C3"/>
    <w:rsid w:val="130ED2FD"/>
    <w:rsid w:val="1311006E"/>
    <w:rsid w:val="131F27C4"/>
    <w:rsid w:val="133883A9"/>
    <w:rsid w:val="134ADF02"/>
    <w:rsid w:val="134BCD68"/>
    <w:rsid w:val="134BE5D9"/>
    <w:rsid w:val="1351EEBA"/>
    <w:rsid w:val="135C1C2C"/>
    <w:rsid w:val="135EF5F8"/>
    <w:rsid w:val="136E63E3"/>
    <w:rsid w:val="13739B61"/>
    <w:rsid w:val="13772B40"/>
    <w:rsid w:val="13892A75"/>
    <w:rsid w:val="138B2B56"/>
    <w:rsid w:val="139595E7"/>
    <w:rsid w:val="13992C6E"/>
    <w:rsid w:val="13A1ACF7"/>
    <w:rsid w:val="13A2170B"/>
    <w:rsid w:val="13AECFAD"/>
    <w:rsid w:val="13CE80E7"/>
    <w:rsid w:val="13E61B9E"/>
    <w:rsid w:val="13E6B139"/>
    <w:rsid w:val="13FEE948"/>
    <w:rsid w:val="1401E2A5"/>
    <w:rsid w:val="14055B67"/>
    <w:rsid w:val="14064E9B"/>
    <w:rsid w:val="140CD582"/>
    <w:rsid w:val="1416439C"/>
    <w:rsid w:val="1417A947"/>
    <w:rsid w:val="14195A59"/>
    <w:rsid w:val="141E6A57"/>
    <w:rsid w:val="14263184"/>
    <w:rsid w:val="1429F11A"/>
    <w:rsid w:val="14345E45"/>
    <w:rsid w:val="1457B83A"/>
    <w:rsid w:val="146ED453"/>
    <w:rsid w:val="1471EF25"/>
    <w:rsid w:val="1479D39E"/>
    <w:rsid w:val="147D885A"/>
    <w:rsid w:val="147FEEF4"/>
    <w:rsid w:val="149EF6A0"/>
    <w:rsid w:val="14A41904"/>
    <w:rsid w:val="14AAEBC6"/>
    <w:rsid w:val="14BBE700"/>
    <w:rsid w:val="14C0618A"/>
    <w:rsid w:val="14CA410B"/>
    <w:rsid w:val="14D8E3F3"/>
    <w:rsid w:val="14DA1BDA"/>
    <w:rsid w:val="14E44A01"/>
    <w:rsid w:val="14EAC8D2"/>
    <w:rsid w:val="15090E3D"/>
    <w:rsid w:val="15094333"/>
    <w:rsid w:val="150DA36F"/>
    <w:rsid w:val="150DCB9A"/>
    <w:rsid w:val="1511D515"/>
    <w:rsid w:val="151D648F"/>
    <w:rsid w:val="15202E26"/>
    <w:rsid w:val="152D7D0B"/>
    <w:rsid w:val="1536E0D3"/>
    <w:rsid w:val="153FBD88"/>
    <w:rsid w:val="1542A6A8"/>
    <w:rsid w:val="15488E27"/>
    <w:rsid w:val="15591103"/>
    <w:rsid w:val="155C9EDD"/>
    <w:rsid w:val="1565708E"/>
    <w:rsid w:val="1567CAFA"/>
    <w:rsid w:val="15749985"/>
    <w:rsid w:val="1581B48B"/>
    <w:rsid w:val="15828160"/>
    <w:rsid w:val="158448AE"/>
    <w:rsid w:val="159F70E9"/>
    <w:rsid w:val="15A5971A"/>
    <w:rsid w:val="15C63787"/>
    <w:rsid w:val="15C79028"/>
    <w:rsid w:val="15CB5B96"/>
    <w:rsid w:val="15D32AD9"/>
    <w:rsid w:val="15D4E07D"/>
    <w:rsid w:val="15DB4343"/>
    <w:rsid w:val="15E594D6"/>
    <w:rsid w:val="15E71576"/>
    <w:rsid w:val="15EEB9A1"/>
    <w:rsid w:val="15FB44C6"/>
    <w:rsid w:val="161207C6"/>
    <w:rsid w:val="16160ED9"/>
    <w:rsid w:val="1617DB6B"/>
    <w:rsid w:val="162FD4CC"/>
    <w:rsid w:val="1638C844"/>
    <w:rsid w:val="164F05AA"/>
    <w:rsid w:val="165CDACA"/>
    <w:rsid w:val="166ADA58"/>
    <w:rsid w:val="167415E3"/>
    <w:rsid w:val="16784F9A"/>
    <w:rsid w:val="169C7F7B"/>
    <w:rsid w:val="16B25FDE"/>
    <w:rsid w:val="16B74856"/>
    <w:rsid w:val="16B75A94"/>
    <w:rsid w:val="16C74FE9"/>
    <w:rsid w:val="16CE5732"/>
    <w:rsid w:val="16DB9507"/>
    <w:rsid w:val="16E2FDDE"/>
    <w:rsid w:val="16F45D81"/>
    <w:rsid w:val="16F88F6E"/>
    <w:rsid w:val="16FAAFB4"/>
    <w:rsid w:val="17000A99"/>
    <w:rsid w:val="170927F3"/>
    <w:rsid w:val="170A3924"/>
    <w:rsid w:val="170ACE80"/>
    <w:rsid w:val="171B1ED9"/>
    <w:rsid w:val="1720D0AF"/>
    <w:rsid w:val="17213C70"/>
    <w:rsid w:val="172FEB01"/>
    <w:rsid w:val="173BC873"/>
    <w:rsid w:val="1741D59E"/>
    <w:rsid w:val="17606202"/>
    <w:rsid w:val="17684E09"/>
    <w:rsid w:val="17685F7E"/>
    <w:rsid w:val="176A1244"/>
    <w:rsid w:val="176B2875"/>
    <w:rsid w:val="178387CE"/>
    <w:rsid w:val="178C1C82"/>
    <w:rsid w:val="1792662B"/>
    <w:rsid w:val="179504E5"/>
    <w:rsid w:val="179FF2E2"/>
    <w:rsid w:val="17A5AC08"/>
    <w:rsid w:val="17AA0FF3"/>
    <w:rsid w:val="17B25DE9"/>
    <w:rsid w:val="17B7965C"/>
    <w:rsid w:val="17C579D5"/>
    <w:rsid w:val="17C7F095"/>
    <w:rsid w:val="17CACC66"/>
    <w:rsid w:val="17CF832A"/>
    <w:rsid w:val="17D40ADC"/>
    <w:rsid w:val="17D6E73F"/>
    <w:rsid w:val="17DC1109"/>
    <w:rsid w:val="17DD7F68"/>
    <w:rsid w:val="17E20293"/>
    <w:rsid w:val="17E6C9C3"/>
    <w:rsid w:val="17ECE8C6"/>
    <w:rsid w:val="17F67AC7"/>
    <w:rsid w:val="17F7D2CA"/>
    <w:rsid w:val="17FC1CD4"/>
    <w:rsid w:val="17FDCB97"/>
    <w:rsid w:val="180C6FA1"/>
    <w:rsid w:val="18104A38"/>
    <w:rsid w:val="1813007D"/>
    <w:rsid w:val="1818C947"/>
    <w:rsid w:val="18211FFE"/>
    <w:rsid w:val="182685DE"/>
    <w:rsid w:val="18287F89"/>
    <w:rsid w:val="1833FCCD"/>
    <w:rsid w:val="183893DD"/>
    <w:rsid w:val="183B7F84"/>
    <w:rsid w:val="183B84D5"/>
    <w:rsid w:val="1842FA4D"/>
    <w:rsid w:val="184C4C1E"/>
    <w:rsid w:val="184DE27E"/>
    <w:rsid w:val="1850274B"/>
    <w:rsid w:val="1855EBA2"/>
    <w:rsid w:val="1857CBC3"/>
    <w:rsid w:val="185B9605"/>
    <w:rsid w:val="185C02CD"/>
    <w:rsid w:val="1864BBA7"/>
    <w:rsid w:val="18734CDA"/>
    <w:rsid w:val="1879DEBE"/>
    <w:rsid w:val="187D141A"/>
    <w:rsid w:val="187F60F5"/>
    <w:rsid w:val="189D63BB"/>
    <w:rsid w:val="18B269D3"/>
    <w:rsid w:val="18B3779F"/>
    <w:rsid w:val="18B8CEE9"/>
    <w:rsid w:val="18C3142F"/>
    <w:rsid w:val="18D7EF7C"/>
    <w:rsid w:val="18D80AE2"/>
    <w:rsid w:val="18E58EB4"/>
    <w:rsid w:val="18E7AE55"/>
    <w:rsid w:val="18EA6E6A"/>
    <w:rsid w:val="18EB88C3"/>
    <w:rsid w:val="191C1C59"/>
    <w:rsid w:val="191E9481"/>
    <w:rsid w:val="1921A7E5"/>
    <w:rsid w:val="19267241"/>
    <w:rsid w:val="192C6681"/>
    <w:rsid w:val="192FE9A3"/>
    <w:rsid w:val="19319A1D"/>
    <w:rsid w:val="193BA2E8"/>
    <w:rsid w:val="194733B8"/>
    <w:rsid w:val="195C055F"/>
    <w:rsid w:val="195EFBC4"/>
    <w:rsid w:val="1975BFE2"/>
    <w:rsid w:val="197727E7"/>
    <w:rsid w:val="197932BB"/>
    <w:rsid w:val="198B2D8C"/>
    <w:rsid w:val="19944AAB"/>
    <w:rsid w:val="19968ABF"/>
    <w:rsid w:val="199DC002"/>
    <w:rsid w:val="19AB4B64"/>
    <w:rsid w:val="19BC1B52"/>
    <w:rsid w:val="19BF4FE2"/>
    <w:rsid w:val="19C522EA"/>
    <w:rsid w:val="19D30728"/>
    <w:rsid w:val="19DC7EDA"/>
    <w:rsid w:val="19E58FD7"/>
    <w:rsid w:val="19EE7849"/>
    <w:rsid w:val="19EFD531"/>
    <w:rsid w:val="19FC9F4E"/>
    <w:rsid w:val="1A018397"/>
    <w:rsid w:val="1A06A912"/>
    <w:rsid w:val="1A0D9FAE"/>
    <w:rsid w:val="1A0E1E15"/>
    <w:rsid w:val="1A12ABDD"/>
    <w:rsid w:val="1A22E735"/>
    <w:rsid w:val="1A2F560B"/>
    <w:rsid w:val="1A302D61"/>
    <w:rsid w:val="1A37831D"/>
    <w:rsid w:val="1A42260C"/>
    <w:rsid w:val="1A45C56C"/>
    <w:rsid w:val="1A4BE202"/>
    <w:rsid w:val="1A53F914"/>
    <w:rsid w:val="1A54DD1E"/>
    <w:rsid w:val="1A636813"/>
    <w:rsid w:val="1A64940C"/>
    <w:rsid w:val="1A64E86B"/>
    <w:rsid w:val="1A862E04"/>
    <w:rsid w:val="1A92D388"/>
    <w:rsid w:val="1A94BB4B"/>
    <w:rsid w:val="1AAB01A2"/>
    <w:rsid w:val="1AAE1736"/>
    <w:rsid w:val="1AC47EBE"/>
    <w:rsid w:val="1AC62DE3"/>
    <w:rsid w:val="1ACC157B"/>
    <w:rsid w:val="1AD26272"/>
    <w:rsid w:val="1AD67455"/>
    <w:rsid w:val="1AE8F92C"/>
    <w:rsid w:val="1AF0B127"/>
    <w:rsid w:val="1B007DCD"/>
    <w:rsid w:val="1B06567F"/>
    <w:rsid w:val="1B13FF6A"/>
    <w:rsid w:val="1B3145E9"/>
    <w:rsid w:val="1B36BCE7"/>
    <w:rsid w:val="1B3FF409"/>
    <w:rsid w:val="1B414EF2"/>
    <w:rsid w:val="1B41D8C1"/>
    <w:rsid w:val="1B44B53C"/>
    <w:rsid w:val="1B59A8A9"/>
    <w:rsid w:val="1B63CB5D"/>
    <w:rsid w:val="1B670DBD"/>
    <w:rsid w:val="1B772C2F"/>
    <w:rsid w:val="1B808EFD"/>
    <w:rsid w:val="1B861E27"/>
    <w:rsid w:val="1B99770C"/>
    <w:rsid w:val="1B9C55BF"/>
    <w:rsid w:val="1B9CBB5D"/>
    <w:rsid w:val="1BBB83F6"/>
    <w:rsid w:val="1BC04E9F"/>
    <w:rsid w:val="1BD2CC81"/>
    <w:rsid w:val="1BE012FC"/>
    <w:rsid w:val="1BE63940"/>
    <w:rsid w:val="1BEA40E8"/>
    <w:rsid w:val="1BF32FC1"/>
    <w:rsid w:val="1C04C3CD"/>
    <w:rsid w:val="1C196D11"/>
    <w:rsid w:val="1C19DED4"/>
    <w:rsid w:val="1C3EA4DA"/>
    <w:rsid w:val="1C4B4907"/>
    <w:rsid w:val="1C4F3BEF"/>
    <w:rsid w:val="1C55E6C6"/>
    <w:rsid w:val="1C64088F"/>
    <w:rsid w:val="1C73E220"/>
    <w:rsid w:val="1C78F25F"/>
    <w:rsid w:val="1C7B65D8"/>
    <w:rsid w:val="1C7D8E2D"/>
    <w:rsid w:val="1C842A42"/>
    <w:rsid w:val="1C89D994"/>
    <w:rsid w:val="1C911507"/>
    <w:rsid w:val="1C991BB0"/>
    <w:rsid w:val="1C9CE89F"/>
    <w:rsid w:val="1CA74BAF"/>
    <w:rsid w:val="1CB8BEC6"/>
    <w:rsid w:val="1CBFB1B8"/>
    <w:rsid w:val="1CDDC1A9"/>
    <w:rsid w:val="1CE08A3F"/>
    <w:rsid w:val="1CE12EE8"/>
    <w:rsid w:val="1CE42DF8"/>
    <w:rsid w:val="1CED27CB"/>
    <w:rsid w:val="1CFD5A37"/>
    <w:rsid w:val="1D00C594"/>
    <w:rsid w:val="1D0259FF"/>
    <w:rsid w:val="1D12061B"/>
    <w:rsid w:val="1D14243D"/>
    <w:rsid w:val="1D14667D"/>
    <w:rsid w:val="1D1BAE44"/>
    <w:rsid w:val="1D1D2D63"/>
    <w:rsid w:val="1D1D4238"/>
    <w:rsid w:val="1D20B94B"/>
    <w:rsid w:val="1D2B32D9"/>
    <w:rsid w:val="1D37973C"/>
    <w:rsid w:val="1D3BB769"/>
    <w:rsid w:val="1D3F9771"/>
    <w:rsid w:val="1D40EA01"/>
    <w:rsid w:val="1D4CD527"/>
    <w:rsid w:val="1D69E32A"/>
    <w:rsid w:val="1D6CB088"/>
    <w:rsid w:val="1D78C20C"/>
    <w:rsid w:val="1D7C05AC"/>
    <w:rsid w:val="1D836DCB"/>
    <w:rsid w:val="1D8C3B0F"/>
    <w:rsid w:val="1D96D439"/>
    <w:rsid w:val="1D9CCAE0"/>
    <w:rsid w:val="1DA400A7"/>
    <w:rsid w:val="1DA5DB4A"/>
    <w:rsid w:val="1DC0E8B5"/>
    <w:rsid w:val="1DD25FCD"/>
    <w:rsid w:val="1DDA2828"/>
    <w:rsid w:val="1DDCD7FA"/>
    <w:rsid w:val="1DE78627"/>
    <w:rsid w:val="1DE9511A"/>
    <w:rsid w:val="1DEB643C"/>
    <w:rsid w:val="1DEBDE2B"/>
    <w:rsid w:val="1DEF66BD"/>
    <w:rsid w:val="1DF01B41"/>
    <w:rsid w:val="1DF7DBCB"/>
    <w:rsid w:val="1DF8C338"/>
    <w:rsid w:val="1DFE9AED"/>
    <w:rsid w:val="1E068BE0"/>
    <w:rsid w:val="1E1ACF2A"/>
    <w:rsid w:val="1E1D0217"/>
    <w:rsid w:val="1E33620F"/>
    <w:rsid w:val="1E3B6A0F"/>
    <w:rsid w:val="1E3FBC85"/>
    <w:rsid w:val="1E404FA4"/>
    <w:rsid w:val="1E40F93A"/>
    <w:rsid w:val="1E4D7046"/>
    <w:rsid w:val="1E4E0646"/>
    <w:rsid w:val="1E5333FD"/>
    <w:rsid w:val="1E62B5F5"/>
    <w:rsid w:val="1E713414"/>
    <w:rsid w:val="1E73FA36"/>
    <w:rsid w:val="1E7AA216"/>
    <w:rsid w:val="1E851136"/>
    <w:rsid w:val="1E993BB7"/>
    <w:rsid w:val="1EA12A98"/>
    <w:rsid w:val="1EA89D75"/>
    <w:rsid w:val="1EAC217F"/>
    <w:rsid w:val="1EAE8CC2"/>
    <w:rsid w:val="1EB74370"/>
    <w:rsid w:val="1EB8E154"/>
    <w:rsid w:val="1EBA012A"/>
    <w:rsid w:val="1EC2A676"/>
    <w:rsid w:val="1ECE6233"/>
    <w:rsid w:val="1ED478C2"/>
    <w:rsid w:val="1EDBA0A4"/>
    <w:rsid w:val="1EDBABD6"/>
    <w:rsid w:val="1EFD3ECD"/>
    <w:rsid w:val="1F1491E8"/>
    <w:rsid w:val="1F2871F9"/>
    <w:rsid w:val="1F362AE7"/>
    <w:rsid w:val="1F4A12D8"/>
    <w:rsid w:val="1F5384BB"/>
    <w:rsid w:val="1F5DD4DF"/>
    <w:rsid w:val="1F698274"/>
    <w:rsid w:val="1F6CB04F"/>
    <w:rsid w:val="1F7114E8"/>
    <w:rsid w:val="1F71E89C"/>
    <w:rsid w:val="1F7AE825"/>
    <w:rsid w:val="1F80E07B"/>
    <w:rsid w:val="1F841316"/>
    <w:rsid w:val="1F876A1E"/>
    <w:rsid w:val="1F878709"/>
    <w:rsid w:val="1F903194"/>
    <w:rsid w:val="1F95B0A6"/>
    <w:rsid w:val="1FA2E7AD"/>
    <w:rsid w:val="1FA87192"/>
    <w:rsid w:val="1FA9BA24"/>
    <w:rsid w:val="1FB9BDA5"/>
    <w:rsid w:val="1FC9F6D8"/>
    <w:rsid w:val="1FCE6F2B"/>
    <w:rsid w:val="1FD0A040"/>
    <w:rsid w:val="1FD81E41"/>
    <w:rsid w:val="1FDAB4DE"/>
    <w:rsid w:val="1FDDC9CA"/>
    <w:rsid w:val="1FE7A311"/>
    <w:rsid w:val="1FF31A72"/>
    <w:rsid w:val="2003DBC5"/>
    <w:rsid w:val="200AF987"/>
    <w:rsid w:val="20190825"/>
    <w:rsid w:val="20205BE3"/>
    <w:rsid w:val="2022AC99"/>
    <w:rsid w:val="20267783"/>
    <w:rsid w:val="203A38FE"/>
    <w:rsid w:val="20405834"/>
    <w:rsid w:val="20408A96"/>
    <w:rsid w:val="20681FF2"/>
    <w:rsid w:val="20779E8F"/>
    <w:rsid w:val="20786781"/>
    <w:rsid w:val="208CD998"/>
    <w:rsid w:val="20A0F30E"/>
    <w:rsid w:val="20A11AC1"/>
    <w:rsid w:val="20AB087E"/>
    <w:rsid w:val="20C0A91F"/>
    <w:rsid w:val="20C0B00C"/>
    <w:rsid w:val="20C4E59B"/>
    <w:rsid w:val="20C9DEE2"/>
    <w:rsid w:val="20E0DBCF"/>
    <w:rsid w:val="20E1E83B"/>
    <w:rsid w:val="20E60535"/>
    <w:rsid w:val="20EE4DFD"/>
    <w:rsid w:val="20F42C89"/>
    <w:rsid w:val="20FB5A98"/>
    <w:rsid w:val="20FFBC81"/>
    <w:rsid w:val="210C5841"/>
    <w:rsid w:val="2111686F"/>
    <w:rsid w:val="211A52B7"/>
    <w:rsid w:val="2121ED9A"/>
    <w:rsid w:val="21220AC0"/>
    <w:rsid w:val="213A0495"/>
    <w:rsid w:val="213EF02B"/>
    <w:rsid w:val="21490189"/>
    <w:rsid w:val="21589667"/>
    <w:rsid w:val="217D186D"/>
    <w:rsid w:val="218183AC"/>
    <w:rsid w:val="2189FDB8"/>
    <w:rsid w:val="218C02A4"/>
    <w:rsid w:val="2199E54B"/>
    <w:rsid w:val="21A15B5D"/>
    <w:rsid w:val="21A2E8C6"/>
    <w:rsid w:val="21AA6B60"/>
    <w:rsid w:val="21C9DA7E"/>
    <w:rsid w:val="21D02E6E"/>
    <w:rsid w:val="21DF5FA3"/>
    <w:rsid w:val="21EB79A6"/>
    <w:rsid w:val="21F1F706"/>
    <w:rsid w:val="21FA88F8"/>
    <w:rsid w:val="220008C6"/>
    <w:rsid w:val="220358EB"/>
    <w:rsid w:val="220ED71F"/>
    <w:rsid w:val="222479D3"/>
    <w:rsid w:val="22263808"/>
    <w:rsid w:val="2229F691"/>
    <w:rsid w:val="222E7AE3"/>
    <w:rsid w:val="223AC023"/>
    <w:rsid w:val="223F4B97"/>
    <w:rsid w:val="22424999"/>
    <w:rsid w:val="2242E2DF"/>
    <w:rsid w:val="22439653"/>
    <w:rsid w:val="224658C8"/>
    <w:rsid w:val="224EE21C"/>
    <w:rsid w:val="22586EEF"/>
    <w:rsid w:val="22591B84"/>
    <w:rsid w:val="2260FA3E"/>
    <w:rsid w:val="226A1461"/>
    <w:rsid w:val="2277C71E"/>
    <w:rsid w:val="227C9102"/>
    <w:rsid w:val="227DDA53"/>
    <w:rsid w:val="22965745"/>
    <w:rsid w:val="2299860C"/>
    <w:rsid w:val="22AC5B4B"/>
    <w:rsid w:val="22B013C1"/>
    <w:rsid w:val="22B1A124"/>
    <w:rsid w:val="22C78A6B"/>
    <w:rsid w:val="22D1F68D"/>
    <w:rsid w:val="22DDB932"/>
    <w:rsid w:val="22EDCCFF"/>
    <w:rsid w:val="22F4045F"/>
    <w:rsid w:val="22F9B08E"/>
    <w:rsid w:val="2317084C"/>
    <w:rsid w:val="231AFDB2"/>
    <w:rsid w:val="2332F50A"/>
    <w:rsid w:val="23419226"/>
    <w:rsid w:val="23568692"/>
    <w:rsid w:val="235A903D"/>
    <w:rsid w:val="2370E4CC"/>
    <w:rsid w:val="23801A05"/>
    <w:rsid w:val="23870AD7"/>
    <w:rsid w:val="2387F994"/>
    <w:rsid w:val="2388D774"/>
    <w:rsid w:val="23A23897"/>
    <w:rsid w:val="23AE952D"/>
    <w:rsid w:val="23C0DAA8"/>
    <w:rsid w:val="23C3401E"/>
    <w:rsid w:val="23CC8A12"/>
    <w:rsid w:val="23CF9154"/>
    <w:rsid w:val="23D7DB6D"/>
    <w:rsid w:val="23DBB67B"/>
    <w:rsid w:val="23E67658"/>
    <w:rsid w:val="23EA12CB"/>
    <w:rsid w:val="23F2426A"/>
    <w:rsid w:val="2400E1C1"/>
    <w:rsid w:val="240336BA"/>
    <w:rsid w:val="240D72C0"/>
    <w:rsid w:val="24103182"/>
    <w:rsid w:val="241247C2"/>
    <w:rsid w:val="24304549"/>
    <w:rsid w:val="24357CD1"/>
    <w:rsid w:val="243A2D75"/>
    <w:rsid w:val="243ED499"/>
    <w:rsid w:val="244648B7"/>
    <w:rsid w:val="244CCD85"/>
    <w:rsid w:val="244D55D9"/>
    <w:rsid w:val="24598C69"/>
    <w:rsid w:val="245E14C8"/>
    <w:rsid w:val="246F8FF4"/>
    <w:rsid w:val="24702255"/>
    <w:rsid w:val="2474A5E0"/>
    <w:rsid w:val="24774717"/>
    <w:rsid w:val="247C05BF"/>
    <w:rsid w:val="247EED44"/>
    <w:rsid w:val="24819958"/>
    <w:rsid w:val="2481D8E8"/>
    <w:rsid w:val="24842647"/>
    <w:rsid w:val="24869112"/>
    <w:rsid w:val="249237FB"/>
    <w:rsid w:val="24924691"/>
    <w:rsid w:val="24943162"/>
    <w:rsid w:val="24988576"/>
    <w:rsid w:val="24A4A854"/>
    <w:rsid w:val="24AAF73C"/>
    <w:rsid w:val="24B03555"/>
    <w:rsid w:val="24B6A10D"/>
    <w:rsid w:val="24BCEBCD"/>
    <w:rsid w:val="24C804A8"/>
    <w:rsid w:val="24CB9174"/>
    <w:rsid w:val="24EDD6E7"/>
    <w:rsid w:val="250058E4"/>
    <w:rsid w:val="25015C35"/>
    <w:rsid w:val="2502DC8B"/>
    <w:rsid w:val="250A0866"/>
    <w:rsid w:val="250BDE10"/>
    <w:rsid w:val="25203E5F"/>
    <w:rsid w:val="252A3383"/>
    <w:rsid w:val="252E12D6"/>
    <w:rsid w:val="2530116B"/>
    <w:rsid w:val="253312F0"/>
    <w:rsid w:val="25533811"/>
    <w:rsid w:val="2554CB96"/>
    <w:rsid w:val="2570099A"/>
    <w:rsid w:val="2574172B"/>
    <w:rsid w:val="25818ADE"/>
    <w:rsid w:val="25965E40"/>
    <w:rsid w:val="25A290F0"/>
    <w:rsid w:val="25A2A53F"/>
    <w:rsid w:val="25A73BD3"/>
    <w:rsid w:val="25ACB59C"/>
    <w:rsid w:val="25C16E04"/>
    <w:rsid w:val="25DFCADD"/>
    <w:rsid w:val="25E0E1D4"/>
    <w:rsid w:val="25E1A0AC"/>
    <w:rsid w:val="25E43DF7"/>
    <w:rsid w:val="25E527BF"/>
    <w:rsid w:val="25E5B421"/>
    <w:rsid w:val="25F89B45"/>
    <w:rsid w:val="26041F68"/>
    <w:rsid w:val="260900C0"/>
    <w:rsid w:val="26191223"/>
    <w:rsid w:val="2627E101"/>
    <w:rsid w:val="262D04F5"/>
    <w:rsid w:val="26336D0D"/>
    <w:rsid w:val="26346188"/>
    <w:rsid w:val="2641EE5D"/>
    <w:rsid w:val="2644A125"/>
    <w:rsid w:val="2645B20A"/>
    <w:rsid w:val="2647308C"/>
    <w:rsid w:val="26515221"/>
    <w:rsid w:val="266C75FD"/>
    <w:rsid w:val="266DC1CE"/>
    <w:rsid w:val="26794806"/>
    <w:rsid w:val="267C24FB"/>
    <w:rsid w:val="2680136C"/>
    <w:rsid w:val="268141EA"/>
    <w:rsid w:val="268740BA"/>
    <w:rsid w:val="268F7FBB"/>
    <w:rsid w:val="269491DD"/>
    <w:rsid w:val="269B6D73"/>
    <w:rsid w:val="269D0311"/>
    <w:rsid w:val="26B38359"/>
    <w:rsid w:val="26CA3DAD"/>
    <w:rsid w:val="26CBC04D"/>
    <w:rsid w:val="26CBCAEA"/>
    <w:rsid w:val="26D13AD9"/>
    <w:rsid w:val="26DC39C6"/>
    <w:rsid w:val="26F1D0B9"/>
    <w:rsid w:val="26F383EB"/>
    <w:rsid w:val="26FA6327"/>
    <w:rsid w:val="26FB50DB"/>
    <w:rsid w:val="27044C07"/>
    <w:rsid w:val="2710F2A5"/>
    <w:rsid w:val="272AB492"/>
    <w:rsid w:val="2733D200"/>
    <w:rsid w:val="27381D9E"/>
    <w:rsid w:val="273EB9A7"/>
    <w:rsid w:val="27511BD4"/>
    <w:rsid w:val="2753EE33"/>
    <w:rsid w:val="27567E9C"/>
    <w:rsid w:val="275FA558"/>
    <w:rsid w:val="276A2C2E"/>
    <w:rsid w:val="276ECC9A"/>
    <w:rsid w:val="2773D966"/>
    <w:rsid w:val="277A24A0"/>
    <w:rsid w:val="277FAA1A"/>
    <w:rsid w:val="278729AA"/>
    <w:rsid w:val="2789C6BE"/>
    <w:rsid w:val="279552EF"/>
    <w:rsid w:val="2795E2CB"/>
    <w:rsid w:val="27A2D9C7"/>
    <w:rsid w:val="27A5C569"/>
    <w:rsid w:val="27B1E3CE"/>
    <w:rsid w:val="27BE2F16"/>
    <w:rsid w:val="27C04654"/>
    <w:rsid w:val="27C5B3CF"/>
    <w:rsid w:val="27C65F44"/>
    <w:rsid w:val="27C97E69"/>
    <w:rsid w:val="27D0261D"/>
    <w:rsid w:val="27D37A5C"/>
    <w:rsid w:val="27D46D25"/>
    <w:rsid w:val="27E6D9AE"/>
    <w:rsid w:val="27E81DB8"/>
    <w:rsid w:val="27FF8F56"/>
    <w:rsid w:val="280D2312"/>
    <w:rsid w:val="28120B50"/>
    <w:rsid w:val="2837CC3C"/>
    <w:rsid w:val="283D96FF"/>
    <w:rsid w:val="2845BC1B"/>
    <w:rsid w:val="284B420E"/>
    <w:rsid w:val="284CDCAA"/>
    <w:rsid w:val="28570F82"/>
    <w:rsid w:val="285D7DA3"/>
    <w:rsid w:val="28609EE5"/>
    <w:rsid w:val="2864AC63"/>
    <w:rsid w:val="2864B692"/>
    <w:rsid w:val="28720F72"/>
    <w:rsid w:val="287AA93A"/>
    <w:rsid w:val="287C73B7"/>
    <w:rsid w:val="28850AD9"/>
    <w:rsid w:val="28966805"/>
    <w:rsid w:val="289E9C59"/>
    <w:rsid w:val="28A008E6"/>
    <w:rsid w:val="28AF3E31"/>
    <w:rsid w:val="28B709D0"/>
    <w:rsid w:val="28B89DD6"/>
    <w:rsid w:val="28BA7CEA"/>
    <w:rsid w:val="28FB2464"/>
    <w:rsid w:val="290283A3"/>
    <w:rsid w:val="291119CE"/>
    <w:rsid w:val="291EC314"/>
    <w:rsid w:val="292402C0"/>
    <w:rsid w:val="2934EEA6"/>
    <w:rsid w:val="2938CDCD"/>
    <w:rsid w:val="293B4AFA"/>
    <w:rsid w:val="2951280E"/>
    <w:rsid w:val="295B617C"/>
    <w:rsid w:val="2970CAD5"/>
    <w:rsid w:val="2991FAC1"/>
    <w:rsid w:val="29947EB4"/>
    <w:rsid w:val="29948C70"/>
    <w:rsid w:val="29962F37"/>
    <w:rsid w:val="299D2808"/>
    <w:rsid w:val="29BB19FD"/>
    <w:rsid w:val="29BDBFB0"/>
    <w:rsid w:val="29BE4C74"/>
    <w:rsid w:val="29D0EBF9"/>
    <w:rsid w:val="29D159BC"/>
    <w:rsid w:val="29D79BBB"/>
    <w:rsid w:val="29DBF85A"/>
    <w:rsid w:val="29E49081"/>
    <w:rsid w:val="29F335A1"/>
    <w:rsid w:val="2A03D9FD"/>
    <w:rsid w:val="2A1F0D93"/>
    <w:rsid w:val="2A2A74BA"/>
    <w:rsid w:val="2A32AC58"/>
    <w:rsid w:val="2A402934"/>
    <w:rsid w:val="2A434C03"/>
    <w:rsid w:val="2A47298C"/>
    <w:rsid w:val="2A49664C"/>
    <w:rsid w:val="2A511871"/>
    <w:rsid w:val="2A577259"/>
    <w:rsid w:val="2A6BD058"/>
    <w:rsid w:val="2A75CEC5"/>
    <w:rsid w:val="2A80DA48"/>
    <w:rsid w:val="2A848492"/>
    <w:rsid w:val="2A856F21"/>
    <w:rsid w:val="2ABAC698"/>
    <w:rsid w:val="2ACADB97"/>
    <w:rsid w:val="2AD478DC"/>
    <w:rsid w:val="2AD72CC5"/>
    <w:rsid w:val="2AE3CAC4"/>
    <w:rsid w:val="2AF8A6C8"/>
    <w:rsid w:val="2AFD345F"/>
    <w:rsid w:val="2B050F1F"/>
    <w:rsid w:val="2B084E99"/>
    <w:rsid w:val="2B0EE41F"/>
    <w:rsid w:val="2B115CF8"/>
    <w:rsid w:val="2B1365F6"/>
    <w:rsid w:val="2B2C7A6C"/>
    <w:rsid w:val="2B407DDC"/>
    <w:rsid w:val="2B4A84C3"/>
    <w:rsid w:val="2B527E59"/>
    <w:rsid w:val="2B5ED511"/>
    <w:rsid w:val="2B6FCC19"/>
    <w:rsid w:val="2B7AE22A"/>
    <w:rsid w:val="2B80EFF3"/>
    <w:rsid w:val="2B8A7B5A"/>
    <w:rsid w:val="2B8A8211"/>
    <w:rsid w:val="2B991646"/>
    <w:rsid w:val="2B9A5F90"/>
    <w:rsid w:val="2B9A659B"/>
    <w:rsid w:val="2BA3D5FE"/>
    <w:rsid w:val="2BA4DB92"/>
    <w:rsid w:val="2BA5B7D8"/>
    <w:rsid w:val="2BB0BECC"/>
    <w:rsid w:val="2BB13728"/>
    <w:rsid w:val="2BBC9DD4"/>
    <w:rsid w:val="2BC7A482"/>
    <w:rsid w:val="2BCBA4E8"/>
    <w:rsid w:val="2BD83AEE"/>
    <w:rsid w:val="2BD8FF17"/>
    <w:rsid w:val="2BDE01E7"/>
    <w:rsid w:val="2BE0FDB4"/>
    <w:rsid w:val="2BE26C3C"/>
    <w:rsid w:val="2BE45CBE"/>
    <w:rsid w:val="2BE4B778"/>
    <w:rsid w:val="2BE53FB4"/>
    <w:rsid w:val="2BEC64CE"/>
    <w:rsid w:val="2BFAF1FB"/>
    <w:rsid w:val="2BFE9CBA"/>
    <w:rsid w:val="2BFF2CE4"/>
    <w:rsid w:val="2C02C47F"/>
    <w:rsid w:val="2C0D9AA5"/>
    <w:rsid w:val="2C17B129"/>
    <w:rsid w:val="2C1B044D"/>
    <w:rsid w:val="2C3A86D1"/>
    <w:rsid w:val="2C3F3965"/>
    <w:rsid w:val="2C514D6E"/>
    <w:rsid w:val="2C57B030"/>
    <w:rsid w:val="2C5917F6"/>
    <w:rsid w:val="2C599330"/>
    <w:rsid w:val="2C5A50B9"/>
    <w:rsid w:val="2C63F249"/>
    <w:rsid w:val="2C79F082"/>
    <w:rsid w:val="2C83FF37"/>
    <w:rsid w:val="2C961FD4"/>
    <w:rsid w:val="2CA7BE85"/>
    <w:rsid w:val="2CBD2AC0"/>
    <w:rsid w:val="2CE9323B"/>
    <w:rsid w:val="2CF262DC"/>
    <w:rsid w:val="2CF7D0D2"/>
    <w:rsid w:val="2D06DA5C"/>
    <w:rsid w:val="2D098AA6"/>
    <w:rsid w:val="2D132F5C"/>
    <w:rsid w:val="2D1D5E4C"/>
    <w:rsid w:val="2D23EE37"/>
    <w:rsid w:val="2D2AA1CE"/>
    <w:rsid w:val="2D2E2D63"/>
    <w:rsid w:val="2D36EC8F"/>
    <w:rsid w:val="2D3D7DC7"/>
    <w:rsid w:val="2D3DAD97"/>
    <w:rsid w:val="2D4D4D59"/>
    <w:rsid w:val="2D57B6D7"/>
    <w:rsid w:val="2D5C4440"/>
    <w:rsid w:val="2D5CFDE0"/>
    <w:rsid w:val="2D6A0E10"/>
    <w:rsid w:val="2D6CE720"/>
    <w:rsid w:val="2D701F67"/>
    <w:rsid w:val="2D727743"/>
    <w:rsid w:val="2D730C29"/>
    <w:rsid w:val="2D7F7A38"/>
    <w:rsid w:val="2D877EE0"/>
    <w:rsid w:val="2D9D775D"/>
    <w:rsid w:val="2DA46111"/>
    <w:rsid w:val="2DAB88A9"/>
    <w:rsid w:val="2DB23891"/>
    <w:rsid w:val="2DB36C3C"/>
    <w:rsid w:val="2DB8FF3F"/>
    <w:rsid w:val="2DBB2B7C"/>
    <w:rsid w:val="2DE0B926"/>
    <w:rsid w:val="2DE99ABC"/>
    <w:rsid w:val="2DEBCA0F"/>
    <w:rsid w:val="2DEFE20E"/>
    <w:rsid w:val="2DF4220D"/>
    <w:rsid w:val="2DF51476"/>
    <w:rsid w:val="2DF6B9F3"/>
    <w:rsid w:val="2DF80610"/>
    <w:rsid w:val="2E065004"/>
    <w:rsid w:val="2E0C26A2"/>
    <w:rsid w:val="2E1668D3"/>
    <w:rsid w:val="2E2B864F"/>
    <w:rsid w:val="2E3CA4A3"/>
    <w:rsid w:val="2E3F10D4"/>
    <w:rsid w:val="2E4C41BD"/>
    <w:rsid w:val="2E5A16B4"/>
    <w:rsid w:val="2E6EB843"/>
    <w:rsid w:val="2EABCFFF"/>
    <w:rsid w:val="2EB62B89"/>
    <w:rsid w:val="2EBEC081"/>
    <w:rsid w:val="2ED7F7B0"/>
    <w:rsid w:val="2EDE5F99"/>
    <w:rsid w:val="2EE40909"/>
    <w:rsid w:val="2EE45947"/>
    <w:rsid w:val="2EF1EFBA"/>
    <w:rsid w:val="2EF921A1"/>
    <w:rsid w:val="2F024E75"/>
    <w:rsid w:val="2F1BAB51"/>
    <w:rsid w:val="2F1F19E9"/>
    <w:rsid w:val="2F22C35D"/>
    <w:rsid w:val="2F2F8E09"/>
    <w:rsid w:val="2F2FB246"/>
    <w:rsid w:val="2F3A9B81"/>
    <w:rsid w:val="2F3B94B1"/>
    <w:rsid w:val="2F428EEF"/>
    <w:rsid w:val="2F4A8991"/>
    <w:rsid w:val="2F4BD800"/>
    <w:rsid w:val="2F519902"/>
    <w:rsid w:val="2F772415"/>
    <w:rsid w:val="2F7B4F2A"/>
    <w:rsid w:val="2F8451D4"/>
    <w:rsid w:val="2F8947F9"/>
    <w:rsid w:val="2FA62D2C"/>
    <w:rsid w:val="2FA817F4"/>
    <w:rsid w:val="2FA9E011"/>
    <w:rsid w:val="2FB04A0D"/>
    <w:rsid w:val="2FB8FEA7"/>
    <w:rsid w:val="2FC82A48"/>
    <w:rsid w:val="2FD4860D"/>
    <w:rsid w:val="2FD53726"/>
    <w:rsid w:val="2FDB7955"/>
    <w:rsid w:val="2FE415CD"/>
    <w:rsid w:val="2FE7CC9A"/>
    <w:rsid w:val="2FF356C5"/>
    <w:rsid w:val="301BA970"/>
    <w:rsid w:val="301D00C8"/>
    <w:rsid w:val="3026FEEB"/>
    <w:rsid w:val="3027000F"/>
    <w:rsid w:val="3029A7F2"/>
    <w:rsid w:val="303743EF"/>
    <w:rsid w:val="303DE79A"/>
    <w:rsid w:val="303DEE5E"/>
    <w:rsid w:val="304FBBF4"/>
    <w:rsid w:val="3060F532"/>
    <w:rsid w:val="3061B430"/>
    <w:rsid w:val="306A3C9D"/>
    <w:rsid w:val="308B07AC"/>
    <w:rsid w:val="308DE4BA"/>
    <w:rsid w:val="3093A600"/>
    <w:rsid w:val="3099A549"/>
    <w:rsid w:val="30A8C2DF"/>
    <w:rsid w:val="30B8D87D"/>
    <w:rsid w:val="30B8FF1B"/>
    <w:rsid w:val="30C95A88"/>
    <w:rsid w:val="30D5EBDF"/>
    <w:rsid w:val="30D60FF8"/>
    <w:rsid w:val="30EB9457"/>
    <w:rsid w:val="30F20F21"/>
    <w:rsid w:val="30F956F4"/>
    <w:rsid w:val="30FE3E91"/>
    <w:rsid w:val="3107BD7F"/>
    <w:rsid w:val="310A0169"/>
    <w:rsid w:val="310B7179"/>
    <w:rsid w:val="311440A5"/>
    <w:rsid w:val="311856DC"/>
    <w:rsid w:val="3123C60E"/>
    <w:rsid w:val="31271D66"/>
    <w:rsid w:val="313FE878"/>
    <w:rsid w:val="314C15B1"/>
    <w:rsid w:val="3158C617"/>
    <w:rsid w:val="31605B7F"/>
    <w:rsid w:val="317B4BA8"/>
    <w:rsid w:val="3187C7F0"/>
    <w:rsid w:val="319B233A"/>
    <w:rsid w:val="31A05561"/>
    <w:rsid w:val="31A5997C"/>
    <w:rsid w:val="31AC3D27"/>
    <w:rsid w:val="31AED583"/>
    <w:rsid w:val="31AF1F2A"/>
    <w:rsid w:val="31C8E204"/>
    <w:rsid w:val="31CA299B"/>
    <w:rsid w:val="31CBFF76"/>
    <w:rsid w:val="31D5B598"/>
    <w:rsid w:val="31E8CDCE"/>
    <w:rsid w:val="31EE20DC"/>
    <w:rsid w:val="31F1A8B1"/>
    <w:rsid w:val="31F4E0C2"/>
    <w:rsid w:val="31F82958"/>
    <w:rsid w:val="320B4801"/>
    <w:rsid w:val="320B4D0F"/>
    <w:rsid w:val="320DB04E"/>
    <w:rsid w:val="321040E3"/>
    <w:rsid w:val="3210FA3A"/>
    <w:rsid w:val="32158CBB"/>
    <w:rsid w:val="32169241"/>
    <w:rsid w:val="3216C0B1"/>
    <w:rsid w:val="3218D5B9"/>
    <w:rsid w:val="3232EED7"/>
    <w:rsid w:val="3235A92F"/>
    <w:rsid w:val="3239FDC8"/>
    <w:rsid w:val="3249E720"/>
    <w:rsid w:val="32506316"/>
    <w:rsid w:val="32548C5F"/>
    <w:rsid w:val="325AA592"/>
    <w:rsid w:val="325CF2CD"/>
    <w:rsid w:val="3261467C"/>
    <w:rsid w:val="3267BB7C"/>
    <w:rsid w:val="3275DEC3"/>
    <w:rsid w:val="32771257"/>
    <w:rsid w:val="3289D93B"/>
    <w:rsid w:val="3293A8D0"/>
    <w:rsid w:val="32A1F9A7"/>
    <w:rsid w:val="32B02497"/>
    <w:rsid w:val="32B0C4EC"/>
    <w:rsid w:val="32B20DDF"/>
    <w:rsid w:val="32BC869D"/>
    <w:rsid w:val="32BEF479"/>
    <w:rsid w:val="32C16380"/>
    <w:rsid w:val="32D2C502"/>
    <w:rsid w:val="32D96A71"/>
    <w:rsid w:val="32DC7EFA"/>
    <w:rsid w:val="32DFF26C"/>
    <w:rsid w:val="3302E144"/>
    <w:rsid w:val="33060A32"/>
    <w:rsid w:val="33093B49"/>
    <w:rsid w:val="33192BD8"/>
    <w:rsid w:val="331BC61D"/>
    <w:rsid w:val="33214E42"/>
    <w:rsid w:val="332D6C23"/>
    <w:rsid w:val="33359170"/>
    <w:rsid w:val="334B036E"/>
    <w:rsid w:val="334E9952"/>
    <w:rsid w:val="3355E28E"/>
    <w:rsid w:val="335A888C"/>
    <w:rsid w:val="3365B765"/>
    <w:rsid w:val="3378D76D"/>
    <w:rsid w:val="3379B312"/>
    <w:rsid w:val="338AEA8A"/>
    <w:rsid w:val="338CD1A5"/>
    <w:rsid w:val="33907B2C"/>
    <w:rsid w:val="3391A739"/>
    <w:rsid w:val="33944998"/>
    <w:rsid w:val="339DAF4E"/>
    <w:rsid w:val="339F03C5"/>
    <w:rsid w:val="33A25D1D"/>
    <w:rsid w:val="33A63872"/>
    <w:rsid w:val="33A85A4F"/>
    <w:rsid w:val="33A89958"/>
    <w:rsid w:val="33ABE607"/>
    <w:rsid w:val="33B24E4D"/>
    <w:rsid w:val="33B7253C"/>
    <w:rsid w:val="33C20E71"/>
    <w:rsid w:val="33D56B6D"/>
    <w:rsid w:val="33DBA427"/>
    <w:rsid w:val="33E4C5B9"/>
    <w:rsid w:val="33EBA434"/>
    <w:rsid w:val="33FCB283"/>
    <w:rsid w:val="3406673F"/>
    <w:rsid w:val="3414BF3C"/>
    <w:rsid w:val="34170D20"/>
    <w:rsid w:val="34329B0A"/>
    <w:rsid w:val="3436B718"/>
    <w:rsid w:val="34435A0D"/>
    <w:rsid w:val="34440724"/>
    <w:rsid w:val="344615A1"/>
    <w:rsid w:val="34562AA5"/>
    <w:rsid w:val="345A906F"/>
    <w:rsid w:val="345ED193"/>
    <w:rsid w:val="3461B0DC"/>
    <w:rsid w:val="347CF779"/>
    <w:rsid w:val="347D260E"/>
    <w:rsid w:val="347D30F0"/>
    <w:rsid w:val="3480B018"/>
    <w:rsid w:val="3486981B"/>
    <w:rsid w:val="348AF4B7"/>
    <w:rsid w:val="3490D856"/>
    <w:rsid w:val="3491DA2F"/>
    <w:rsid w:val="349EC634"/>
    <w:rsid w:val="34A4493E"/>
    <w:rsid w:val="34AD1AFD"/>
    <w:rsid w:val="34CA16AD"/>
    <w:rsid w:val="34CD103D"/>
    <w:rsid w:val="34DB8FE0"/>
    <w:rsid w:val="34F40D35"/>
    <w:rsid w:val="351C535E"/>
    <w:rsid w:val="35299D9A"/>
    <w:rsid w:val="35317FC5"/>
    <w:rsid w:val="35399388"/>
    <w:rsid w:val="355882CD"/>
    <w:rsid w:val="3558CB66"/>
    <w:rsid w:val="355B8BAD"/>
    <w:rsid w:val="3567C85A"/>
    <w:rsid w:val="35694E53"/>
    <w:rsid w:val="3581B256"/>
    <w:rsid w:val="3582AD24"/>
    <w:rsid w:val="35834A8A"/>
    <w:rsid w:val="35893A5E"/>
    <w:rsid w:val="35909E4A"/>
    <w:rsid w:val="3590DAB2"/>
    <w:rsid w:val="35924575"/>
    <w:rsid w:val="3596F93B"/>
    <w:rsid w:val="3599AE0B"/>
    <w:rsid w:val="359B31DF"/>
    <w:rsid w:val="359D3756"/>
    <w:rsid w:val="35AB701A"/>
    <w:rsid w:val="35BF1E22"/>
    <w:rsid w:val="35C84EB7"/>
    <w:rsid w:val="35CDD4CA"/>
    <w:rsid w:val="35EFC20F"/>
    <w:rsid w:val="35F225E7"/>
    <w:rsid w:val="36089A36"/>
    <w:rsid w:val="36182E51"/>
    <w:rsid w:val="3628C836"/>
    <w:rsid w:val="363026BF"/>
    <w:rsid w:val="364ACEED"/>
    <w:rsid w:val="3662BD55"/>
    <w:rsid w:val="3665F916"/>
    <w:rsid w:val="366699E2"/>
    <w:rsid w:val="366C3A22"/>
    <w:rsid w:val="36709395"/>
    <w:rsid w:val="3671E71B"/>
    <w:rsid w:val="3673B28D"/>
    <w:rsid w:val="367A2DF3"/>
    <w:rsid w:val="3688753C"/>
    <w:rsid w:val="36898B77"/>
    <w:rsid w:val="368E7402"/>
    <w:rsid w:val="368F0865"/>
    <w:rsid w:val="369AACA9"/>
    <w:rsid w:val="36A62F0B"/>
    <w:rsid w:val="36A7C713"/>
    <w:rsid w:val="36A9A04B"/>
    <w:rsid w:val="36AB6259"/>
    <w:rsid w:val="36AEEA29"/>
    <w:rsid w:val="36BCD2CA"/>
    <w:rsid w:val="36BFDAD8"/>
    <w:rsid w:val="36CA7596"/>
    <w:rsid w:val="36DA1482"/>
    <w:rsid w:val="36F43796"/>
    <w:rsid w:val="36FC2177"/>
    <w:rsid w:val="370EB49C"/>
    <w:rsid w:val="37159541"/>
    <w:rsid w:val="3716977E"/>
    <w:rsid w:val="37177AA8"/>
    <w:rsid w:val="37359BE4"/>
    <w:rsid w:val="373B154D"/>
    <w:rsid w:val="373EAAA5"/>
    <w:rsid w:val="3741119E"/>
    <w:rsid w:val="37450053"/>
    <w:rsid w:val="374518B3"/>
    <w:rsid w:val="37504943"/>
    <w:rsid w:val="3754B814"/>
    <w:rsid w:val="375F9D76"/>
    <w:rsid w:val="3782C36D"/>
    <w:rsid w:val="378F7796"/>
    <w:rsid w:val="3792D309"/>
    <w:rsid w:val="37A1C422"/>
    <w:rsid w:val="37A70D08"/>
    <w:rsid w:val="37BBD1C2"/>
    <w:rsid w:val="37C73CD9"/>
    <w:rsid w:val="37CB08EE"/>
    <w:rsid w:val="37CFEFCB"/>
    <w:rsid w:val="37D65441"/>
    <w:rsid w:val="37D83F8F"/>
    <w:rsid w:val="37DDC194"/>
    <w:rsid w:val="37E559C2"/>
    <w:rsid w:val="37EF8C3A"/>
    <w:rsid w:val="37F15E67"/>
    <w:rsid w:val="37F16B77"/>
    <w:rsid w:val="37F8B8A2"/>
    <w:rsid w:val="37FA54AB"/>
    <w:rsid w:val="38033F92"/>
    <w:rsid w:val="380C3C46"/>
    <w:rsid w:val="3811D460"/>
    <w:rsid w:val="38127AE8"/>
    <w:rsid w:val="3823E225"/>
    <w:rsid w:val="38263997"/>
    <w:rsid w:val="38296514"/>
    <w:rsid w:val="3840CB32"/>
    <w:rsid w:val="384D8928"/>
    <w:rsid w:val="386A498F"/>
    <w:rsid w:val="386FE065"/>
    <w:rsid w:val="38774F29"/>
    <w:rsid w:val="387AEAED"/>
    <w:rsid w:val="3881A083"/>
    <w:rsid w:val="38898AC5"/>
    <w:rsid w:val="38962410"/>
    <w:rsid w:val="389769E5"/>
    <w:rsid w:val="389993C2"/>
    <w:rsid w:val="389BE919"/>
    <w:rsid w:val="38AE6DBC"/>
    <w:rsid w:val="38B9A5B5"/>
    <w:rsid w:val="38C3C5A6"/>
    <w:rsid w:val="38CE22BB"/>
    <w:rsid w:val="38CE7944"/>
    <w:rsid w:val="38D1F2AE"/>
    <w:rsid w:val="38DA245E"/>
    <w:rsid w:val="38F19756"/>
    <w:rsid w:val="38F56FA2"/>
    <w:rsid w:val="38F6D182"/>
    <w:rsid w:val="38F771D7"/>
    <w:rsid w:val="38FC87C7"/>
    <w:rsid w:val="390C6F1A"/>
    <w:rsid w:val="3912254C"/>
    <w:rsid w:val="392C0E2C"/>
    <w:rsid w:val="392CB52A"/>
    <w:rsid w:val="393278A4"/>
    <w:rsid w:val="3937824D"/>
    <w:rsid w:val="393FC104"/>
    <w:rsid w:val="394DE17A"/>
    <w:rsid w:val="39509F4C"/>
    <w:rsid w:val="39559D31"/>
    <w:rsid w:val="3959B262"/>
    <w:rsid w:val="395AD4D6"/>
    <w:rsid w:val="396D21AF"/>
    <w:rsid w:val="39711029"/>
    <w:rsid w:val="39755E43"/>
    <w:rsid w:val="398B1702"/>
    <w:rsid w:val="398C5328"/>
    <w:rsid w:val="399EE905"/>
    <w:rsid w:val="39B1ED53"/>
    <w:rsid w:val="39BB45C9"/>
    <w:rsid w:val="39CBC93E"/>
    <w:rsid w:val="39CF5A5C"/>
    <w:rsid w:val="39CF9A36"/>
    <w:rsid w:val="39E37C3E"/>
    <w:rsid w:val="39E7CC4B"/>
    <w:rsid w:val="39F6B6C8"/>
    <w:rsid w:val="39F966F2"/>
    <w:rsid w:val="3A001542"/>
    <w:rsid w:val="3A08AB3F"/>
    <w:rsid w:val="3A0940CC"/>
    <w:rsid w:val="3A126716"/>
    <w:rsid w:val="3A1BB019"/>
    <w:rsid w:val="3A235898"/>
    <w:rsid w:val="3A2AA719"/>
    <w:rsid w:val="3A327949"/>
    <w:rsid w:val="3A34FF6B"/>
    <w:rsid w:val="3A496F06"/>
    <w:rsid w:val="3A4CD43F"/>
    <w:rsid w:val="3A4D72B4"/>
    <w:rsid w:val="3A52F519"/>
    <w:rsid w:val="3A7105CF"/>
    <w:rsid w:val="3A724AE7"/>
    <w:rsid w:val="3A73608C"/>
    <w:rsid w:val="3A774BCF"/>
    <w:rsid w:val="3A88FAA7"/>
    <w:rsid w:val="3A8A769C"/>
    <w:rsid w:val="3AB21BCD"/>
    <w:rsid w:val="3AB8B7CB"/>
    <w:rsid w:val="3ABA3F2E"/>
    <w:rsid w:val="3ABE0592"/>
    <w:rsid w:val="3AC06A24"/>
    <w:rsid w:val="3ADB8BCA"/>
    <w:rsid w:val="3ADBFAFA"/>
    <w:rsid w:val="3ADD8E21"/>
    <w:rsid w:val="3AE493F6"/>
    <w:rsid w:val="3AEB318C"/>
    <w:rsid w:val="3B029024"/>
    <w:rsid w:val="3B02FFBA"/>
    <w:rsid w:val="3B0CF3FF"/>
    <w:rsid w:val="3B100A0A"/>
    <w:rsid w:val="3B113965"/>
    <w:rsid w:val="3B120749"/>
    <w:rsid w:val="3B13996A"/>
    <w:rsid w:val="3B14A053"/>
    <w:rsid w:val="3B1BC848"/>
    <w:rsid w:val="3B1EF18F"/>
    <w:rsid w:val="3B282A54"/>
    <w:rsid w:val="3B295716"/>
    <w:rsid w:val="3B30C67D"/>
    <w:rsid w:val="3B31E540"/>
    <w:rsid w:val="3B388704"/>
    <w:rsid w:val="3B3B8889"/>
    <w:rsid w:val="3B41CF34"/>
    <w:rsid w:val="3B6F9525"/>
    <w:rsid w:val="3B7FC050"/>
    <w:rsid w:val="3B926938"/>
    <w:rsid w:val="3B982EAB"/>
    <w:rsid w:val="3BA19559"/>
    <w:rsid w:val="3BA903BC"/>
    <w:rsid w:val="3BB1765F"/>
    <w:rsid w:val="3BB6A6F9"/>
    <w:rsid w:val="3BB720CA"/>
    <w:rsid w:val="3BC05AFC"/>
    <w:rsid w:val="3BCBB469"/>
    <w:rsid w:val="3BCCFD58"/>
    <w:rsid w:val="3BD4B394"/>
    <w:rsid w:val="3BE6D774"/>
    <w:rsid w:val="3BFD240A"/>
    <w:rsid w:val="3C0A0196"/>
    <w:rsid w:val="3C157DA8"/>
    <w:rsid w:val="3C1A2D22"/>
    <w:rsid w:val="3C1E7939"/>
    <w:rsid w:val="3C28E69D"/>
    <w:rsid w:val="3C41C18E"/>
    <w:rsid w:val="3C445EBB"/>
    <w:rsid w:val="3C6BE60E"/>
    <w:rsid w:val="3C6EABA3"/>
    <w:rsid w:val="3C773DD9"/>
    <w:rsid w:val="3C780B33"/>
    <w:rsid w:val="3C7C9A57"/>
    <w:rsid w:val="3C8637B6"/>
    <w:rsid w:val="3C9C7796"/>
    <w:rsid w:val="3C9DDD5E"/>
    <w:rsid w:val="3CB0AE29"/>
    <w:rsid w:val="3CB32E57"/>
    <w:rsid w:val="3CC47799"/>
    <w:rsid w:val="3CC6E8A4"/>
    <w:rsid w:val="3CD77846"/>
    <w:rsid w:val="3CDB77C0"/>
    <w:rsid w:val="3CDDEEED"/>
    <w:rsid w:val="3CE4C21C"/>
    <w:rsid w:val="3CECFF94"/>
    <w:rsid w:val="3CF6636D"/>
    <w:rsid w:val="3CF6BDD8"/>
    <w:rsid w:val="3D0613D4"/>
    <w:rsid w:val="3D084B81"/>
    <w:rsid w:val="3D09B55B"/>
    <w:rsid w:val="3D0B94C5"/>
    <w:rsid w:val="3D1B4493"/>
    <w:rsid w:val="3D21C622"/>
    <w:rsid w:val="3D2306BB"/>
    <w:rsid w:val="3D2F70C7"/>
    <w:rsid w:val="3D40A5A8"/>
    <w:rsid w:val="3D57E21C"/>
    <w:rsid w:val="3D5B3593"/>
    <w:rsid w:val="3D609A12"/>
    <w:rsid w:val="3D724A67"/>
    <w:rsid w:val="3D73832D"/>
    <w:rsid w:val="3D79FE95"/>
    <w:rsid w:val="3D7B4EAB"/>
    <w:rsid w:val="3D8A3B33"/>
    <w:rsid w:val="3D935103"/>
    <w:rsid w:val="3D9A5270"/>
    <w:rsid w:val="3D9E6A6C"/>
    <w:rsid w:val="3DA1DCA5"/>
    <w:rsid w:val="3DA21A04"/>
    <w:rsid w:val="3DA313B6"/>
    <w:rsid w:val="3DA634BA"/>
    <w:rsid w:val="3DAB65E2"/>
    <w:rsid w:val="3DB4034B"/>
    <w:rsid w:val="3DB4CDFD"/>
    <w:rsid w:val="3DC8F920"/>
    <w:rsid w:val="3DCD0E85"/>
    <w:rsid w:val="3DDF5679"/>
    <w:rsid w:val="3DE16723"/>
    <w:rsid w:val="3DEBAA1D"/>
    <w:rsid w:val="3E0307D3"/>
    <w:rsid w:val="3E09506E"/>
    <w:rsid w:val="3E0F4ECB"/>
    <w:rsid w:val="3E139B95"/>
    <w:rsid w:val="3E139BF9"/>
    <w:rsid w:val="3E245157"/>
    <w:rsid w:val="3E274DD6"/>
    <w:rsid w:val="3E2A683C"/>
    <w:rsid w:val="3E2E11EE"/>
    <w:rsid w:val="3E4BFCEB"/>
    <w:rsid w:val="3E534905"/>
    <w:rsid w:val="3E6622F5"/>
    <w:rsid w:val="3E683FA9"/>
    <w:rsid w:val="3E774925"/>
    <w:rsid w:val="3E8E246D"/>
    <w:rsid w:val="3E8FC243"/>
    <w:rsid w:val="3E943638"/>
    <w:rsid w:val="3EA1A509"/>
    <w:rsid w:val="3EA9F057"/>
    <w:rsid w:val="3EB4375F"/>
    <w:rsid w:val="3EB70C8B"/>
    <w:rsid w:val="3EBB191A"/>
    <w:rsid w:val="3EC3B816"/>
    <w:rsid w:val="3EDB6157"/>
    <w:rsid w:val="3EE1C4ED"/>
    <w:rsid w:val="3EEEB7DC"/>
    <w:rsid w:val="3F04ECE6"/>
    <w:rsid w:val="3F1B0C85"/>
    <w:rsid w:val="3F1F4CAD"/>
    <w:rsid w:val="3F26EA6E"/>
    <w:rsid w:val="3F445024"/>
    <w:rsid w:val="3F4727E9"/>
    <w:rsid w:val="3F4DAF56"/>
    <w:rsid w:val="3F503A70"/>
    <w:rsid w:val="3F50B6B7"/>
    <w:rsid w:val="3F5714B9"/>
    <w:rsid w:val="3F5C52B2"/>
    <w:rsid w:val="3F6596B6"/>
    <w:rsid w:val="3F6657B4"/>
    <w:rsid w:val="3F6929BC"/>
    <w:rsid w:val="3F6C37E1"/>
    <w:rsid w:val="3F77A420"/>
    <w:rsid w:val="3F8C1E3F"/>
    <w:rsid w:val="3FA5C971"/>
    <w:rsid w:val="3FAA465F"/>
    <w:rsid w:val="3FB2F310"/>
    <w:rsid w:val="3FC1CB2B"/>
    <w:rsid w:val="3FC27E0B"/>
    <w:rsid w:val="3FC6425A"/>
    <w:rsid w:val="3FC8FE9F"/>
    <w:rsid w:val="3FD0B860"/>
    <w:rsid w:val="3FD568A1"/>
    <w:rsid w:val="3FDEEBC0"/>
    <w:rsid w:val="3FE3A69A"/>
    <w:rsid w:val="3FE7101C"/>
    <w:rsid w:val="3FF12BBC"/>
    <w:rsid w:val="3FF28089"/>
    <w:rsid w:val="3FF9F0F7"/>
    <w:rsid w:val="40173D64"/>
    <w:rsid w:val="401DCD89"/>
    <w:rsid w:val="40225956"/>
    <w:rsid w:val="40238579"/>
    <w:rsid w:val="402733A1"/>
    <w:rsid w:val="4029D711"/>
    <w:rsid w:val="402EE12A"/>
    <w:rsid w:val="4033F744"/>
    <w:rsid w:val="40397844"/>
    <w:rsid w:val="403B3710"/>
    <w:rsid w:val="404534B2"/>
    <w:rsid w:val="40456B5A"/>
    <w:rsid w:val="404586EE"/>
    <w:rsid w:val="404F8D91"/>
    <w:rsid w:val="4057973F"/>
    <w:rsid w:val="4057B605"/>
    <w:rsid w:val="405A4BD7"/>
    <w:rsid w:val="405E10E1"/>
    <w:rsid w:val="406975A8"/>
    <w:rsid w:val="40B5D376"/>
    <w:rsid w:val="40BDA6EF"/>
    <w:rsid w:val="40D65F89"/>
    <w:rsid w:val="40D76997"/>
    <w:rsid w:val="40E06CB0"/>
    <w:rsid w:val="40E33F2F"/>
    <w:rsid w:val="40EA989B"/>
    <w:rsid w:val="40EC071E"/>
    <w:rsid w:val="40ED38FA"/>
    <w:rsid w:val="40EFB273"/>
    <w:rsid w:val="40EFB3FC"/>
    <w:rsid w:val="40FB8581"/>
    <w:rsid w:val="4102BEF7"/>
    <w:rsid w:val="410321E0"/>
    <w:rsid w:val="4103DDD7"/>
    <w:rsid w:val="410985E2"/>
    <w:rsid w:val="41101FA5"/>
    <w:rsid w:val="4110D361"/>
    <w:rsid w:val="412C2E92"/>
    <w:rsid w:val="4130D493"/>
    <w:rsid w:val="4145EDD6"/>
    <w:rsid w:val="41485391"/>
    <w:rsid w:val="4152E117"/>
    <w:rsid w:val="4160868D"/>
    <w:rsid w:val="416E14AA"/>
    <w:rsid w:val="416E9739"/>
    <w:rsid w:val="41766C51"/>
    <w:rsid w:val="417D74C8"/>
    <w:rsid w:val="4181BFF7"/>
    <w:rsid w:val="4181FA8F"/>
    <w:rsid w:val="41830145"/>
    <w:rsid w:val="418973C7"/>
    <w:rsid w:val="41967948"/>
    <w:rsid w:val="419AD74A"/>
    <w:rsid w:val="41B278CE"/>
    <w:rsid w:val="41B95D0E"/>
    <w:rsid w:val="41C3BC0B"/>
    <w:rsid w:val="41C3C8DE"/>
    <w:rsid w:val="41CC1782"/>
    <w:rsid w:val="41DD7476"/>
    <w:rsid w:val="41E34A3B"/>
    <w:rsid w:val="41FEF943"/>
    <w:rsid w:val="42019801"/>
    <w:rsid w:val="42042C78"/>
    <w:rsid w:val="421143BD"/>
    <w:rsid w:val="42116E93"/>
    <w:rsid w:val="421176EC"/>
    <w:rsid w:val="421229C5"/>
    <w:rsid w:val="42145931"/>
    <w:rsid w:val="421E0504"/>
    <w:rsid w:val="422891D7"/>
    <w:rsid w:val="422A80DB"/>
    <w:rsid w:val="422C89CF"/>
    <w:rsid w:val="42336706"/>
    <w:rsid w:val="4240B3BD"/>
    <w:rsid w:val="42468A78"/>
    <w:rsid w:val="425A5759"/>
    <w:rsid w:val="42626254"/>
    <w:rsid w:val="42675D5A"/>
    <w:rsid w:val="42685E6E"/>
    <w:rsid w:val="4271DDF9"/>
    <w:rsid w:val="4279ACAE"/>
    <w:rsid w:val="427F8DD8"/>
    <w:rsid w:val="428CCC58"/>
    <w:rsid w:val="428FF472"/>
    <w:rsid w:val="42917CB4"/>
    <w:rsid w:val="4297CCC6"/>
    <w:rsid w:val="4299334D"/>
    <w:rsid w:val="42AC7D4B"/>
    <w:rsid w:val="42B4F852"/>
    <w:rsid w:val="42C57631"/>
    <w:rsid w:val="42CDC7FF"/>
    <w:rsid w:val="42D8A34E"/>
    <w:rsid w:val="42DC19CC"/>
    <w:rsid w:val="42DEA68E"/>
    <w:rsid w:val="42E622CB"/>
    <w:rsid w:val="42EF3F88"/>
    <w:rsid w:val="42F9714D"/>
    <w:rsid w:val="42FA8826"/>
    <w:rsid w:val="430B0134"/>
    <w:rsid w:val="430FB394"/>
    <w:rsid w:val="4314B7D1"/>
    <w:rsid w:val="43176F09"/>
    <w:rsid w:val="433B99AE"/>
    <w:rsid w:val="434A6885"/>
    <w:rsid w:val="435A2584"/>
    <w:rsid w:val="435AAE69"/>
    <w:rsid w:val="435C7D59"/>
    <w:rsid w:val="435F8554"/>
    <w:rsid w:val="43620F4B"/>
    <w:rsid w:val="4363D5C7"/>
    <w:rsid w:val="43777DE2"/>
    <w:rsid w:val="4392C410"/>
    <w:rsid w:val="43AB6F76"/>
    <w:rsid w:val="43B5D7A8"/>
    <w:rsid w:val="43BC3457"/>
    <w:rsid w:val="43C51DF5"/>
    <w:rsid w:val="43C7E46F"/>
    <w:rsid w:val="43D047BC"/>
    <w:rsid w:val="43D34193"/>
    <w:rsid w:val="43E48BAC"/>
    <w:rsid w:val="43EF2B51"/>
    <w:rsid w:val="43FB1375"/>
    <w:rsid w:val="44128723"/>
    <w:rsid w:val="44217A47"/>
    <w:rsid w:val="4424E01A"/>
    <w:rsid w:val="443097CF"/>
    <w:rsid w:val="444986B2"/>
    <w:rsid w:val="444A4DA5"/>
    <w:rsid w:val="444AF597"/>
    <w:rsid w:val="444E7459"/>
    <w:rsid w:val="4450BBB5"/>
    <w:rsid w:val="44569C17"/>
    <w:rsid w:val="446A67C8"/>
    <w:rsid w:val="446DA81D"/>
    <w:rsid w:val="447020AA"/>
    <w:rsid w:val="447B83F6"/>
    <w:rsid w:val="448131C4"/>
    <w:rsid w:val="4482E533"/>
    <w:rsid w:val="4489E2CC"/>
    <w:rsid w:val="448B059B"/>
    <w:rsid w:val="44998479"/>
    <w:rsid w:val="44A27A43"/>
    <w:rsid w:val="44A67D16"/>
    <w:rsid w:val="44BA362A"/>
    <w:rsid w:val="44CD0EA5"/>
    <w:rsid w:val="44DC0DFF"/>
    <w:rsid w:val="44E05911"/>
    <w:rsid w:val="44E35404"/>
    <w:rsid w:val="44E91C02"/>
    <w:rsid w:val="44EDD850"/>
    <w:rsid w:val="44F68323"/>
    <w:rsid w:val="44F979D0"/>
    <w:rsid w:val="44FBDBFF"/>
    <w:rsid w:val="4509286F"/>
    <w:rsid w:val="45136077"/>
    <w:rsid w:val="451DF93D"/>
    <w:rsid w:val="45212D8E"/>
    <w:rsid w:val="4521AB69"/>
    <w:rsid w:val="453AD8B4"/>
    <w:rsid w:val="454CA4C0"/>
    <w:rsid w:val="454F248E"/>
    <w:rsid w:val="4557BE94"/>
    <w:rsid w:val="455EEAE3"/>
    <w:rsid w:val="455F3FA1"/>
    <w:rsid w:val="4560BC57"/>
    <w:rsid w:val="456C56C1"/>
    <w:rsid w:val="456ED17A"/>
    <w:rsid w:val="456EFC12"/>
    <w:rsid w:val="457DB114"/>
    <w:rsid w:val="457E2634"/>
    <w:rsid w:val="4580D9AD"/>
    <w:rsid w:val="45878CDD"/>
    <w:rsid w:val="45899409"/>
    <w:rsid w:val="458E9C30"/>
    <w:rsid w:val="45980C22"/>
    <w:rsid w:val="4599C580"/>
    <w:rsid w:val="459A9F22"/>
    <w:rsid w:val="45A1C52F"/>
    <w:rsid w:val="45A22DE7"/>
    <w:rsid w:val="45BD9FDB"/>
    <w:rsid w:val="45BDCC28"/>
    <w:rsid w:val="45C6A057"/>
    <w:rsid w:val="45D1F7D6"/>
    <w:rsid w:val="45D4B170"/>
    <w:rsid w:val="45DA6A25"/>
    <w:rsid w:val="45E00C5F"/>
    <w:rsid w:val="45E3DC4A"/>
    <w:rsid w:val="45F8E32C"/>
    <w:rsid w:val="45FB153E"/>
    <w:rsid w:val="45FD0E37"/>
    <w:rsid w:val="460146AE"/>
    <w:rsid w:val="46097B2F"/>
    <w:rsid w:val="460AE252"/>
    <w:rsid w:val="46139183"/>
    <w:rsid w:val="461C5A31"/>
    <w:rsid w:val="461FD5F6"/>
    <w:rsid w:val="462BECF4"/>
    <w:rsid w:val="46302787"/>
    <w:rsid w:val="4634E979"/>
    <w:rsid w:val="4642FCD2"/>
    <w:rsid w:val="46468B46"/>
    <w:rsid w:val="46475ACB"/>
    <w:rsid w:val="464D7A86"/>
    <w:rsid w:val="465274ED"/>
    <w:rsid w:val="465941E5"/>
    <w:rsid w:val="4666E8ED"/>
    <w:rsid w:val="466720BB"/>
    <w:rsid w:val="46798848"/>
    <w:rsid w:val="4688327D"/>
    <w:rsid w:val="468CAD15"/>
    <w:rsid w:val="469F472D"/>
    <w:rsid w:val="46A27CB0"/>
    <w:rsid w:val="46A32748"/>
    <w:rsid w:val="46B21DE2"/>
    <w:rsid w:val="46B38A9B"/>
    <w:rsid w:val="46BBF82F"/>
    <w:rsid w:val="46C586CD"/>
    <w:rsid w:val="46C9C7FC"/>
    <w:rsid w:val="46CEF8EC"/>
    <w:rsid w:val="46D214B7"/>
    <w:rsid w:val="46E52618"/>
    <w:rsid w:val="46E5E3A3"/>
    <w:rsid w:val="46E7A97F"/>
    <w:rsid w:val="46EA8561"/>
    <w:rsid w:val="46F048FE"/>
    <w:rsid w:val="46F14C46"/>
    <w:rsid w:val="46F4AF0A"/>
    <w:rsid w:val="46F5350E"/>
    <w:rsid w:val="46F99F47"/>
    <w:rsid w:val="46FF2060"/>
    <w:rsid w:val="470B831A"/>
    <w:rsid w:val="470E1BA5"/>
    <w:rsid w:val="47156489"/>
    <w:rsid w:val="47207D40"/>
    <w:rsid w:val="472368C0"/>
    <w:rsid w:val="4723B965"/>
    <w:rsid w:val="4725805F"/>
    <w:rsid w:val="47269799"/>
    <w:rsid w:val="473CC492"/>
    <w:rsid w:val="47588E31"/>
    <w:rsid w:val="475ABA9D"/>
    <w:rsid w:val="475FAD77"/>
    <w:rsid w:val="4760190C"/>
    <w:rsid w:val="476B2ACF"/>
    <w:rsid w:val="477AD81D"/>
    <w:rsid w:val="477F2D20"/>
    <w:rsid w:val="47811618"/>
    <w:rsid w:val="4788E872"/>
    <w:rsid w:val="478956EB"/>
    <w:rsid w:val="4792DEDD"/>
    <w:rsid w:val="479A9F5C"/>
    <w:rsid w:val="479D9525"/>
    <w:rsid w:val="479E24FD"/>
    <w:rsid w:val="47ABDBE7"/>
    <w:rsid w:val="47ADBD34"/>
    <w:rsid w:val="47B6FD01"/>
    <w:rsid w:val="47BD18D8"/>
    <w:rsid w:val="47C48C0E"/>
    <w:rsid w:val="47CCC553"/>
    <w:rsid w:val="47DEE821"/>
    <w:rsid w:val="47E17B0C"/>
    <w:rsid w:val="47E1F3AD"/>
    <w:rsid w:val="47F70782"/>
    <w:rsid w:val="47FCC9A5"/>
    <w:rsid w:val="47FD7C70"/>
    <w:rsid w:val="48083A73"/>
    <w:rsid w:val="4811E494"/>
    <w:rsid w:val="4818CF64"/>
    <w:rsid w:val="482D6E30"/>
    <w:rsid w:val="48396385"/>
    <w:rsid w:val="483E0B65"/>
    <w:rsid w:val="48412632"/>
    <w:rsid w:val="48454E2D"/>
    <w:rsid w:val="4847CC93"/>
    <w:rsid w:val="485CC04D"/>
    <w:rsid w:val="486D77B5"/>
    <w:rsid w:val="486EE7AF"/>
    <w:rsid w:val="487C57DB"/>
    <w:rsid w:val="48839543"/>
    <w:rsid w:val="488B3F81"/>
    <w:rsid w:val="48976672"/>
    <w:rsid w:val="48A00BFC"/>
    <w:rsid w:val="48A02053"/>
    <w:rsid w:val="48A0FDB2"/>
    <w:rsid w:val="48A81CE4"/>
    <w:rsid w:val="48ADF089"/>
    <w:rsid w:val="48B67043"/>
    <w:rsid w:val="48C2CB65"/>
    <w:rsid w:val="48CD1B6F"/>
    <w:rsid w:val="48DF7A3D"/>
    <w:rsid w:val="48E4C24E"/>
    <w:rsid w:val="48E8A49B"/>
    <w:rsid w:val="48E9EDD0"/>
    <w:rsid w:val="48EAB0C5"/>
    <w:rsid w:val="48FD689D"/>
    <w:rsid w:val="48FE0788"/>
    <w:rsid w:val="48FF023A"/>
    <w:rsid w:val="490C5B00"/>
    <w:rsid w:val="490F298E"/>
    <w:rsid w:val="49121D4D"/>
    <w:rsid w:val="4924C00C"/>
    <w:rsid w:val="4927D153"/>
    <w:rsid w:val="492B713F"/>
    <w:rsid w:val="493202AC"/>
    <w:rsid w:val="493B6068"/>
    <w:rsid w:val="493D9980"/>
    <w:rsid w:val="493DABE9"/>
    <w:rsid w:val="493EA7AC"/>
    <w:rsid w:val="493EC916"/>
    <w:rsid w:val="4940B34D"/>
    <w:rsid w:val="49454BB8"/>
    <w:rsid w:val="4955D963"/>
    <w:rsid w:val="4956B808"/>
    <w:rsid w:val="495883FD"/>
    <w:rsid w:val="49608CCD"/>
    <w:rsid w:val="4960FFE6"/>
    <w:rsid w:val="4970DFE2"/>
    <w:rsid w:val="497C07DF"/>
    <w:rsid w:val="497EB7DD"/>
    <w:rsid w:val="4986EAD2"/>
    <w:rsid w:val="498CC15B"/>
    <w:rsid w:val="499E8E45"/>
    <w:rsid w:val="49A176E9"/>
    <w:rsid w:val="49A5AC81"/>
    <w:rsid w:val="49B2CB47"/>
    <w:rsid w:val="49B4A03E"/>
    <w:rsid w:val="49C5C563"/>
    <w:rsid w:val="49C87567"/>
    <w:rsid w:val="49D3598F"/>
    <w:rsid w:val="49D3B7F2"/>
    <w:rsid w:val="49D6D402"/>
    <w:rsid w:val="49DFD5CD"/>
    <w:rsid w:val="49E02024"/>
    <w:rsid w:val="49E4982D"/>
    <w:rsid w:val="49E5FC12"/>
    <w:rsid w:val="49F2D18D"/>
    <w:rsid w:val="49F698D9"/>
    <w:rsid w:val="49FD0A0A"/>
    <w:rsid w:val="4A035628"/>
    <w:rsid w:val="4A0FCAC5"/>
    <w:rsid w:val="4A10C9B9"/>
    <w:rsid w:val="4A213CF6"/>
    <w:rsid w:val="4A2B5329"/>
    <w:rsid w:val="4A2EAD95"/>
    <w:rsid w:val="4A37D359"/>
    <w:rsid w:val="4A39A16C"/>
    <w:rsid w:val="4A5145EB"/>
    <w:rsid w:val="4A57E3BA"/>
    <w:rsid w:val="4A5C9A0E"/>
    <w:rsid w:val="4A5DCEA5"/>
    <w:rsid w:val="4A5F4756"/>
    <w:rsid w:val="4A62883F"/>
    <w:rsid w:val="4A67AD40"/>
    <w:rsid w:val="4A6C1453"/>
    <w:rsid w:val="4A7ABAA8"/>
    <w:rsid w:val="4A8958D8"/>
    <w:rsid w:val="4A8C4358"/>
    <w:rsid w:val="4A91BD2B"/>
    <w:rsid w:val="4AA95F5F"/>
    <w:rsid w:val="4AAE29FD"/>
    <w:rsid w:val="4AB0A2FB"/>
    <w:rsid w:val="4AB18912"/>
    <w:rsid w:val="4AB53FE4"/>
    <w:rsid w:val="4AB61803"/>
    <w:rsid w:val="4AB64D5F"/>
    <w:rsid w:val="4AC9D8CC"/>
    <w:rsid w:val="4AD6C18A"/>
    <w:rsid w:val="4AD8B14C"/>
    <w:rsid w:val="4ADE6592"/>
    <w:rsid w:val="4AE73495"/>
    <w:rsid w:val="4AF06D6B"/>
    <w:rsid w:val="4AF1997C"/>
    <w:rsid w:val="4AFEC063"/>
    <w:rsid w:val="4B007A48"/>
    <w:rsid w:val="4B0818D0"/>
    <w:rsid w:val="4B31CA99"/>
    <w:rsid w:val="4B35CE44"/>
    <w:rsid w:val="4B3E08E6"/>
    <w:rsid w:val="4B442E2F"/>
    <w:rsid w:val="4B4465B5"/>
    <w:rsid w:val="4B4BEF7C"/>
    <w:rsid w:val="4B59D79C"/>
    <w:rsid w:val="4B5AB0CB"/>
    <w:rsid w:val="4B68C4F1"/>
    <w:rsid w:val="4B6B0F8D"/>
    <w:rsid w:val="4B754F09"/>
    <w:rsid w:val="4B7F30C0"/>
    <w:rsid w:val="4B880048"/>
    <w:rsid w:val="4B9752E0"/>
    <w:rsid w:val="4BA240E4"/>
    <w:rsid w:val="4BB63405"/>
    <w:rsid w:val="4BBB0766"/>
    <w:rsid w:val="4BBD60DC"/>
    <w:rsid w:val="4BBF823E"/>
    <w:rsid w:val="4BC9F4F2"/>
    <w:rsid w:val="4BCFBADB"/>
    <w:rsid w:val="4BD34D11"/>
    <w:rsid w:val="4BDD43FC"/>
    <w:rsid w:val="4BE615EB"/>
    <w:rsid w:val="4BE7C7AC"/>
    <w:rsid w:val="4BF184B7"/>
    <w:rsid w:val="4BF80542"/>
    <w:rsid w:val="4BFFEFAA"/>
    <w:rsid w:val="4C05E7F3"/>
    <w:rsid w:val="4C1E2051"/>
    <w:rsid w:val="4C200F94"/>
    <w:rsid w:val="4C2371BD"/>
    <w:rsid w:val="4C268288"/>
    <w:rsid w:val="4C3EB47E"/>
    <w:rsid w:val="4C5CB46F"/>
    <w:rsid w:val="4C6BF063"/>
    <w:rsid w:val="4C7884AB"/>
    <w:rsid w:val="4C90F677"/>
    <w:rsid w:val="4C91B091"/>
    <w:rsid w:val="4C98A100"/>
    <w:rsid w:val="4C99E7E7"/>
    <w:rsid w:val="4CA230F2"/>
    <w:rsid w:val="4CA23B63"/>
    <w:rsid w:val="4CC403A0"/>
    <w:rsid w:val="4CCC9F62"/>
    <w:rsid w:val="4CCEC434"/>
    <w:rsid w:val="4CD0ACA8"/>
    <w:rsid w:val="4CD6BB6C"/>
    <w:rsid w:val="4CE05F01"/>
    <w:rsid w:val="4CFC6FB0"/>
    <w:rsid w:val="4CFEF7F2"/>
    <w:rsid w:val="4D0308F3"/>
    <w:rsid w:val="4D043BAD"/>
    <w:rsid w:val="4D060D08"/>
    <w:rsid w:val="4D0C915C"/>
    <w:rsid w:val="4D116E96"/>
    <w:rsid w:val="4D239D0B"/>
    <w:rsid w:val="4D244DF9"/>
    <w:rsid w:val="4D257E9F"/>
    <w:rsid w:val="4D2A2849"/>
    <w:rsid w:val="4D2BD44E"/>
    <w:rsid w:val="4D3250DE"/>
    <w:rsid w:val="4D396C09"/>
    <w:rsid w:val="4D3CED7A"/>
    <w:rsid w:val="4D405A4C"/>
    <w:rsid w:val="4D41FEA5"/>
    <w:rsid w:val="4D4544C5"/>
    <w:rsid w:val="4D4A5C8F"/>
    <w:rsid w:val="4D4C7922"/>
    <w:rsid w:val="4D4E4C4B"/>
    <w:rsid w:val="4D605A0F"/>
    <w:rsid w:val="4D691D8A"/>
    <w:rsid w:val="4D6A54FE"/>
    <w:rsid w:val="4D6BEB2C"/>
    <w:rsid w:val="4D865FD6"/>
    <w:rsid w:val="4D8D60DF"/>
    <w:rsid w:val="4D92D26C"/>
    <w:rsid w:val="4DA79EC3"/>
    <w:rsid w:val="4DA92D06"/>
    <w:rsid w:val="4DB6CAEF"/>
    <w:rsid w:val="4DBFEACF"/>
    <w:rsid w:val="4DC12F9E"/>
    <w:rsid w:val="4DC322E4"/>
    <w:rsid w:val="4DC7A704"/>
    <w:rsid w:val="4DC8BEDF"/>
    <w:rsid w:val="4DCC3213"/>
    <w:rsid w:val="4DDFCEFD"/>
    <w:rsid w:val="4DF3492C"/>
    <w:rsid w:val="4DFDF3DB"/>
    <w:rsid w:val="4E0A62AA"/>
    <w:rsid w:val="4E115459"/>
    <w:rsid w:val="4E2015D8"/>
    <w:rsid w:val="4E247E72"/>
    <w:rsid w:val="4E327B25"/>
    <w:rsid w:val="4E3A036D"/>
    <w:rsid w:val="4E48EAF0"/>
    <w:rsid w:val="4E50C859"/>
    <w:rsid w:val="4E58518B"/>
    <w:rsid w:val="4E5DE5C4"/>
    <w:rsid w:val="4E5FA0F9"/>
    <w:rsid w:val="4E6FB482"/>
    <w:rsid w:val="4E739E75"/>
    <w:rsid w:val="4E8E38B0"/>
    <w:rsid w:val="4E901161"/>
    <w:rsid w:val="4E9B2283"/>
    <w:rsid w:val="4E9D3A9D"/>
    <w:rsid w:val="4E9E8FFE"/>
    <w:rsid w:val="4E9EDCD2"/>
    <w:rsid w:val="4E9F4F7E"/>
    <w:rsid w:val="4EA36999"/>
    <w:rsid w:val="4EAA10C3"/>
    <w:rsid w:val="4EB6D862"/>
    <w:rsid w:val="4EB7C2C1"/>
    <w:rsid w:val="4EB8E772"/>
    <w:rsid w:val="4ECEC40A"/>
    <w:rsid w:val="4ED774DC"/>
    <w:rsid w:val="4EDDE0CD"/>
    <w:rsid w:val="4EE20518"/>
    <w:rsid w:val="4EEACDE8"/>
    <w:rsid w:val="4EEF1B1C"/>
    <w:rsid w:val="4EF07807"/>
    <w:rsid w:val="4F05D50C"/>
    <w:rsid w:val="4F09362E"/>
    <w:rsid w:val="4F180F02"/>
    <w:rsid w:val="4F1F91B5"/>
    <w:rsid w:val="4F41C1C0"/>
    <w:rsid w:val="4F4B9E37"/>
    <w:rsid w:val="4F4D9281"/>
    <w:rsid w:val="4F4DD5E2"/>
    <w:rsid w:val="4F4E5307"/>
    <w:rsid w:val="4F5E5503"/>
    <w:rsid w:val="4F669451"/>
    <w:rsid w:val="4F994BC6"/>
    <w:rsid w:val="4FA0A181"/>
    <w:rsid w:val="4FA1C3DB"/>
    <w:rsid w:val="4FA3CEE3"/>
    <w:rsid w:val="4FB086E0"/>
    <w:rsid w:val="4FBC30CD"/>
    <w:rsid w:val="4FBF7AD9"/>
    <w:rsid w:val="4FCA5D0E"/>
    <w:rsid w:val="4FD2B6F9"/>
    <w:rsid w:val="4FDAF44D"/>
    <w:rsid w:val="4FDDBFA7"/>
    <w:rsid w:val="4FEB16FE"/>
    <w:rsid w:val="4FEC67B4"/>
    <w:rsid w:val="4FEF1003"/>
    <w:rsid w:val="4FFBFF90"/>
    <w:rsid w:val="5001D815"/>
    <w:rsid w:val="5002772B"/>
    <w:rsid w:val="500FAF26"/>
    <w:rsid w:val="5013769B"/>
    <w:rsid w:val="50141028"/>
    <w:rsid w:val="5019A0C8"/>
    <w:rsid w:val="50209EC0"/>
    <w:rsid w:val="502D43E5"/>
    <w:rsid w:val="50353FA6"/>
    <w:rsid w:val="5035E8AC"/>
    <w:rsid w:val="5036676C"/>
    <w:rsid w:val="503C811C"/>
    <w:rsid w:val="503D1B70"/>
    <w:rsid w:val="504A9BBC"/>
    <w:rsid w:val="504B693F"/>
    <w:rsid w:val="504C774C"/>
    <w:rsid w:val="50710A28"/>
    <w:rsid w:val="50731705"/>
    <w:rsid w:val="50746383"/>
    <w:rsid w:val="5076CFDD"/>
    <w:rsid w:val="5083EE75"/>
    <w:rsid w:val="50875FF2"/>
    <w:rsid w:val="50898D7C"/>
    <w:rsid w:val="5095AFAA"/>
    <w:rsid w:val="509697EF"/>
    <w:rsid w:val="509FBA80"/>
    <w:rsid w:val="50A060F6"/>
    <w:rsid w:val="50AF7426"/>
    <w:rsid w:val="50B2B6C2"/>
    <w:rsid w:val="50B56B9A"/>
    <w:rsid w:val="50B8A648"/>
    <w:rsid w:val="50B96225"/>
    <w:rsid w:val="50BBA4FF"/>
    <w:rsid w:val="50C22890"/>
    <w:rsid w:val="50CF3E91"/>
    <w:rsid w:val="50EA6788"/>
    <w:rsid w:val="50F2317A"/>
    <w:rsid w:val="51050468"/>
    <w:rsid w:val="5114237B"/>
    <w:rsid w:val="5119B755"/>
    <w:rsid w:val="512238E9"/>
    <w:rsid w:val="51384145"/>
    <w:rsid w:val="5140EDEF"/>
    <w:rsid w:val="5150523E"/>
    <w:rsid w:val="5155F856"/>
    <w:rsid w:val="51560BF4"/>
    <w:rsid w:val="51573FB4"/>
    <w:rsid w:val="516D135D"/>
    <w:rsid w:val="517AACBC"/>
    <w:rsid w:val="517AC24C"/>
    <w:rsid w:val="5184376C"/>
    <w:rsid w:val="5191E14A"/>
    <w:rsid w:val="51957952"/>
    <w:rsid w:val="51A634C3"/>
    <w:rsid w:val="51B282CB"/>
    <w:rsid w:val="51B7BEDC"/>
    <w:rsid w:val="51BFBDAE"/>
    <w:rsid w:val="51C22CD7"/>
    <w:rsid w:val="51C74462"/>
    <w:rsid w:val="51CCE87E"/>
    <w:rsid w:val="51CF8839"/>
    <w:rsid w:val="51E84D68"/>
    <w:rsid w:val="51EB7807"/>
    <w:rsid w:val="51EE0BF4"/>
    <w:rsid w:val="51FA9E53"/>
    <w:rsid w:val="52035673"/>
    <w:rsid w:val="5207D690"/>
    <w:rsid w:val="52210AF8"/>
    <w:rsid w:val="522812EB"/>
    <w:rsid w:val="5246A576"/>
    <w:rsid w:val="5254A401"/>
    <w:rsid w:val="5256FDDD"/>
    <w:rsid w:val="5259AE20"/>
    <w:rsid w:val="5268D0E5"/>
    <w:rsid w:val="526A7C3B"/>
    <w:rsid w:val="52747E55"/>
    <w:rsid w:val="52789486"/>
    <w:rsid w:val="5290B835"/>
    <w:rsid w:val="5293F1A6"/>
    <w:rsid w:val="529517C5"/>
    <w:rsid w:val="52A808A3"/>
    <w:rsid w:val="52B32628"/>
    <w:rsid w:val="52BD45C9"/>
    <w:rsid w:val="52BE89C7"/>
    <w:rsid w:val="52BFB565"/>
    <w:rsid w:val="52CE812A"/>
    <w:rsid w:val="52D1BC17"/>
    <w:rsid w:val="52DCA020"/>
    <w:rsid w:val="52E0D729"/>
    <w:rsid w:val="52EED5EF"/>
    <w:rsid w:val="52F58E61"/>
    <w:rsid w:val="52F643E0"/>
    <w:rsid w:val="5309DCBB"/>
    <w:rsid w:val="530C3ED1"/>
    <w:rsid w:val="53186C1C"/>
    <w:rsid w:val="531C7B6A"/>
    <w:rsid w:val="532054F9"/>
    <w:rsid w:val="53316080"/>
    <w:rsid w:val="533CEFC8"/>
    <w:rsid w:val="534119F8"/>
    <w:rsid w:val="5342393F"/>
    <w:rsid w:val="53652D82"/>
    <w:rsid w:val="5371894D"/>
    <w:rsid w:val="53920CE7"/>
    <w:rsid w:val="5396C425"/>
    <w:rsid w:val="5397ECA6"/>
    <w:rsid w:val="53A21127"/>
    <w:rsid w:val="53AA98A1"/>
    <w:rsid w:val="53ACCC95"/>
    <w:rsid w:val="53B096E0"/>
    <w:rsid w:val="53BC4602"/>
    <w:rsid w:val="53C26483"/>
    <w:rsid w:val="53C30DA5"/>
    <w:rsid w:val="53D27124"/>
    <w:rsid w:val="53DA01BF"/>
    <w:rsid w:val="53E2DC86"/>
    <w:rsid w:val="54087362"/>
    <w:rsid w:val="540F10E5"/>
    <w:rsid w:val="54114D47"/>
    <w:rsid w:val="541208FA"/>
    <w:rsid w:val="541211A9"/>
    <w:rsid w:val="54135F74"/>
    <w:rsid w:val="541D0456"/>
    <w:rsid w:val="5420F1F8"/>
    <w:rsid w:val="5423C439"/>
    <w:rsid w:val="543415D6"/>
    <w:rsid w:val="545E5C1E"/>
    <w:rsid w:val="546092DA"/>
    <w:rsid w:val="547207BC"/>
    <w:rsid w:val="54786A63"/>
    <w:rsid w:val="547CFAAF"/>
    <w:rsid w:val="547E2E04"/>
    <w:rsid w:val="54842FF7"/>
    <w:rsid w:val="5498839A"/>
    <w:rsid w:val="54988F6B"/>
    <w:rsid w:val="54ABA259"/>
    <w:rsid w:val="54B206C1"/>
    <w:rsid w:val="54B7B94C"/>
    <w:rsid w:val="54C188CC"/>
    <w:rsid w:val="54D5A08A"/>
    <w:rsid w:val="54DDFD6F"/>
    <w:rsid w:val="54F2DB4C"/>
    <w:rsid w:val="54F7CC13"/>
    <w:rsid w:val="54FD8FB5"/>
    <w:rsid w:val="550A4D09"/>
    <w:rsid w:val="55176C32"/>
    <w:rsid w:val="551F0E7B"/>
    <w:rsid w:val="552073AA"/>
    <w:rsid w:val="552188D5"/>
    <w:rsid w:val="5522E946"/>
    <w:rsid w:val="5529A72C"/>
    <w:rsid w:val="552A884B"/>
    <w:rsid w:val="552E5C88"/>
    <w:rsid w:val="552F2411"/>
    <w:rsid w:val="553FDAFE"/>
    <w:rsid w:val="5545B441"/>
    <w:rsid w:val="555943B7"/>
    <w:rsid w:val="555E1331"/>
    <w:rsid w:val="556EF3F6"/>
    <w:rsid w:val="558F525F"/>
    <w:rsid w:val="55900794"/>
    <w:rsid w:val="55918678"/>
    <w:rsid w:val="559D26F4"/>
    <w:rsid w:val="559FA18A"/>
    <w:rsid w:val="55A88867"/>
    <w:rsid w:val="55AEC55B"/>
    <w:rsid w:val="55BC69A5"/>
    <w:rsid w:val="55C43D80"/>
    <w:rsid w:val="55D2AED6"/>
    <w:rsid w:val="55EA912D"/>
    <w:rsid w:val="55FE8BF9"/>
    <w:rsid w:val="56139D9D"/>
    <w:rsid w:val="56180557"/>
    <w:rsid w:val="561F2184"/>
    <w:rsid w:val="5620C6A1"/>
    <w:rsid w:val="5621E4D5"/>
    <w:rsid w:val="56255025"/>
    <w:rsid w:val="562853F1"/>
    <w:rsid w:val="5633DFA1"/>
    <w:rsid w:val="564620E6"/>
    <w:rsid w:val="565164C2"/>
    <w:rsid w:val="565459D6"/>
    <w:rsid w:val="56603979"/>
    <w:rsid w:val="5672745E"/>
    <w:rsid w:val="56867523"/>
    <w:rsid w:val="568A8E9D"/>
    <w:rsid w:val="56971516"/>
    <w:rsid w:val="569824FB"/>
    <w:rsid w:val="569A9E76"/>
    <w:rsid w:val="56A437CD"/>
    <w:rsid w:val="56AA4BBA"/>
    <w:rsid w:val="56BCD3D5"/>
    <w:rsid w:val="56CB6B10"/>
    <w:rsid w:val="5702478A"/>
    <w:rsid w:val="57070D40"/>
    <w:rsid w:val="570B86DC"/>
    <w:rsid w:val="57107F33"/>
    <w:rsid w:val="572B857B"/>
    <w:rsid w:val="572EAD6A"/>
    <w:rsid w:val="57309E85"/>
    <w:rsid w:val="5740249D"/>
    <w:rsid w:val="5744378B"/>
    <w:rsid w:val="574E99F5"/>
    <w:rsid w:val="5752F161"/>
    <w:rsid w:val="5752FA49"/>
    <w:rsid w:val="575BC3F9"/>
    <w:rsid w:val="5768DCA6"/>
    <w:rsid w:val="57AA4B30"/>
    <w:rsid w:val="57AF15B7"/>
    <w:rsid w:val="57B0236E"/>
    <w:rsid w:val="57B86808"/>
    <w:rsid w:val="57D6E572"/>
    <w:rsid w:val="57DA2A12"/>
    <w:rsid w:val="57E6E8F1"/>
    <w:rsid w:val="57EAEAB3"/>
    <w:rsid w:val="57F0DFB8"/>
    <w:rsid w:val="57F645F3"/>
    <w:rsid w:val="57FFE5F9"/>
    <w:rsid w:val="5801B804"/>
    <w:rsid w:val="58084B75"/>
    <w:rsid w:val="5809E79E"/>
    <w:rsid w:val="5810986F"/>
    <w:rsid w:val="584554E7"/>
    <w:rsid w:val="5855416C"/>
    <w:rsid w:val="5863C1C0"/>
    <w:rsid w:val="586E5C70"/>
    <w:rsid w:val="5887C5EC"/>
    <w:rsid w:val="58941103"/>
    <w:rsid w:val="58A58F74"/>
    <w:rsid w:val="58AD9B0A"/>
    <w:rsid w:val="58B96341"/>
    <w:rsid w:val="58C85055"/>
    <w:rsid w:val="58CB05B9"/>
    <w:rsid w:val="58D10792"/>
    <w:rsid w:val="58DB8999"/>
    <w:rsid w:val="58DD34C5"/>
    <w:rsid w:val="58E45B8F"/>
    <w:rsid w:val="58F0B422"/>
    <w:rsid w:val="59107C06"/>
    <w:rsid w:val="591D6B9D"/>
    <w:rsid w:val="591D6F59"/>
    <w:rsid w:val="591EBA39"/>
    <w:rsid w:val="592A7B56"/>
    <w:rsid w:val="593BB964"/>
    <w:rsid w:val="593D26A2"/>
    <w:rsid w:val="593DF3DB"/>
    <w:rsid w:val="596ED999"/>
    <w:rsid w:val="59784B88"/>
    <w:rsid w:val="5981489C"/>
    <w:rsid w:val="598765C3"/>
    <w:rsid w:val="598D582D"/>
    <w:rsid w:val="59A37C7D"/>
    <w:rsid w:val="59AD307D"/>
    <w:rsid w:val="59ADCDB6"/>
    <w:rsid w:val="59B009A3"/>
    <w:rsid w:val="59B218EC"/>
    <w:rsid w:val="59B2A40B"/>
    <w:rsid w:val="59D57F0B"/>
    <w:rsid w:val="59D607F0"/>
    <w:rsid w:val="59E08A9A"/>
    <w:rsid w:val="59EF338B"/>
    <w:rsid w:val="59F0910A"/>
    <w:rsid w:val="59F3B2C1"/>
    <w:rsid w:val="59F573C2"/>
    <w:rsid w:val="59F588E9"/>
    <w:rsid w:val="59F79D1B"/>
    <w:rsid w:val="59FF20E1"/>
    <w:rsid w:val="5A0597AB"/>
    <w:rsid w:val="5A065ADC"/>
    <w:rsid w:val="5A0FB0A1"/>
    <w:rsid w:val="5A10E316"/>
    <w:rsid w:val="5A25EE3D"/>
    <w:rsid w:val="5A27FC0C"/>
    <w:rsid w:val="5A2B016D"/>
    <w:rsid w:val="5A30BAA5"/>
    <w:rsid w:val="5A3833D3"/>
    <w:rsid w:val="5A38842C"/>
    <w:rsid w:val="5A3DFE0B"/>
    <w:rsid w:val="5A49DB95"/>
    <w:rsid w:val="5A4B52BA"/>
    <w:rsid w:val="5A4CEC66"/>
    <w:rsid w:val="5A706396"/>
    <w:rsid w:val="5A71F933"/>
    <w:rsid w:val="5A8DFBAF"/>
    <w:rsid w:val="5A8E10A9"/>
    <w:rsid w:val="5A99F48E"/>
    <w:rsid w:val="5AA3CC3C"/>
    <w:rsid w:val="5AA498CA"/>
    <w:rsid w:val="5AAD0A3B"/>
    <w:rsid w:val="5AC24AA6"/>
    <w:rsid w:val="5ACA15DB"/>
    <w:rsid w:val="5ACDDAD5"/>
    <w:rsid w:val="5AD11793"/>
    <w:rsid w:val="5AD1EF53"/>
    <w:rsid w:val="5ADD2B0E"/>
    <w:rsid w:val="5AE3A926"/>
    <w:rsid w:val="5AF11DBB"/>
    <w:rsid w:val="5B016F79"/>
    <w:rsid w:val="5B190CC4"/>
    <w:rsid w:val="5B2571D9"/>
    <w:rsid w:val="5B296E58"/>
    <w:rsid w:val="5B353219"/>
    <w:rsid w:val="5B41EA04"/>
    <w:rsid w:val="5B5518A6"/>
    <w:rsid w:val="5B5F296D"/>
    <w:rsid w:val="5B606743"/>
    <w:rsid w:val="5B6122E0"/>
    <w:rsid w:val="5B648A7B"/>
    <w:rsid w:val="5B68DD3D"/>
    <w:rsid w:val="5B86C0CA"/>
    <w:rsid w:val="5B8C3F42"/>
    <w:rsid w:val="5B996DA6"/>
    <w:rsid w:val="5B9F665D"/>
    <w:rsid w:val="5BAB558F"/>
    <w:rsid w:val="5BACA5A7"/>
    <w:rsid w:val="5BCE47AA"/>
    <w:rsid w:val="5BDD00DC"/>
    <w:rsid w:val="5BF4A057"/>
    <w:rsid w:val="5BF859C0"/>
    <w:rsid w:val="5C0AE259"/>
    <w:rsid w:val="5C0F73A0"/>
    <w:rsid w:val="5C16BAF5"/>
    <w:rsid w:val="5C1C840D"/>
    <w:rsid w:val="5C3243E1"/>
    <w:rsid w:val="5C4D46F6"/>
    <w:rsid w:val="5C574728"/>
    <w:rsid w:val="5C579AB6"/>
    <w:rsid w:val="5C58C895"/>
    <w:rsid w:val="5C59A815"/>
    <w:rsid w:val="5C6C8DC0"/>
    <w:rsid w:val="5C725518"/>
    <w:rsid w:val="5C76141F"/>
    <w:rsid w:val="5C84509E"/>
    <w:rsid w:val="5C8A1B6E"/>
    <w:rsid w:val="5C8AD732"/>
    <w:rsid w:val="5C965708"/>
    <w:rsid w:val="5C9A66B7"/>
    <w:rsid w:val="5CA20284"/>
    <w:rsid w:val="5CA76D21"/>
    <w:rsid w:val="5CA77ACB"/>
    <w:rsid w:val="5CA9482A"/>
    <w:rsid w:val="5CB5F8DD"/>
    <w:rsid w:val="5CC1FFA2"/>
    <w:rsid w:val="5CD5F077"/>
    <w:rsid w:val="5CDEED5B"/>
    <w:rsid w:val="5CE17F19"/>
    <w:rsid w:val="5CE4E5FD"/>
    <w:rsid w:val="5CE673F0"/>
    <w:rsid w:val="5CEE7876"/>
    <w:rsid w:val="5CF7E046"/>
    <w:rsid w:val="5CFFEF8F"/>
    <w:rsid w:val="5D006BA2"/>
    <w:rsid w:val="5D00A826"/>
    <w:rsid w:val="5D04EC8F"/>
    <w:rsid w:val="5D1778F6"/>
    <w:rsid w:val="5D17AD5C"/>
    <w:rsid w:val="5D1E283A"/>
    <w:rsid w:val="5D1F79B0"/>
    <w:rsid w:val="5D2C430A"/>
    <w:rsid w:val="5D40C400"/>
    <w:rsid w:val="5D415970"/>
    <w:rsid w:val="5D5538F4"/>
    <w:rsid w:val="5D55AB63"/>
    <w:rsid w:val="5D5C552B"/>
    <w:rsid w:val="5D6B9EE3"/>
    <w:rsid w:val="5D6FD2E7"/>
    <w:rsid w:val="5D791483"/>
    <w:rsid w:val="5D8C828A"/>
    <w:rsid w:val="5D96D72D"/>
    <w:rsid w:val="5D9AC080"/>
    <w:rsid w:val="5DA12932"/>
    <w:rsid w:val="5DAEC2C6"/>
    <w:rsid w:val="5DBACA2E"/>
    <w:rsid w:val="5DBEEEDC"/>
    <w:rsid w:val="5DC9F989"/>
    <w:rsid w:val="5DCAB852"/>
    <w:rsid w:val="5DD6D619"/>
    <w:rsid w:val="5DDF6998"/>
    <w:rsid w:val="5DE2D95E"/>
    <w:rsid w:val="5DE61605"/>
    <w:rsid w:val="5DEDDD49"/>
    <w:rsid w:val="5DFB685C"/>
    <w:rsid w:val="5E02944A"/>
    <w:rsid w:val="5E0692D5"/>
    <w:rsid w:val="5E0E2D0D"/>
    <w:rsid w:val="5E0EB711"/>
    <w:rsid w:val="5E13C383"/>
    <w:rsid w:val="5E156483"/>
    <w:rsid w:val="5E161351"/>
    <w:rsid w:val="5E239BF0"/>
    <w:rsid w:val="5E248C08"/>
    <w:rsid w:val="5E2E581C"/>
    <w:rsid w:val="5E35636C"/>
    <w:rsid w:val="5E3C14E9"/>
    <w:rsid w:val="5E3D14C6"/>
    <w:rsid w:val="5E3FD0DA"/>
    <w:rsid w:val="5E4B306C"/>
    <w:rsid w:val="5E5264C0"/>
    <w:rsid w:val="5E5E5343"/>
    <w:rsid w:val="5E6063D6"/>
    <w:rsid w:val="5E614E56"/>
    <w:rsid w:val="5E674DD7"/>
    <w:rsid w:val="5E6AE9BE"/>
    <w:rsid w:val="5E6E7D96"/>
    <w:rsid w:val="5E70C011"/>
    <w:rsid w:val="5E7EF6C0"/>
    <w:rsid w:val="5E8F077B"/>
    <w:rsid w:val="5EA6E23C"/>
    <w:rsid w:val="5EB3AE26"/>
    <w:rsid w:val="5EB577DC"/>
    <w:rsid w:val="5EC191BB"/>
    <w:rsid w:val="5EC53F16"/>
    <w:rsid w:val="5EC97F13"/>
    <w:rsid w:val="5ED2E1E8"/>
    <w:rsid w:val="5EDC756C"/>
    <w:rsid w:val="5EFD4296"/>
    <w:rsid w:val="5EFF750B"/>
    <w:rsid w:val="5F0F406B"/>
    <w:rsid w:val="5F21810D"/>
    <w:rsid w:val="5F2250AC"/>
    <w:rsid w:val="5F29F194"/>
    <w:rsid w:val="5F30BF9A"/>
    <w:rsid w:val="5F3543D4"/>
    <w:rsid w:val="5F37EDD4"/>
    <w:rsid w:val="5F44C022"/>
    <w:rsid w:val="5F468791"/>
    <w:rsid w:val="5F4FF306"/>
    <w:rsid w:val="5F5260D1"/>
    <w:rsid w:val="5F639091"/>
    <w:rsid w:val="5F739563"/>
    <w:rsid w:val="5F781FE7"/>
    <w:rsid w:val="5F7CD387"/>
    <w:rsid w:val="5F7F4B35"/>
    <w:rsid w:val="5F8099C3"/>
    <w:rsid w:val="5F891849"/>
    <w:rsid w:val="5F9A2FCB"/>
    <w:rsid w:val="5FA5BA55"/>
    <w:rsid w:val="5FA77360"/>
    <w:rsid w:val="5FB1A69A"/>
    <w:rsid w:val="5FB8D1EC"/>
    <w:rsid w:val="5FBD7D87"/>
    <w:rsid w:val="5FC8DD2F"/>
    <w:rsid w:val="5FD525D5"/>
    <w:rsid w:val="5FDD623E"/>
    <w:rsid w:val="5FE372E7"/>
    <w:rsid w:val="5FE40445"/>
    <w:rsid w:val="5FEAF0D2"/>
    <w:rsid w:val="5FF52F21"/>
    <w:rsid w:val="5FF68CBE"/>
    <w:rsid w:val="600C2812"/>
    <w:rsid w:val="60116FC6"/>
    <w:rsid w:val="601431E0"/>
    <w:rsid w:val="60183602"/>
    <w:rsid w:val="6019F245"/>
    <w:rsid w:val="6023E060"/>
    <w:rsid w:val="6027AC27"/>
    <w:rsid w:val="602CF20E"/>
    <w:rsid w:val="60346E76"/>
    <w:rsid w:val="603581A8"/>
    <w:rsid w:val="603D53C2"/>
    <w:rsid w:val="603EBB0F"/>
    <w:rsid w:val="605838E1"/>
    <w:rsid w:val="606AAAD0"/>
    <w:rsid w:val="606C7B11"/>
    <w:rsid w:val="6071395D"/>
    <w:rsid w:val="6072861E"/>
    <w:rsid w:val="60771AAC"/>
    <w:rsid w:val="607B0B91"/>
    <w:rsid w:val="607ECC55"/>
    <w:rsid w:val="6088BDB8"/>
    <w:rsid w:val="608C6117"/>
    <w:rsid w:val="60952C5A"/>
    <w:rsid w:val="60975B4A"/>
    <w:rsid w:val="609CA500"/>
    <w:rsid w:val="609DA117"/>
    <w:rsid w:val="609F20B2"/>
    <w:rsid w:val="60A37175"/>
    <w:rsid w:val="60AF09BD"/>
    <w:rsid w:val="60CFE371"/>
    <w:rsid w:val="60D54416"/>
    <w:rsid w:val="60E29866"/>
    <w:rsid w:val="60FB19F5"/>
    <w:rsid w:val="60FC661D"/>
    <w:rsid w:val="6129718F"/>
    <w:rsid w:val="61302869"/>
    <w:rsid w:val="6133EA63"/>
    <w:rsid w:val="613A7F69"/>
    <w:rsid w:val="6155C47C"/>
    <w:rsid w:val="6156D17A"/>
    <w:rsid w:val="616A974B"/>
    <w:rsid w:val="617654F4"/>
    <w:rsid w:val="617664F3"/>
    <w:rsid w:val="6178EDAA"/>
    <w:rsid w:val="617AD751"/>
    <w:rsid w:val="61836812"/>
    <w:rsid w:val="618BBD63"/>
    <w:rsid w:val="618DC5CC"/>
    <w:rsid w:val="619F8F1D"/>
    <w:rsid w:val="61A38CBD"/>
    <w:rsid w:val="61AFCD89"/>
    <w:rsid w:val="61B49B67"/>
    <w:rsid w:val="61C3D0D9"/>
    <w:rsid w:val="61CE7612"/>
    <w:rsid w:val="61E46687"/>
    <w:rsid w:val="61E8FF87"/>
    <w:rsid w:val="62085923"/>
    <w:rsid w:val="620A354D"/>
    <w:rsid w:val="62128587"/>
    <w:rsid w:val="62182FBF"/>
    <w:rsid w:val="622B1502"/>
    <w:rsid w:val="622DD61C"/>
    <w:rsid w:val="6233ADF6"/>
    <w:rsid w:val="62341251"/>
    <w:rsid w:val="623A1298"/>
    <w:rsid w:val="624F3A9F"/>
    <w:rsid w:val="625AFD48"/>
    <w:rsid w:val="625FEDD6"/>
    <w:rsid w:val="626020A9"/>
    <w:rsid w:val="626531A0"/>
    <w:rsid w:val="628B4EDA"/>
    <w:rsid w:val="62AA61D5"/>
    <w:rsid w:val="62B3F565"/>
    <w:rsid w:val="62BBCD23"/>
    <w:rsid w:val="62BC6E7C"/>
    <w:rsid w:val="62C1BE68"/>
    <w:rsid w:val="62C56906"/>
    <w:rsid w:val="62CFDED6"/>
    <w:rsid w:val="62D4470F"/>
    <w:rsid w:val="62D63445"/>
    <w:rsid w:val="62D64316"/>
    <w:rsid w:val="62E0A953"/>
    <w:rsid w:val="62E155A5"/>
    <w:rsid w:val="62F284F4"/>
    <w:rsid w:val="62FDD839"/>
    <w:rsid w:val="6307D25B"/>
    <w:rsid w:val="630C4BA2"/>
    <w:rsid w:val="630E0146"/>
    <w:rsid w:val="63131327"/>
    <w:rsid w:val="631617B1"/>
    <w:rsid w:val="6316D8EC"/>
    <w:rsid w:val="631757CD"/>
    <w:rsid w:val="6317C14B"/>
    <w:rsid w:val="631AB2A4"/>
    <w:rsid w:val="631C15A6"/>
    <w:rsid w:val="632A416B"/>
    <w:rsid w:val="632C6FF0"/>
    <w:rsid w:val="632C8B8D"/>
    <w:rsid w:val="633259D3"/>
    <w:rsid w:val="6348CA13"/>
    <w:rsid w:val="6364DCDD"/>
    <w:rsid w:val="63674D53"/>
    <w:rsid w:val="63753ECE"/>
    <w:rsid w:val="6379A4EB"/>
    <w:rsid w:val="637E07EB"/>
    <w:rsid w:val="638075B5"/>
    <w:rsid w:val="6382F0FA"/>
    <w:rsid w:val="6393CEE5"/>
    <w:rsid w:val="6398AE6B"/>
    <w:rsid w:val="63AD4435"/>
    <w:rsid w:val="63B6C709"/>
    <w:rsid w:val="63B9E7D2"/>
    <w:rsid w:val="63C44C99"/>
    <w:rsid w:val="63CA1A0F"/>
    <w:rsid w:val="63CF1318"/>
    <w:rsid w:val="63D0BF9D"/>
    <w:rsid w:val="63D5CF08"/>
    <w:rsid w:val="63D6AC19"/>
    <w:rsid w:val="63DBBAEB"/>
    <w:rsid w:val="63DDC5D4"/>
    <w:rsid w:val="63F6FA34"/>
    <w:rsid w:val="640561A9"/>
    <w:rsid w:val="641033CE"/>
    <w:rsid w:val="64133448"/>
    <w:rsid w:val="64182523"/>
    <w:rsid w:val="641F2B4B"/>
    <w:rsid w:val="642B2C54"/>
    <w:rsid w:val="6435B2C8"/>
    <w:rsid w:val="644AC7E7"/>
    <w:rsid w:val="644D657D"/>
    <w:rsid w:val="644E129C"/>
    <w:rsid w:val="6461A22E"/>
    <w:rsid w:val="6468BBBE"/>
    <w:rsid w:val="646CB196"/>
    <w:rsid w:val="646D57E1"/>
    <w:rsid w:val="647BFEBA"/>
    <w:rsid w:val="648458D7"/>
    <w:rsid w:val="6487526A"/>
    <w:rsid w:val="648B6945"/>
    <w:rsid w:val="648D45B4"/>
    <w:rsid w:val="649118BD"/>
    <w:rsid w:val="649CC66C"/>
    <w:rsid w:val="64A28BB4"/>
    <w:rsid w:val="64A93238"/>
    <w:rsid w:val="64AA3886"/>
    <w:rsid w:val="64B5FEDD"/>
    <w:rsid w:val="64BFC3E7"/>
    <w:rsid w:val="64C079DA"/>
    <w:rsid w:val="64CEC2C3"/>
    <w:rsid w:val="64D17926"/>
    <w:rsid w:val="64D69BD3"/>
    <w:rsid w:val="64D7D540"/>
    <w:rsid w:val="64DEB84D"/>
    <w:rsid w:val="64EE508F"/>
    <w:rsid w:val="64F866E2"/>
    <w:rsid w:val="650997E9"/>
    <w:rsid w:val="650C7543"/>
    <w:rsid w:val="651588AE"/>
    <w:rsid w:val="65170BCD"/>
    <w:rsid w:val="65233251"/>
    <w:rsid w:val="652A7174"/>
    <w:rsid w:val="65347FF7"/>
    <w:rsid w:val="65393439"/>
    <w:rsid w:val="653FD918"/>
    <w:rsid w:val="6540C108"/>
    <w:rsid w:val="65412062"/>
    <w:rsid w:val="654B83D4"/>
    <w:rsid w:val="65500BAA"/>
    <w:rsid w:val="655AB1D8"/>
    <w:rsid w:val="655D8998"/>
    <w:rsid w:val="655F4CC6"/>
    <w:rsid w:val="65641A53"/>
    <w:rsid w:val="6564C127"/>
    <w:rsid w:val="6566F7DE"/>
    <w:rsid w:val="6569B128"/>
    <w:rsid w:val="65717ECC"/>
    <w:rsid w:val="6574AB1A"/>
    <w:rsid w:val="65858884"/>
    <w:rsid w:val="6591E56B"/>
    <w:rsid w:val="65A0D5AC"/>
    <w:rsid w:val="65A1CE49"/>
    <w:rsid w:val="65A978AC"/>
    <w:rsid w:val="65AA5E38"/>
    <w:rsid w:val="65C06459"/>
    <w:rsid w:val="65C316F8"/>
    <w:rsid w:val="65C85EE7"/>
    <w:rsid w:val="65CF2C98"/>
    <w:rsid w:val="65D23593"/>
    <w:rsid w:val="65D3A73D"/>
    <w:rsid w:val="65DA70F4"/>
    <w:rsid w:val="65DA8F2B"/>
    <w:rsid w:val="65E7061F"/>
    <w:rsid w:val="661122F6"/>
    <w:rsid w:val="6617742D"/>
    <w:rsid w:val="6618C7C5"/>
    <w:rsid w:val="661B3407"/>
    <w:rsid w:val="661E513D"/>
    <w:rsid w:val="663E970E"/>
    <w:rsid w:val="6651D280"/>
    <w:rsid w:val="66569B96"/>
    <w:rsid w:val="66604282"/>
    <w:rsid w:val="6660D424"/>
    <w:rsid w:val="666B9342"/>
    <w:rsid w:val="666C6194"/>
    <w:rsid w:val="666F8752"/>
    <w:rsid w:val="6671999A"/>
    <w:rsid w:val="667D8DF7"/>
    <w:rsid w:val="668A16CE"/>
    <w:rsid w:val="668EC56A"/>
    <w:rsid w:val="66904DD6"/>
    <w:rsid w:val="66A3A97F"/>
    <w:rsid w:val="66B1E33D"/>
    <w:rsid w:val="66CD32B1"/>
    <w:rsid w:val="66D5EBD7"/>
    <w:rsid w:val="66D667F9"/>
    <w:rsid w:val="66F14ADC"/>
    <w:rsid w:val="66F2849D"/>
    <w:rsid w:val="66FAD132"/>
    <w:rsid w:val="6701014F"/>
    <w:rsid w:val="670379B4"/>
    <w:rsid w:val="670CD2CE"/>
    <w:rsid w:val="670D2C1C"/>
    <w:rsid w:val="67103ACB"/>
    <w:rsid w:val="67138F49"/>
    <w:rsid w:val="6717BFF2"/>
    <w:rsid w:val="671EE71B"/>
    <w:rsid w:val="6720EB75"/>
    <w:rsid w:val="67293E65"/>
    <w:rsid w:val="672987A5"/>
    <w:rsid w:val="672B4E41"/>
    <w:rsid w:val="6734C11A"/>
    <w:rsid w:val="673FAF3B"/>
    <w:rsid w:val="6741FAC4"/>
    <w:rsid w:val="675139E4"/>
    <w:rsid w:val="675FB222"/>
    <w:rsid w:val="676426A3"/>
    <w:rsid w:val="67729E25"/>
    <w:rsid w:val="6772EB9F"/>
    <w:rsid w:val="6791B5C1"/>
    <w:rsid w:val="679ADDF9"/>
    <w:rsid w:val="679C3132"/>
    <w:rsid w:val="67A921D0"/>
    <w:rsid w:val="67A9AB94"/>
    <w:rsid w:val="67AC2E9C"/>
    <w:rsid w:val="67B1E1EA"/>
    <w:rsid w:val="67B55C0A"/>
    <w:rsid w:val="67D0619B"/>
    <w:rsid w:val="67DC10EC"/>
    <w:rsid w:val="67EB7EC4"/>
    <w:rsid w:val="68012189"/>
    <w:rsid w:val="6804A01A"/>
    <w:rsid w:val="680735B3"/>
    <w:rsid w:val="6809D40D"/>
    <w:rsid w:val="680AB266"/>
    <w:rsid w:val="680CB24A"/>
    <w:rsid w:val="681E39A9"/>
    <w:rsid w:val="682C7676"/>
    <w:rsid w:val="68313F7A"/>
    <w:rsid w:val="6841E216"/>
    <w:rsid w:val="68491C0D"/>
    <w:rsid w:val="684CA683"/>
    <w:rsid w:val="684E8E41"/>
    <w:rsid w:val="684EA647"/>
    <w:rsid w:val="685268BA"/>
    <w:rsid w:val="6856506D"/>
    <w:rsid w:val="685EDEDA"/>
    <w:rsid w:val="686E4234"/>
    <w:rsid w:val="68703659"/>
    <w:rsid w:val="687219B7"/>
    <w:rsid w:val="6874EABF"/>
    <w:rsid w:val="687624A3"/>
    <w:rsid w:val="687A2B49"/>
    <w:rsid w:val="687D60AD"/>
    <w:rsid w:val="68841172"/>
    <w:rsid w:val="68989D5F"/>
    <w:rsid w:val="689A4A80"/>
    <w:rsid w:val="68A23236"/>
    <w:rsid w:val="68A6236F"/>
    <w:rsid w:val="68AC5A7E"/>
    <w:rsid w:val="68AF5D15"/>
    <w:rsid w:val="68C136A2"/>
    <w:rsid w:val="68D5A59F"/>
    <w:rsid w:val="68E24477"/>
    <w:rsid w:val="68E255A1"/>
    <w:rsid w:val="68E34DFD"/>
    <w:rsid w:val="68E3CCC6"/>
    <w:rsid w:val="68ED5172"/>
    <w:rsid w:val="68EF7AFA"/>
    <w:rsid w:val="68F94B37"/>
    <w:rsid w:val="69059849"/>
    <w:rsid w:val="690700F3"/>
    <w:rsid w:val="6908EB7B"/>
    <w:rsid w:val="690ED4A5"/>
    <w:rsid w:val="691060AB"/>
    <w:rsid w:val="6917D94B"/>
    <w:rsid w:val="691BD7F9"/>
    <w:rsid w:val="69324AC7"/>
    <w:rsid w:val="69433565"/>
    <w:rsid w:val="69483709"/>
    <w:rsid w:val="6976B94E"/>
    <w:rsid w:val="69825F47"/>
    <w:rsid w:val="69859E3D"/>
    <w:rsid w:val="69875BC9"/>
    <w:rsid w:val="69B145F5"/>
    <w:rsid w:val="69BBFA07"/>
    <w:rsid w:val="69C5CDD0"/>
    <w:rsid w:val="69CC609C"/>
    <w:rsid w:val="69DDB108"/>
    <w:rsid w:val="69DED851"/>
    <w:rsid w:val="69E20DDC"/>
    <w:rsid w:val="69F8AA06"/>
    <w:rsid w:val="69FCD1B4"/>
    <w:rsid w:val="69FE3BA9"/>
    <w:rsid w:val="6A03A6AD"/>
    <w:rsid w:val="6A0D3CC9"/>
    <w:rsid w:val="6A1348EB"/>
    <w:rsid w:val="6A1961B1"/>
    <w:rsid w:val="6A337852"/>
    <w:rsid w:val="6A39FC46"/>
    <w:rsid w:val="6A3E903C"/>
    <w:rsid w:val="6A3F8AE4"/>
    <w:rsid w:val="6A45BB0B"/>
    <w:rsid w:val="6A549F93"/>
    <w:rsid w:val="6A63BD5E"/>
    <w:rsid w:val="6A6BB98C"/>
    <w:rsid w:val="6A706FF2"/>
    <w:rsid w:val="6A91839F"/>
    <w:rsid w:val="6A95409C"/>
    <w:rsid w:val="6A97F7FF"/>
    <w:rsid w:val="6A998A05"/>
    <w:rsid w:val="6A99DA91"/>
    <w:rsid w:val="6AA06406"/>
    <w:rsid w:val="6AA073F1"/>
    <w:rsid w:val="6AA8B43D"/>
    <w:rsid w:val="6AABDC0C"/>
    <w:rsid w:val="6ABCE045"/>
    <w:rsid w:val="6AC1E0D9"/>
    <w:rsid w:val="6AC30CDD"/>
    <w:rsid w:val="6ACFDD3C"/>
    <w:rsid w:val="6AD06BCB"/>
    <w:rsid w:val="6ADA773C"/>
    <w:rsid w:val="6ADF74F0"/>
    <w:rsid w:val="6AE88690"/>
    <w:rsid w:val="6AE8E914"/>
    <w:rsid w:val="6AECA512"/>
    <w:rsid w:val="6AEDCCB7"/>
    <w:rsid w:val="6AF1CC4D"/>
    <w:rsid w:val="6AF926DE"/>
    <w:rsid w:val="6AFAB8EF"/>
    <w:rsid w:val="6AFFE5DE"/>
    <w:rsid w:val="6B038366"/>
    <w:rsid w:val="6B11593F"/>
    <w:rsid w:val="6B1781DE"/>
    <w:rsid w:val="6B199C00"/>
    <w:rsid w:val="6B1E9AEB"/>
    <w:rsid w:val="6B237F47"/>
    <w:rsid w:val="6B24DC48"/>
    <w:rsid w:val="6B37D345"/>
    <w:rsid w:val="6B3C0BCB"/>
    <w:rsid w:val="6B3C9D10"/>
    <w:rsid w:val="6B3EDBE1"/>
    <w:rsid w:val="6B44CA49"/>
    <w:rsid w:val="6B469E0B"/>
    <w:rsid w:val="6B630D78"/>
    <w:rsid w:val="6B654428"/>
    <w:rsid w:val="6B6A393D"/>
    <w:rsid w:val="6B6A7FED"/>
    <w:rsid w:val="6B70FB85"/>
    <w:rsid w:val="6B797F09"/>
    <w:rsid w:val="6B79F504"/>
    <w:rsid w:val="6B7C54F0"/>
    <w:rsid w:val="6B7C8970"/>
    <w:rsid w:val="6BA050F6"/>
    <w:rsid w:val="6BA61158"/>
    <w:rsid w:val="6BAA3E23"/>
    <w:rsid w:val="6BAFA4DE"/>
    <w:rsid w:val="6BAFF6CC"/>
    <w:rsid w:val="6BB0D30B"/>
    <w:rsid w:val="6BB8F5D4"/>
    <w:rsid w:val="6BBEC13B"/>
    <w:rsid w:val="6BD0494D"/>
    <w:rsid w:val="6BD05654"/>
    <w:rsid w:val="6BDF73D4"/>
    <w:rsid w:val="6BE2412A"/>
    <w:rsid w:val="6BF37868"/>
    <w:rsid w:val="6BF90659"/>
    <w:rsid w:val="6C03E9C6"/>
    <w:rsid w:val="6C05B275"/>
    <w:rsid w:val="6C0CE0D8"/>
    <w:rsid w:val="6C0EAC4F"/>
    <w:rsid w:val="6C18DFBB"/>
    <w:rsid w:val="6C2F3B5B"/>
    <w:rsid w:val="6C683910"/>
    <w:rsid w:val="6C6DAF5F"/>
    <w:rsid w:val="6C745353"/>
    <w:rsid w:val="6C7BD4B7"/>
    <w:rsid w:val="6C9EAD67"/>
    <w:rsid w:val="6CA8E328"/>
    <w:rsid w:val="6CAA6C4A"/>
    <w:rsid w:val="6CAAEE66"/>
    <w:rsid w:val="6CB9E287"/>
    <w:rsid w:val="6CBF79D4"/>
    <w:rsid w:val="6CD2456E"/>
    <w:rsid w:val="6CD4EBA6"/>
    <w:rsid w:val="6CF7375A"/>
    <w:rsid w:val="6CFF36B5"/>
    <w:rsid w:val="6D0E9820"/>
    <w:rsid w:val="6D10B73C"/>
    <w:rsid w:val="6D144760"/>
    <w:rsid w:val="6D14CA01"/>
    <w:rsid w:val="6D166D79"/>
    <w:rsid w:val="6D1EFE0B"/>
    <w:rsid w:val="6D1F96A3"/>
    <w:rsid w:val="6D23ADF4"/>
    <w:rsid w:val="6D2573AA"/>
    <w:rsid w:val="6D29C541"/>
    <w:rsid w:val="6D2D0CA8"/>
    <w:rsid w:val="6D3A710D"/>
    <w:rsid w:val="6D45E1AF"/>
    <w:rsid w:val="6D53F94A"/>
    <w:rsid w:val="6D552323"/>
    <w:rsid w:val="6D5D672A"/>
    <w:rsid w:val="6D5F1B4A"/>
    <w:rsid w:val="6D652A2A"/>
    <w:rsid w:val="6D6A7B4F"/>
    <w:rsid w:val="6D86A8BE"/>
    <w:rsid w:val="6D9559C1"/>
    <w:rsid w:val="6D986CAA"/>
    <w:rsid w:val="6DAC2E29"/>
    <w:rsid w:val="6DAC71BF"/>
    <w:rsid w:val="6DCE4E2F"/>
    <w:rsid w:val="6DE8CA81"/>
    <w:rsid w:val="6DEC44E6"/>
    <w:rsid w:val="6DFBD09F"/>
    <w:rsid w:val="6E0B95D0"/>
    <w:rsid w:val="6E1397BA"/>
    <w:rsid w:val="6E1A61A8"/>
    <w:rsid w:val="6E22E1FC"/>
    <w:rsid w:val="6E3687ED"/>
    <w:rsid w:val="6E3D4F2B"/>
    <w:rsid w:val="6E4EC439"/>
    <w:rsid w:val="6E57B875"/>
    <w:rsid w:val="6E58B645"/>
    <w:rsid w:val="6E58F640"/>
    <w:rsid w:val="6E624635"/>
    <w:rsid w:val="6E665F0A"/>
    <w:rsid w:val="6E6842A1"/>
    <w:rsid w:val="6E6BEB5F"/>
    <w:rsid w:val="6E6C2117"/>
    <w:rsid w:val="6E73EB83"/>
    <w:rsid w:val="6E802746"/>
    <w:rsid w:val="6E88CA60"/>
    <w:rsid w:val="6E8D789C"/>
    <w:rsid w:val="6E955417"/>
    <w:rsid w:val="6E9CB7F4"/>
    <w:rsid w:val="6EA33898"/>
    <w:rsid w:val="6EAF04EF"/>
    <w:rsid w:val="6EAF2610"/>
    <w:rsid w:val="6EB92FCD"/>
    <w:rsid w:val="6EB9519A"/>
    <w:rsid w:val="6EC5FF20"/>
    <w:rsid w:val="6EC7BAA7"/>
    <w:rsid w:val="6ECAD57B"/>
    <w:rsid w:val="6ECD2C8A"/>
    <w:rsid w:val="6EDD95B8"/>
    <w:rsid w:val="6EDFD691"/>
    <w:rsid w:val="6EE61A00"/>
    <w:rsid w:val="6EE71F9C"/>
    <w:rsid w:val="6EF58C92"/>
    <w:rsid w:val="6F231AD2"/>
    <w:rsid w:val="6F286495"/>
    <w:rsid w:val="6F326485"/>
    <w:rsid w:val="6F3272A3"/>
    <w:rsid w:val="6F3353BB"/>
    <w:rsid w:val="6F4231CF"/>
    <w:rsid w:val="6F4D978B"/>
    <w:rsid w:val="6F4E774E"/>
    <w:rsid w:val="6F5273C2"/>
    <w:rsid w:val="6F64B683"/>
    <w:rsid w:val="6F68391E"/>
    <w:rsid w:val="6F6AD263"/>
    <w:rsid w:val="6F7D6F3A"/>
    <w:rsid w:val="6F813B9A"/>
    <w:rsid w:val="6F850158"/>
    <w:rsid w:val="6F897AE9"/>
    <w:rsid w:val="6F8C0C30"/>
    <w:rsid w:val="6F97FB39"/>
    <w:rsid w:val="6F97FD46"/>
    <w:rsid w:val="6F9B9336"/>
    <w:rsid w:val="6FA7EFA0"/>
    <w:rsid w:val="6FB6AF10"/>
    <w:rsid w:val="6FC25378"/>
    <w:rsid w:val="6FDBF615"/>
    <w:rsid w:val="6FE0A1FF"/>
    <w:rsid w:val="6FE9EB5B"/>
    <w:rsid w:val="6FEAA96E"/>
    <w:rsid w:val="70011E97"/>
    <w:rsid w:val="700277DF"/>
    <w:rsid w:val="700D2589"/>
    <w:rsid w:val="7016E98F"/>
    <w:rsid w:val="7023B277"/>
    <w:rsid w:val="702678DA"/>
    <w:rsid w:val="702A9CB6"/>
    <w:rsid w:val="703432BC"/>
    <w:rsid w:val="703A6EEC"/>
    <w:rsid w:val="70444E01"/>
    <w:rsid w:val="7045D7D7"/>
    <w:rsid w:val="704849F0"/>
    <w:rsid w:val="704FF49E"/>
    <w:rsid w:val="705DD0A6"/>
    <w:rsid w:val="7060F1EF"/>
    <w:rsid w:val="70621441"/>
    <w:rsid w:val="706454B2"/>
    <w:rsid w:val="70774D01"/>
    <w:rsid w:val="70785597"/>
    <w:rsid w:val="708FF7AE"/>
    <w:rsid w:val="7098F87B"/>
    <w:rsid w:val="709C6621"/>
    <w:rsid w:val="70B55EDA"/>
    <w:rsid w:val="70C6D9FD"/>
    <w:rsid w:val="70DB8FDF"/>
    <w:rsid w:val="70DF3EDD"/>
    <w:rsid w:val="70EB6E10"/>
    <w:rsid w:val="70F55FED"/>
    <w:rsid w:val="710249A6"/>
    <w:rsid w:val="71063A87"/>
    <w:rsid w:val="71103486"/>
    <w:rsid w:val="71249529"/>
    <w:rsid w:val="712E58DE"/>
    <w:rsid w:val="714AEDD4"/>
    <w:rsid w:val="714BA3CD"/>
    <w:rsid w:val="714CD389"/>
    <w:rsid w:val="714F3338"/>
    <w:rsid w:val="7155C8D2"/>
    <w:rsid w:val="715CC836"/>
    <w:rsid w:val="7165ECD2"/>
    <w:rsid w:val="7169E29D"/>
    <w:rsid w:val="716CD9A5"/>
    <w:rsid w:val="7178737C"/>
    <w:rsid w:val="717BA533"/>
    <w:rsid w:val="718DB803"/>
    <w:rsid w:val="71989D69"/>
    <w:rsid w:val="719960EE"/>
    <w:rsid w:val="719D31D9"/>
    <w:rsid w:val="71BC5279"/>
    <w:rsid w:val="71BCABC1"/>
    <w:rsid w:val="71D0FC12"/>
    <w:rsid w:val="71D6DD5A"/>
    <w:rsid w:val="71EC9770"/>
    <w:rsid w:val="71ECFAD4"/>
    <w:rsid w:val="71F98245"/>
    <w:rsid w:val="7205E6BE"/>
    <w:rsid w:val="720A7B82"/>
    <w:rsid w:val="7213778E"/>
    <w:rsid w:val="7223106C"/>
    <w:rsid w:val="7225074C"/>
    <w:rsid w:val="723C9400"/>
    <w:rsid w:val="72480D49"/>
    <w:rsid w:val="72495A2B"/>
    <w:rsid w:val="724D71CF"/>
    <w:rsid w:val="725A9964"/>
    <w:rsid w:val="725F3091"/>
    <w:rsid w:val="72660CFA"/>
    <w:rsid w:val="726E6433"/>
    <w:rsid w:val="7273277E"/>
    <w:rsid w:val="72732791"/>
    <w:rsid w:val="728018D0"/>
    <w:rsid w:val="72843AD4"/>
    <w:rsid w:val="72ACC226"/>
    <w:rsid w:val="72AE924B"/>
    <w:rsid w:val="72B13130"/>
    <w:rsid w:val="72B206BE"/>
    <w:rsid w:val="72C0789C"/>
    <w:rsid w:val="72C4FE69"/>
    <w:rsid w:val="72C71401"/>
    <w:rsid w:val="72D89086"/>
    <w:rsid w:val="72E0507A"/>
    <w:rsid w:val="72E30D05"/>
    <w:rsid w:val="72E554F2"/>
    <w:rsid w:val="72F7A6C2"/>
    <w:rsid w:val="72FC4E36"/>
    <w:rsid w:val="72FF24F9"/>
    <w:rsid w:val="731330E5"/>
    <w:rsid w:val="7315C213"/>
    <w:rsid w:val="7320FD59"/>
    <w:rsid w:val="73298A73"/>
    <w:rsid w:val="7339C568"/>
    <w:rsid w:val="733A6C51"/>
    <w:rsid w:val="7342753E"/>
    <w:rsid w:val="73427AED"/>
    <w:rsid w:val="734EFD6D"/>
    <w:rsid w:val="7350D53D"/>
    <w:rsid w:val="7355092F"/>
    <w:rsid w:val="7357DEE8"/>
    <w:rsid w:val="735DBF0B"/>
    <w:rsid w:val="736395A4"/>
    <w:rsid w:val="7371CC5F"/>
    <w:rsid w:val="737DC7E8"/>
    <w:rsid w:val="737F81A2"/>
    <w:rsid w:val="738CC74C"/>
    <w:rsid w:val="739237AC"/>
    <w:rsid w:val="7397AFA5"/>
    <w:rsid w:val="73A87E07"/>
    <w:rsid w:val="73A9922B"/>
    <w:rsid w:val="73C2BE98"/>
    <w:rsid w:val="73C3C4FB"/>
    <w:rsid w:val="73C688C1"/>
    <w:rsid w:val="73CE214D"/>
    <w:rsid w:val="73CE3AE7"/>
    <w:rsid w:val="73DEC67D"/>
    <w:rsid w:val="73F3A9CF"/>
    <w:rsid w:val="73F813AF"/>
    <w:rsid w:val="73FA1C35"/>
    <w:rsid w:val="74006514"/>
    <w:rsid w:val="74063E42"/>
    <w:rsid w:val="7414337B"/>
    <w:rsid w:val="741DC3B3"/>
    <w:rsid w:val="742992A1"/>
    <w:rsid w:val="74388E07"/>
    <w:rsid w:val="743BA449"/>
    <w:rsid w:val="743E4FC1"/>
    <w:rsid w:val="744205DF"/>
    <w:rsid w:val="74438922"/>
    <w:rsid w:val="7464C475"/>
    <w:rsid w:val="747D7D91"/>
    <w:rsid w:val="747F77ED"/>
    <w:rsid w:val="74848A7C"/>
    <w:rsid w:val="7487AA94"/>
    <w:rsid w:val="74949453"/>
    <w:rsid w:val="749E7D5F"/>
    <w:rsid w:val="74A15F54"/>
    <w:rsid w:val="74A1E5C9"/>
    <w:rsid w:val="74AD9C6D"/>
    <w:rsid w:val="74AF3A1E"/>
    <w:rsid w:val="74BE3A5A"/>
    <w:rsid w:val="74C299C2"/>
    <w:rsid w:val="74C36190"/>
    <w:rsid w:val="74D5C04C"/>
    <w:rsid w:val="74D7E853"/>
    <w:rsid w:val="74F3B087"/>
    <w:rsid w:val="74F6CB33"/>
    <w:rsid w:val="74F9BBCE"/>
    <w:rsid w:val="74FAA5A6"/>
    <w:rsid w:val="750418C2"/>
    <w:rsid w:val="750AFD2A"/>
    <w:rsid w:val="75187CD4"/>
    <w:rsid w:val="7520F87D"/>
    <w:rsid w:val="75220349"/>
    <w:rsid w:val="75273EFB"/>
    <w:rsid w:val="7528CD22"/>
    <w:rsid w:val="752ABE32"/>
    <w:rsid w:val="752DFFC4"/>
    <w:rsid w:val="75376F6E"/>
    <w:rsid w:val="753841A9"/>
    <w:rsid w:val="753E4D8F"/>
    <w:rsid w:val="7544E84F"/>
    <w:rsid w:val="75451DDB"/>
    <w:rsid w:val="75503428"/>
    <w:rsid w:val="7552E502"/>
    <w:rsid w:val="7566BE95"/>
    <w:rsid w:val="7569306B"/>
    <w:rsid w:val="7569B9FA"/>
    <w:rsid w:val="756B2079"/>
    <w:rsid w:val="757503D1"/>
    <w:rsid w:val="7576867C"/>
    <w:rsid w:val="7591A076"/>
    <w:rsid w:val="75A60D33"/>
    <w:rsid w:val="75AEAED2"/>
    <w:rsid w:val="75B07E1A"/>
    <w:rsid w:val="75B203EA"/>
    <w:rsid w:val="75BE8CC0"/>
    <w:rsid w:val="75BFE29C"/>
    <w:rsid w:val="75C47559"/>
    <w:rsid w:val="75CB806B"/>
    <w:rsid w:val="75D519F4"/>
    <w:rsid w:val="75E7C045"/>
    <w:rsid w:val="75EF2A33"/>
    <w:rsid w:val="7600C2C0"/>
    <w:rsid w:val="7602F211"/>
    <w:rsid w:val="7608A445"/>
    <w:rsid w:val="760C2B6C"/>
    <w:rsid w:val="7610534D"/>
    <w:rsid w:val="76176E90"/>
    <w:rsid w:val="76233F9A"/>
    <w:rsid w:val="762BC9D5"/>
    <w:rsid w:val="76368888"/>
    <w:rsid w:val="7639D641"/>
    <w:rsid w:val="7654D617"/>
    <w:rsid w:val="765A1027"/>
    <w:rsid w:val="766A68F8"/>
    <w:rsid w:val="7673F4C1"/>
    <w:rsid w:val="7674261D"/>
    <w:rsid w:val="76753366"/>
    <w:rsid w:val="7688F9CC"/>
    <w:rsid w:val="769102E7"/>
    <w:rsid w:val="7691A83E"/>
    <w:rsid w:val="769381B8"/>
    <w:rsid w:val="76A5988E"/>
    <w:rsid w:val="76AE83A4"/>
    <w:rsid w:val="76B531E3"/>
    <w:rsid w:val="76B6BA34"/>
    <w:rsid w:val="76B82F2B"/>
    <w:rsid w:val="76C69AFE"/>
    <w:rsid w:val="76CC4E11"/>
    <w:rsid w:val="76CFC1AE"/>
    <w:rsid w:val="76D2287F"/>
    <w:rsid w:val="76D77FEB"/>
    <w:rsid w:val="76DEEF54"/>
    <w:rsid w:val="76EBB3AC"/>
    <w:rsid w:val="76F61726"/>
    <w:rsid w:val="76F88F0E"/>
    <w:rsid w:val="77082D1C"/>
    <w:rsid w:val="7723F4B0"/>
    <w:rsid w:val="7726BD1A"/>
    <w:rsid w:val="77276D9C"/>
    <w:rsid w:val="772A42CC"/>
    <w:rsid w:val="772AF6E7"/>
    <w:rsid w:val="77303C1F"/>
    <w:rsid w:val="77330291"/>
    <w:rsid w:val="77335FF8"/>
    <w:rsid w:val="77337B25"/>
    <w:rsid w:val="7736F0F0"/>
    <w:rsid w:val="7745152B"/>
    <w:rsid w:val="776001AB"/>
    <w:rsid w:val="7770B5BD"/>
    <w:rsid w:val="7780C5B2"/>
    <w:rsid w:val="77855ED9"/>
    <w:rsid w:val="778DDB53"/>
    <w:rsid w:val="7796A9F0"/>
    <w:rsid w:val="779B6DA5"/>
    <w:rsid w:val="77AA363F"/>
    <w:rsid w:val="77B1453A"/>
    <w:rsid w:val="77B327B1"/>
    <w:rsid w:val="77BE1050"/>
    <w:rsid w:val="77C1D914"/>
    <w:rsid w:val="77C8CFAF"/>
    <w:rsid w:val="77CA328C"/>
    <w:rsid w:val="77CC33EC"/>
    <w:rsid w:val="77DFDE5C"/>
    <w:rsid w:val="77E42207"/>
    <w:rsid w:val="77EB7EE8"/>
    <w:rsid w:val="77ED0507"/>
    <w:rsid w:val="77F6E010"/>
    <w:rsid w:val="77FBDD8D"/>
    <w:rsid w:val="780000A5"/>
    <w:rsid w:val="780C16EF"/>
    <w:rsid w:val="78191C04"/>
    <w:rsid w:val="78196972"/>
    <w:rsid w:val="784706D7"/>
    <w:rsid w:val="7864B6D3"/>
    <w:rsid w:val="78684DFC"/>
    <w:rsid w:val="7879BEE5"/>
    <w:rsid w:val="78913731"/>
    <w:rsid w:val="78A69367"/>
    <w:rsid w:val="78A88CF1"/>
    <w:rsid w:val="78A92429"/>
    <w:rsid w:val="78BC3B7E"/>
    <w:rsid w:val="78D85F5A"/>
    <w:rsid w:val="78DC32E5"/>
    <w:rsid w:val="78E79307"/>
    <w:rsid w:val="78ED3912"/>
    <w:rsid w:val="78FD5918"/>
    <w:rsid w:val="790C8C43"/>
    <w:rsid w:val="79106DE6"/>
    <w:rsid w:val="7920936C"/>
    <w:rsid w:val="7929CA1F"/>
    <w:rsid w:val="7930D91C"/>
    <w:rsid w:val="793D42A1"/>
    <w:rsid w:val="7942D88D"/>
    <w:rsid w:val="7945D5B1"/>
    <w:rsid w:val="79549872"/>
    <w:rsid w:val="795F3BDC"/>
    <w:rsid w:val="79650851"/>
    <w:rsid w:val="797346E1"/>
    <w:rsid w:val="7978A3D0"/>
    <w:rsid w:val="79878DF9"/>
    <w:rsid w:val="798C214B"/>
    <w:rsid w:val="798E4B6B"/>
    <w:rsid w:val="7991CF63"/>
    <w:rsid w:val="799ACE87"/>
    <w:rsid w:val="79A613D3"/>
    <w:rsid w:val="79A872F0"/>
    <w:rsid w:val="79B09295"/>
    <w:rsid w:val="79B3044B"/>
    <w:rsid w:val="79B3D923"/>
    <w:rsid w:val="79B85E3C"/>
    <w:rsid w:val="79D0E97D"/>
    <w:rsid w:val="79E08F32"/>
    <w:rsid w:val="79E52522"/>
    <w:rsid w:val="79F5DE81"/>
    <w:rsid w:val="79F745BE"/>
    <w:rsid w:val="7A1294DD"/>
    <w:rsid w:val="7A141D00"/>
    <w:rsid w:val="7A1749FA"/>
    <w:rsid w:val="7A1B74A7"/>
    <w:rsid w:val="7A202E46"/>
    <w:rsid w:val="7A415520"/>
    <w:rsid w:val="7A5896AC"/>
    <w:rsid w:val="7A618136"/>
    <w:rsid w:val="7A62E79F"/>
    <w:rsid w:val="7A69561D"/>
    <w:rsid w:val="7A700D3F"/>
    <w:rsid w:val="7A865EFC"/>
    <w:rsid w:val="7A884D19"/>
    <w:rsid w:val="7A91BAD7"/>
    <w:rsid w:val="7A95B9DC"/>
    <w:rsid w:val="7A96DF0A"/>
    <w:rsid w:val="7A9CEDAD"/>
    <w:rsid w:val="7AA0B40C"/>
    <w:rsid w:val="7AB00907"/>
    <w:rsid w:val="7AB62EC6"/>
    <w:rsid w:val="7ABF1C67"/>
    <w:rsid w:val="7AE1E929"/>
    <w:rsid w:val="7AF5B782"/>
    <w:rsid w:val="7B01AAD1"/>
    <w:rsid w:val="7B05CE3B"/>
    <w:rsid w:val="7B07EAFF"/>
    <w:rsid w:val="7B11D885"/>
    <w:rsid w:val="7B13968E"/>
    <w:rsid w:val="7B18ABBA"/>
    <w:rsid w:val="7B22BF3D"/>
    <w:rsid w:val="7B2F9375"/>
    <w:rsid w:val="7B3F1B5A"/>
    <w:rsid w:val="7B455BF2"/>
    <w:rsid w:val="7B488DC2"/>
    <w:rsid w:val="7B48CB7A"/>
    <w:rsid w:val="7B4D58BA"/>
    <w:rsid w:val="7B5ED1E0"/>
    <w:rsid w:val="7B6AAA74"/>
    <w:rsid w:val="7B6C3A7E"/>
    <w:rsid w:val="7B71ECD6"/>
    <w:rsid w:val="7B7382CE"/>
    <w:rsid w:val="7B7E6397"/>
    <w:rsid w:val="7B873A45"/>
    <w:rsid w:val="7B8ED3A0"/>
    <w:rsid w:val="7B901862"/>
    <w:rsid w:val="7B99D9A6"/>
    <w:rsid w:val="7BA3B001"/>
    <w:rsid w:val="7BAA6DDA"/>
    <w:rsid w:val="7BB7926B"/>
    <w:rsid w:val="7BC5B04E"/>
    <w:rsid w:val="7BCB9FEA"/>
    <w:rsid w:val="7BD1BF04"/>
    <w:rsid w:val="7BD32A79"/>
    <w:rsid w:val="7BD51C7C"/>
    <w:rsid w:val="7BDA1BC8"/>
    <w:rsid w:val="7BED64C5"/>
    <w:rsid w:val="7BEF634B"/>
    <w:rsid w:val="7BF06B2F"/>
    <w:rsid w:val="7BF74D22"/>
    <w:rsid w:val="7BF7CA46"/>
    <w:rsid w:val="7BFBE38A"/>
    <w:rsid w:val="7BFFDCE9"/>
    <w:rsid w:val="7C1768C0"/>
    <w:rsid w:val="7C1B0490"/>
    <w:rsid w:val="7C269A97"/>
    <w:rsid w:val="7C34BC2F"/>
    <w:rsid w:val="7C358F0E"/>
    <w:rsid w:val="7C3B8E67"/>
    <w:rsid w:val="7C3C78AF"/>
    <w:rsid w:val="7C3D7474"/>
    <w:rsid w:val="7C499059"/>
    <w:rsid w:val="7C4D2BF2"/>
    <w:rsid w:val="7C6E02AA"/>
    <w:rsid w:val="7C798067"/>
    <w:rsid w:val="7C7AAA7D"/>
    <w:rsid w:val="7C7E2FA5"/>
    <w:rsid w:val="7C7EBE8A"/>
    <w:rsid w:val="7C81A99F"/>
    <w:rsid w:val="7C88915C"/>
    <w:rsid w:val="7C89414B"/>
    <w:rsid w:val="7CC91BC2"/>
    <w:rsid w:val="7CCF2C90"/>
    <w:rsid w:val="7CD74827"/>
    <w:rsid w:val="7CD8B9D1"/>
    <w:rsid w:val="7CDEB248"/>
    <w:rsid w:val="7CE1D546"/>
    <w:rsid w:val="7CE4B835"/>
    <w:rsid w:val="7CE71056"/>
    <w:rsid w:val="7CFFEB9B"/>
    <w:rsid w:val="7D03FDE6"/>
    <w:rsid w:val="7D08856E"/>
    <w:rsid w:val="7D0A13C3"/>
    <w:rsid w:val="7D0AD744"/>
    <w:rsid w:val="7D0D6846"/>
    <w:rsid w:val="7D14C52A"/>
    <w:rsid w:val="7D25E6F0"/>
    <w:rsid w:val="7D2681C1"/>
    <w:rsid w:val="7D3A3069"/>
    <w:rsid w:val="7D41352C"/>
    <w:rsid w:val="7D454CF8"/>
    <w:rsid w:val="7D5A7878"/>
    <w:rsid w:val="7D6D666B"/>
    <w:rsid w:val="7D76C639"/>
    <w:rsid w:val="7D7FAED6"/>
    <w:rsid w:val="7D85B82B"/>
    <w:rsid w:val="7D86F7F0"/>
    <w:rsid w:val="7D8B5E02"/>
    <w:rsid w:val="7D92C3B3"/>
    <w:rsid w:val="7D943C1C"/>
    <w:rsid w:val="7D94D623"/>
    <w:rsid w:val="7D9EB85C"/>
    <w:rsid w:val="7DA2DB05"/>
    <w:rsid w:val="7DAF94F0"/>
    <w:rsid w:val="7DBA9956"/>
    <w:rsid w:val="7DBB96B2"/>
    <w:rsid w:val="7DC9DB9A"/>
    <w:rsid w:val="7DE4C62E"/>
    <w:rsid w:val="7DE82AA7"/>
    <w:rsid w:val="7E11E8D4"/>
    <w:rsid w:val="7E16E423"/>
    <w:rsid w:val="7E1B3F05"/>
    <w:rsid w:val="7E24E27A"/>
    <w:rsid w:val="7E2C3DD3"/>
    <w:rsid w:val="7E34669C"/>
    <w:rsid w:val="7E353E4A"/>
    <w:rsid w:val="7E4A455C"/>
    <w:rsid w:val="7E4F2484"/>
    <w:rsid w:val="7E55A0CC"/>
    <w:rsid w:val="7E5B6D20"/>
    <w:rsid w:val="7E5BD264"/>
    <w:rsid w:val="7E61AF4F"/>
    <w:rsid w:val="7E64E695"/>
    <w:rsid w:val="7E71D0D3"/>
    <w:rsid w:val="7E86B1EE"/>
    <w:rsid w:val="7E924112"/>
    <w:rsid w:val="7E98F8A1"/>
    <w:rsid w:val="7EB36A4B"/>
    <w:rsid w:val="7EB4239C"/>
    <w:rsid w:val="7EC4C5E0"/>
    <w:rsid w:val="7EC4CACE"/>
    <w:rsid w:val="7ECB84BC"/>
    <w:rsid w:val="7ED07171"/>
    <w:rsid w:val="7ED14F81"/>
    <w:rsid w:val="7ED49AFF"/>
    <w:rsid w:val="7EDE277D"/>
    <w:rsid w:val="7EE152D6"/>
    <w:rsid w:val="7EE203BC"/>
    <w:rsid w:val="7EE69A59"/>
    <w:rsid w:val="7EE93A5A"/>
    <w:rsid w:val="7EF4B699"/>
    <w:rsid w:val="7EF92B04"/>
    <w:rsid w:val="7EF9815E"/>
    <w:rsid w:val="7EFA9761"/>
    <w:rsid w:val="7F033244"/>
    <w:rsid w:val="7F11AE3E"/>
    <w:rsid w:val="7F14861C"/>
    <w:rsid w:val="7F149E23"/>
    <w:rsid w:val="7F1668BE"/>
    <w:rsid w:val="7F1EAB6C"/>
    <w:rsid w:val="7F2818A7"/>
    <w:rsid w:val="7F2A3524"/>
    <w:rsid w:val="7F2FF8A6"/>
    <w:rsid w:val="7F340A27"/>
    <w:rsid w:val="7F383642"/>
    <w:rsid w:val="7F40D434"/>
    <w:rsid w:val="7F51796F"/>
    <w:rsid w:val="7F58724C"/>
    <w:rsid w:val="7F5985A3"/>
    <w:rsid w:val="7F6D9565"/>
    <w:rsid w:val="7F6E85CD"/>
    <w:rsid w:val="7F7406D9"/>
    <w:rsid w:val="7F767894"/>
    <w:rsid w:val="7F847432"/>
    <w:rsid w:val="7F856C5D"/>
    <w:rsid w:val="7F8F9152"/>
    <w:rsid w:val="7F908D81"/>
    <w:rsid w:val="7F9424EC"/>
    <w:rsid w:val="7F96B6AC"/>
    <w:rsid w:val="7F9F83ED"/>
    <w:rsid w:val="7FA1D30A"/>
    <w:rsid w:val="7FA1E74B"/>
    <w:rsid w:val="7FA3EABC"/>
    <w:rsid w:val="7FBF3E82"/>
    <w:rsid w:val="7FD2051B"/>
    <w:rsid w:val="7FD4F053"/>
    <w:rsid w:val="7FD8A13F"/>
    <w:rsid w:val="7FD9AC22"/>
    <w:rsid w:val="7FDB162E"/>
    <w:rsid w:val="7FE3018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1D8888"/>
  <w15:chartTrackingRefBased/>
  <w15:docId w15:val="{C132E867-E49F-462C-BE9A-61A98D2640A2}"/>
  <w:removePersonalInformation/>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uiPriority="4"/>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4"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661AFE"/>
    <w:pPr>
      <w:spacing w:after="0" w:line="360" w:lineRule="auto"/>
      <w:ind w:firstLine="720"/>
    </w:pPr>
    <w:rPr>
      <w:rFonts w:ascii="Book Antiqua" w:hAnsi="Book Antiqua"/>
      <w:sz w:val="26"/>
    </w:rPr>
  </w:style>
  <w:style w:type="paragraph" w:styleId="Heading1">
    <w:name w:val="heading 1"/>
    <w:basedOn w:val="Dummy"/>
    <w:next w:val="Standard"/>
    <w:link w:val="Heading1Char"/>
    <w:uiPriority w:val="4"/>
    <w:qFormat/>
    <w:rsid w:val="000E270A"/>
    <w:pPr>
      <w:numPr>
        <w:numId w:val="15"/>
      </w:numPr>
      <w:ind w:right="2160"/>
    </w:pPr>
    <w:rPr>
      <w:rFonts w:eastAsiaTheme="majorEastAsia" w:cstheme="majorBidi"/>
      <w:szCs w:val="32"/>
    </w:rPr>
  </w:style>
  <w:style w:type="paragraph" w:styleId="Heading2">
    <w:name w:val="heading 2"/>
    <w:basedOn w:val="Dummy"/>
    <w:next w:val="Standard"/>
    <w:link w:val="Heading2Char"/>
    <w:uiPriority w:val="4"/>
    <w:qFormat/>
    <w:rsid w:val="000E270A"/>
    <w:pPr>
      <w:numPr>
        <w:ilvl w:val="1"/>
        <w:numId w:val="15"/>
      </w:numPr>
      <w:ind w:right="2160"/>
      <w:outlineLvl w:val="1"/>
    </w:pPr>
  </w:style>
  <w:style w:type="paragraph" w:styleId="Heading3">
    <w:name w:val="heading 3"/>
    <w:basedOn w:val="Dummy"/>
    <w:next w:val="Standard"/>
    <w:link w:val="Heading3Char"/>
    <w:uiPriority w:val="4"/>
    <w:qFormat/>
    <w:rsid w:val="000E270A"/>
    <w:pPr>
      <w:numPr>
        <w:ilvl w:val="2"/>
        <w:numId w:val="15"/>
      </w:numPr>
      <w:ind w:right="2160"/>
      <w:outlineLvl w:val="2"/>
    </w:pPr>
    <w:rPr>
      <w:rFonts w:eastAsiaTheme="majorEastAsia" w:cstheme="majorBidi"/>
      <w:szCs w:val="24"/>
    </w:rPr>
  </w:style>
  <w:style w:type="paragraph" w:styleId="Heading4">
    <w:name w:val="heading 4"/>
    <w:basedOn w:val="Dummy"/>
    <w:next w:val="Standard"/>
    <w:link w:val="Heading4Char"/>
    <w:uiPriority w:val="4"/>
    <w:rsid w:val="000E270A"/>
    <w:pPr>
      <w:numPr>
        <w:ilvl w:val="3"/>
        <w:numId w:val="15"/>
      </w:numPr>
      <w:ind w:right="2160"/>
      <w:outlineLvl w:val="3"/>
    </w:pPr>
    <w:rPr>
      <w:rFonts w:eastAsiaTheme="majorEastAsia" w:cstheme="majorBidi"/>
      <w:iCs/>
    </w:rPr>
  </w:style>
  <w:style w:type="paragraph" w:styleId="Heading5">
    <w:name w:val="heading 5"/>
    <w:basedOn w:val="Dummy"/>
    <w:next w:val="Standard"/>
    <w:link w:val="Heading5Char"/>
    <w:uiPriority w:val="4"/>
    <w:rsid w:val="000E270A"/>
    <w:pPr>
      <w:numPr>
        <w:ilvl w:val="4"/>
        <w:numId w:val="15"/>
      </w:numPr>
      <w:ind w:right="2160"/>
      <w:outlineLvl w:val="4"/>
    </w:pPr>
    <w:rPr>
      <w:rFonts w:eastAsiaTheme="majorEastAsia" w:cstheme="majorBidi"/>
    </w:rPr>
  </w:style>
  <w:style w:type="paragraph" w:styleId="Heading6">
    <w:name w:val="heading 6"/>
    <w:basedOn w:val="Dummy"/>
    <w:next w:val="Standard"/>
    <w:link w:val="Heading6Char"/>
    <w:uiPriority w:val="4"/>
    <w:rsid w:val="000E270A"/>
    <w:pPr>
      <w:numPr>
        <w:ilvl w:val="5"/>
        <w:numId w:val="15"/>
      </w:numPr>
      <w:spacing w:before="40"/>
      <w:ind w:right="2160"/>
      <w:outlineLvl w:val="5"/>
    </w:pPr>
    <w:rPr>
      <w:rFonts w:eastAsiaTheme="majorEastAsia"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A7B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4"/>
    <w:rsid w:val="00287BC5"/>
    <w:rPr>
      <w:rFonts w:ascii="Arial" w:eastAsiaTheme="majorEastAsia" w:hAnsi="Arial" w:cstheme="majorBidi"/>
      <w:b/>
      <w:sz w:val="26"/>
      <w:szCs w:val="32"/>
    </w:rPr>
  </w:style>
  <w:style w:type="paragraph" w:styleId="TOCHeading">
    <w:name w:val="TOC Heading"/>
    <w:next w:val="Normal"/>
    <w:uiPriority w:val="39"/>
    <w:unhideWhenUsed/>
    <w:rsid w:val="001E2A62"/>
    <w:pPr>
      <w:spacing w:line="240" w:lineRule="auto"/>
      <w:jc w:val="center"/>
    </w:pPr>
    <w:rPr>
      <w:rFonts w:ascii="Arial" w:eastAsiaTheme="majorEastAsia" w:hAnsi="Arial" w:cstheme="majorBidi"/>
      <w:b/>
      <w:sz w:val="26"/>
      <w:szCs w:val="32"/>
    </w:rPr>
  </w:style>
  <w:style w:type="paragraph" w:styleId="Title">
    <w:name w:val="Title"/>
    <w:basedOn w:val="Dummy"/>
    <w:next w:val="Normal"/>
    <w:link w:val="TitleChar"/>
    <w:uiPriority w:val="10"/>
    <w:semiHidden/>
    <w:rsid w:val="00121089"/>
    <w:pPr>
      <w:spacing w:after="0"/>
      <w:contextualSpacing/>
      <w:jc w:val="center"/>
    </w:pPr>
    <w:rPr>
      <w:rFonts w:eastAsiaTheme="majorEastAsia" w:cstheme="majorBidi"/>
      <w:caps/>
      <w:szCs w:val="56"/>
    </w:rPr>
  </w:style>
  <w:style w:type="character" w:customStyle="1" w:styleId="TitleChar">
    <w:name w:val="Title Char"/>
    <w:basedOn w:val="DefaultParagraphFont"/>
    <w:link w:val="Title"/>
    <w:uiPriority w:val="10"/>
    <w:semiHidden/>
    <w:rsid w:val="0036017B"/>
    <w:rPr>
      <w:rFonts w:ascii="Arial" w:eastAsiaTheme="majorEastAsia" w:hAnsi="Arial" w:cstheme="majorBidi"/>
      <w:b/>
      <w:caps/>
      <w:sz w:val="26"/>
      <w:szCs w:val="56"/>
    </w:rPr>
  </w:style>
  <w:style w:type="paragraph" w:customStyle="1" w:styleId="Dummy">
    <w:name w:val="Dummy"/>
    <w:next w:val="Normal"/>
    <w:uiPriority w:val="19"/>
    <w:rsid w:val="00F62B7A"/>
    <w:pPr>
      <w:keepNext/>
      <w:keepLines/>
      <w:spacing w:after="120" w:line="240" w:lineRule="auto"/>
      <w:outlineLvl w:val="0"/>
    </w:pPr>
    <w:rPr>
      <w:rFonts w:ascii="Arial" w:hAnsi="Arial" w:cs="Arial"/>
      <w:b/>
      <w:sz w:val="26"/>
      <w:szCs w:val="26"/>
    </w:rPr>
  </w:style>
  <w:style w:type="character" w:customStyle="1" w:styleId="Heading2Char">
    <w:name w:val="Heading 2 Char"/>
    <w:basedOn w:val="DefaultParagraphFont"/>
    <w:link w:val="Heading2"/>
    <w:uiPriority w:val="4"/>
    <w:rsid w:val="00287BC5"/>
    <w:rPr>
      <w:rFonts w:ascii="Arial" w:hAnsi="Arial" w:cs="Arial"/>
      <w:b/>
      <w:sz w:val="26"/>
      <w:szCs w:val="26"/>
    </w:rPr>
  </w:style>
  <w:style w:type="character" w:customStyle="1" w:styleId="Heading3Char">
    <w:name w:val="Heading 3 Char"/>
    <w:basedOn w:val="DefaultParagraphFont"/>
    <w:link w:val="Heading3"/>
    <w:uiPriority w:val="4"/>
    <w:rsid w:val="00287BC5"/>
    <w:rPr>
      <w:rFonts w:ascii="Arial" w:eastAsiaTheme="majorEastAsia" w:hAnsi="Arial" w:cstheme="majorBidi"/>
      <w:b/>
      <w:sz w:val="26"/>
      <w:szCs w:val="24"/>
    </w:rPr>
  </w:style>
  <w:style w:type="character" w:customStyle="1" w:styleId="Heading4Char">
    <w:name w:val="Heading 4 Char"/>
    <w:basedOn w:val="DefaultParagraphFont"/>
    <w:link w:val="Heading4"/>
    <w:uiPriority w:val="4"/>
    <w:rsid w:val="00287BC5"/>
    <w:rPr>
      <w:rFonts w:ascii="Arial" w:eastAsiaTheme="majorEastAsia" w:hAnsi="Arial" w:cstheme="majorBidi"/>
      <w:b/>
      <w:iCs/>
      <w:sz w:val="26"/>
      <w:szCs w:val="26"/>
    </w:rPr>
  </w:style>
  <w:style w:type="character" w:customStyle="1" w:styleId="Heading5Char">
    <w:name w:val="Heading 5 Char"/>
    <w:basedOn w:val="DefaultParagraphFont"/>
    <w:link w:val="Heading5"/>
    <w:uiPriority w:val="4"/>
    <w:rsid w:val="00287BC5"/>
    <w:rPr>
      <w:rFonts w:ascii="Arial" w:eastAsiaTheme="majorEastAsia" w:hAnsi="Arial" w:cstheme="majorBidi"/>
      <w:b/>
      <w:sz w:val="26"/>
      <w:szCs w:val="26"/>
    </w:rPr>
  </w:style>
  <w:style w:type="paragraph" w:customStyle="1" w:styleId="Main">
    <w:name w:val="Main"/>
    <w:next w:val="Normal"/>
    <w:uiPriority w:val="19"/>
    <w:rsid w:val="00F62B7A"/>
    <w:pPr>
      <w:spacing w:after="0" w:line="240" w:lineRule="auto"/>
      <w:jc w:val="center"/>
    </w:pPr>
    <w:rPr>
      <w:rFonts w:ascii="Arial" w:eastAsiaTheme="majorEastAsia" w:hAnsi="Arial" w:cstheme="majorBidi"/>
      <w:b/>
      <w:caps/>
      <w:sz w:val="26"/>
      <w:szCs w:val="56"/>
    </w:rPr>
  </w:style>
  <w:style w:type="paragraph" w:customStyle="1" w:styleId="Mainex">
    <w:name w:val="Mainex"/>
    <w:basedOn w:val="Main"/>
    <w:next w:val="Normal"/>
    <w:uiPriority w:val="19"/>
    <w:rsid w:val="000A6E05"/>
    <w:pPr>
      <w:keepNext/>
      <w:spacing w:line="360" w:lineRule="auto"/>
      <w:outlineLvl w:val="0"/>
    </w:pPr>
    <w:rPr>
      <w:spacing w:val="120"/>
    </w:rPr>
  </w:style>
  <w:style w:type="paragraph" w:styleId="TOC2">
    <w:name w:val="toc 2"/>
    <w:basedOn w:val="Normal"/>
    <w:next w:val="Normal"/>
    <w:uiPriority w:val="39"/>
    <w:unhideWhenUsed/>
    <w:rsid w:val="00ED5725"/>
    <w:pPr>
      <w:spacing w:line="240" w:lineRule="auto"/>
      <w:ind w:left="864" w:hanging="648"/>
    </w:pPr>
    <w:rPr>
      <w:rFonts w:eastAsiaTheme="minorEastAsia" w:cs="Times New Roman"/>
    </w:rPr>
  </w:style>
  <w:style w:type="paragraph" w:styleId="TOC1">
    <w:name w:val="toc 1"/>
    <w:basedOn w:val="Normal"/>
    <w:next w:val="Normal"/>
    <w:uiPriority w:val="39"/>
    <w:unhideWhenUsed/>
    <w:rsid w:val="00ED5725"/>
    <w:pPr>
      <w:spacing w:line="240" w:lineRule="auto"/>
      <w:ind w:left="432" w:hanging="432"/>
    </w:pPr>
    <w:rPr>
      <w:rFonts w:eastAsiaTheme="minorEastAsia" w:cs="Times New Roman"/>
    </w:rPr>
  </w:style>
  <w:style w:type="paragraph" w:styleId="TOC3">
    <w:name w:val="toc 3"/>
    <w:basedOn w:val="Normal"/>
    <w:next w:val="Normal"/>
    <w:uiPriority w:val="39"/>
    <w:unhideWhenUsed/>
    <w:rsid w:val="008C7413"/>
    <w:pPr>
      <w:spacing w:line="240" w:lineRule="auto"/>
      <w:ind w:left="1296" w:hanging="864"/>
    </w:pPr>
    <w:rPr>
      <w:rFonts w:eastAsiaTheme="minorEastAsia" w:cs="Times New Roman"/>
    </w:rPr>
  </w:style>
  <w:style w:type="character" w:styleId="Hyperlink">
    <w:name w:val="Hyperlink"/>
    <w:basedOn w:val="DefaultParagraphFont"/>
    <w:uiPriority w:val="99"/>
    <w:rsid w:val="00D82A43"/>
    <w:rPr>
      <w:color w:val="0563C1" w:themeColor="hyperlink"/>
      <w:u w:val="single"/>
    </w:rPr>
  </w:style>
  <w:style w:type="numbering" w:customStyle="1" w:styleId="FoFCoLOP">
    <w:name w:val="FoF/CoL/OP"/>
    <w:uiPriority w:val="99"/>
    <w:rsid w:val="008E6AE6"/>
    <w:pPr>
      <w:numPr>
        <w:numId w:val="2"/>
      </w:numPr>
    </w:pPr>
  </w:style>
  <w:style w:type="paragraph" w:styleId="TOC9">
    <w:name w:val="toc 9"/>
    <w:basedOn w:val="Normal"/>
    <w:next w:val="Normal"/>
    <w:autoRedefine/>
    <w:uiPriority w:val="39"/>
    <w:semiHidden/>
    <w:unhideWhenUsed/>
    <w:rsid w:val="00D82A43"/>
    <w:pPr>
      <w:spacing w:after="100"/>
      <w:ind w:left="2080"/>
    </w:pPr>
  </w:style>
  <w:style w:type="paragraph" w:styleId="Header">
    <w:name w:val="header"/>
    <w:basedOn w:val="Normal"/>
    <w:link w:val="HeaderChar"/>
    <w:uiPriority w:val="99"/>
    <w:semiHidden/>
    <w:rsid w:val="0098138E"/>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0A56F2"/>
    <w:rPr>
      <w:rFonts w:ascii="Book Antiqua" w:hAnsi="Book Antiqua"/>
      <w:sz w:val="26"/>
    </w:rPr>
  </w:style>
  <w:style w:type="paragraph" w:styleId="Footer">
    <w:name w:val="footer"/>
    <w:basedOn w:val="Normal"/>
    <w:link w:val="FooterChar"/>
    <w:uiPriority w:val="99"/>
    <w:semiHidden/>
    <w:rsid w:val="00EE3060"/>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7657C1"/>
    <w:rPr>
      <w:rFonts w:ascii="Book Antiqua" w:hAnsi="Book Antiqua"/>
      <w:sz w:val="26"/>
    </w:rPr>
  </w:style>
  <w:style w:type="paragraph" w:customStyle="1" w:styleId="BlockQuote">
    <w:name w:val="Block Quote"/>
    <w:basedOn w:val="Standard"/>
    <w:uiPriority w:val="5"/>
    <w:qFormat/>
    <w:rsid w:val="00EA36C6"/>
    <w:pPr>
      <w:spacing w:after="120" w:line="240" w:lineRule="auto"/>
      <w:ind w:left="720" w:right="720" w:firstLine="0"/>
    </w:pPr>
  </w:style>
  <w:style w:type="paragraph" w:styleId="FootnoteText">
    <w:name w:val="footnote text"/>
    <w:basedOn w:val="Normal"/>
    <w:link w:val="FootnoteTextChar"/>
    <w:uiPriority w:val="40"/>
    <w:rsid w:val="00B01F7E"/>
    <w:pPr>
      <w:spacing w:after="120" w:line="240" w:lineRule="auto"/>
      <w:ind w:firstLine="0"/>
    </w:pPr>
    <w:rPr>
      <w:sz w:val="22"/>
      <w:szCs w:val="20"/>
    </w:rPr>
  </w:style>
  <w:style w:type="character" w:customStyle="1" w:styleId="FootnoteTextChar">
    <w:name w:val="Footnote Text Char"/>
    <w:basedOn w:val="DefaultParagraphFont"/>
    <w:link w:val="FootnoteText"/>
    <w:uiPriority w:val="40"/>
    <w:rsid w:val="007657C1"/>
    <w:rPr>
      <w:rFonts w:ascii="Book Antiqua" w:hAnsi="Book Antiqua"/>
      <w:szCs w:val="20"/>
    </w:rPr>
  </w:style>
  <w:style w:type="character" w:styleId="FootnoteReference">
    <w:name w:val="footnote reference"/>
    <w:basedOn w:val="DefaultParagraphFont"/>
    <w:uiPriority w:val="99"/>
    <w:semiHidden/>
    <w:unhideWhenUsed/>
    <w:rsid w:val="00DF58E7"/>
    <w:rPr>
      <w:vertAlign w:val="superscript"/>
    </w:rPr>
  </w:style>
  <w:style w:type="paragraph" w:customStyle="1" w:styleId="FoF">
    <w:name w:val="FoF"/>
    <w:basedOn w:val="Standard"/>
    <w:uiPriority w:val="6"/>
    <w:qFormat/>
    <w:rsid w:val="001E2A62"/>
    <w:pPr>
      <w:numPr>
        <w:numId w:val="3"/>
      </w:numPr>
      <w:ind w:firstLine="547"/>
    </w:pPr>
  </w:style>
  <w:style w:type="paragraph" w:customStyle="1" w:styleId="CoL">
    <w:name w:val="CoL"/>
    <w:basedOn w:val="Standard"/>
    <w:uiPriority w:val="7"/>
    <w:qFormat/>
    <w:rsid w:val="001E2A62"/>
    <w:pPr>
      <w:numPr>
        <w:numId w:val="4"/>
      </w:numPr>
      <w:ind w:firstLine="547"/>
    </w:pPr>
  </w:style>
  <w:style w:type="paragraph" w:styleId="NoSpacing">
    <w:name w:val="No Spacing"/>
    <w:basedOn w:val="Standard"/>
    <w:uiPriority w:val="1"/>
    <w:rsid w:val="00287BC5"/>
    <w:pPr>
      <w:spacing w:after="120" w:line="240" w:lineRule="auto"/>
      <w:ind w:firstLine="0"/>
      <w:contextualSpacing/>
    </w:pPr>
  </w:style>
  <w:style w:type="paragraph" w:customStyle="1" w:styleId="OP">
    <w:name w:val="OP"/>
    <w:basedOn w:val="Standard"/>
    <w:uiPriority w:val="8"/>
    <w:qFormat/>
    <w:rsid w:val="001E2A62"/>
    <w:pPr>
      <w:numPr>
        <w:numId w:val="5"/>
      </w:numPr>
    </w:pPr>
  </w:style>
  <w:style w:type="paragraph" w:styleId="BalloonText">
    <w:name w:val="Balloon Text"/>
    <w:basedOn w:val="Normal"/>
    <w:link w:val="BalloonTextChar"/>
    <w:uiPriority w:val="99"/>
    <w:semiHidden/>
    <w:unhideWhenUsed/>
    <w:rsid w:val="004C7D3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C7D3A"/>
    <w:rPr>
      <w:rFonts w:ascii="Segoe UI" w:hAnsi="Segoe UI" w:cs="Segoe UI"/>
      <w:sz w:val="18"/>
      <w:szCs w:val="18"/>
    </w:rPr>
  </w:style>
  <w:style w:type="numbering" w:customStyle="1" w:styleId="Headings">
    <w:name w:val="Headings"/>
    <w:uiPriority w:val="99"/>
    <w:rsid w:val="000E270A"/>
    <w:pPr>
      <w:numPr>
        <w:numId w:val="6"/>
      </w:numPr>
    </w:pPr>
  </w:style>
  <w:style w:type="paragraph" w:customStyle="1" w:styleId="Standard">
    <w:name w:val="Standard"/>
    <w:basedOn w:val="Normal"/>
    <w:qFormat/>
    <w:rsid w:val="007A406D"/>
  </w:style>
  <w:style w:type="paragraph" w:customStyle="1" w:styleId="ListAlpha">
    <w:name w:val="List Alpha"/>
    <w:basedOn w:val="Standard"/>
    <w:uiPriority w:val="4"/>
    <w:qFormat/>
    <w:rsid w:val="000E270A"/>
    <w:pPr>
      <w:numPr>
        <w:ilvl w:val="7"/>
        <w:numId w:val="15"/>
      </w:numPr>
      <w:spacing w:after="120" w:line="240" w:lineRule="auto"/>
    </w:pPr>
  </w:style>
  <w:style w:type="paragraph" w:styleId="ListBullet">
    <w:name w:val="List Bullet"/>
    <w:basedOn w:val="Standard"/>
    <w:uiPriority w:val="4"/>
    <w:qFormat/>
    <w:rsid w:val="001F2819"/>
    <w:pPr>
      <w:numPr>
        <w:numId w:val="9"/>
      </w:numPr>
      <w:tabs>
        <w:tab w:val="clear" w:pos="360"/>
      </w:tabs>
      <w:spacing w:after="120" w:line="240" w:lineRule="auto"/>
      <w:ind w:left="1080"/>
    </w:pPr>
  </w:style>
  <w:style w:type="character" w:customStyle="1" w:styleId="Heading6Char">
    <w:name w:val="Heading 6 Char"/>
    <w:basedOn w:val="DefaultParagraphFont"/>
    <w:link w:val="Heading6"/>
    <w:uiPriority w:val="4"/>
    <w:rsid w:val="00287BC5"/>
    <w:rPr>
      <w:rFonts w:ascii="Arial" w:eastAsiaTheme="majorEastAsia" w:hAnsi="Arial" w:cstheme="majorBidi"/>
      <w:b/>
      <w:sz w:val="26"/>
      <w:szCs w:val="26"/>
    </w:rPr>
  </w:style>
  <w:style w:type="paragraph" w:styleId="TOC4">
    <w:name w:val="toc 4"/>
    <w:basedOn w:val="Normal"/>
    <w:next w:val="Normal"/>
    <w:autoRedefine/>
    <w:uiPriority w:val="39"/>
    <w:unhideWhenUsed/>
    <w:rsid w:val="008C7413"/>
    <w:pPr>
      <w:spacing w:line="240" w:lineRule="auto"/>
      <w:ind w:left="1728" w:hanging="1080"/>
    </w:pPr>
  </w:style>
  <w:style w:type="paragraph" w:styleId="TOC5">
    <w:name w:val="toc 5"/>
    <w:basedOn w:val="Normal"/>
    <w:next w:val="Normal"/>
    <w:autoRedefine/>
    <w:uiPriority w:val="39"/>
    <w:unhideWhenUsed/>
    <w:rsid w:val="008C7413"/>
    <w:pPr>
      <w:spacing w:line="240" w:lineRule="auto"/>
      <w:ind w:left="2160" w:hanging="1296"/>
    </w:pPr>
  </w:style>
  <w:style w:type="paragraph" w:styleId="TOC6">
    <w:name w:val="toc 6"/>
    <w:basedOn w:val="Normal"/>
    <w:next w:val="Normal"/>
    <w:autoRedefine/>
    <w:uiPriority w:val="39"/>
    <w:unhideWhenUsed/>
    <w:rsid w:val="008C7413"/>
    <w:pPr>
      <w:spacing w:line="240" w:lineRule="auto"/>
      <w:ind w:left="2592" w:hanging="1512"/>
    </w:pPr>
  </w:style>
  <w:style w:type="paragraph" w:customStyle="1" w:styleId="TableText">
    <w:name w:val="Table Text"/>
    <w:basedOn w:val="NoSpacing"/>
    <w:uiPriority w:val="5"/>
    <w:rsid w:val="00E53438"/>
    <w:pPr>
      <w:spacing w:after="0"/>
    </w:pPr>
    <w:rPr>
      <w:sz w:val="22"/>
    </w:rPr>
  </w:style>
  <w:style w:type="paragraph" w:customStyle="1" w:styleId="ListNum">
    <w:name w:val="List Num"/>
    <w:basedOn w:val="Standard"/>
    <w:uiPriority w:val="4"/>
    <w:rsid w:val="000E270A"/>
    <w:pPr>
      <w:numPr>
        <w:ilvl w:val="6"/>
        <w:numId w:val="15"/>
      </w:numPr>
      <w:spacing w:after="120" w:line="240" w:lineRule="auto"/>
    </w:pPr>
  </w:style>
  <w:style w:type="paragraph" w:styleId="Revision">
    <w:name w:val="Revision"/>
    <w:hidden/>
    <w:uiPriority w:val="99"/>
    <w:semiHidden/>
    <w:rsid w:val="007A3820"/>
    <w:pPr>
      <w:spacing w:after="0" w:line="240" w:lineRule="auto"/>
    </w:pPr>
    <w:rPr>
      <w:rFonts w:ascii="Book Antiqua" w:hAnsi="Book Antiqua"/>
      <w:sz w:val="26"/>
    </w:rPr>
  </w:style>
  <w:style w:type="character" w:styleId="CommentReference">
    <w:name w:val="annotation reference"/>
    <w:basedOn w:val="DefaultParagraphFont"/>
    <w:uiPriority w:val="99"/>
    <w:semiHidden/>
    <w:unhideWhenUsed/>
    <w:rsid w:val="00E71CDB"/>
    <w:rPr>
      <w:sz w:val="16"/>
      <w:szCs w:val="16"/>
    </w:rPr>
  </w:style>
  <w:style w:type="paragraph" w:styleId="CommentText">
    <w:name w:val="annotation text"/>
    <w:basedOn w:val="Normal"/>
    <w:link w:val="CommentTextChar"/>
    <w:uiPriority w:val="99"/>
    <w:unhideWhenUsed/>
    <w:rsid w:val="00E71CDB"/>
    <w:pPr>
      <w:spacing w:line="240" w:lineRule="auto"/>
    </w:pPr>
    <w:rPr>
      <w:sz w:val="20"/>
      <w:szCs w:val="20"/>
    </w:rPr>
  </w:style>
  <w:style w:type="character" w:customStyle="1" w:styleId="CommentTextChar">
    <w:name w:val="Comment Text Char"/>
    <w:basedOn w:val="DefaultParagraphFont"/>
    <w:link w:val="CommentText"/>
    <w:uiPriority w:val="99"/>
    <w:rsid w:val="00E71CDB"/>
    <w:rPr>
      <w:rFonts w:ascii="Book Antiqua" w:hAnsi="Book Antiqua"/>
      <w:sz w:val="20"/>
      <w:szCs w:val="20"/>
    </w:rPr>
  </w:style>
  <w:style w:type="paragraph" w:styleId="CommentSubject">
    <w:name w:val="annotation subject"/>
    <w:basedOn w:val="CommentText"/>
    <w:next w:val="CommentText"/>
    <w:link w:val="CommentSubjectChar"/>
    <w:uiPriority w:val="99"/>
    <w:semiHidden/>
    <w:unhideWhenUsed/>
    <w:rsid w:val="00E71CDB"/>
    <w:rPr>
      <w:b/>
      <w:bCs/>
    </w:rPr>
  </w:style>
  <w:style w:type="character" w:customStyle="1" w:styleId="CommentSubjectChar">
    <w:name w:val="Comment Subject Char"/>
    <w:basedOn w:val="CommentTextChar"/>
    <w:link w:val="CommentSubject"/>
    <w:uiPriority w:val="99"/>
    <w:semiHidden/>
    <w:rsid w:val="00E71CDB"/>
    <w:rPr>
      <w:rFonts w:ascii="Book Antiqua" w:hAnsi="Book Antiqua"/>
      <w:b/>
      <w:bCs/>
      <w:sz w:val="20"/>
      <w:szCs w:val="20"/>
    </w:rPr>
  </w:style>
  <w:style w:type="paragraph" w:styleId="EndnoteText">
    <w:name w:val="endnote text"/>
    <w:basedOn w:val="Normal"/>
    <w:link w:val="EndnoteTextChar"/>
    <w:uiPriority w:val="99"/>
    <w:semiHidden/>
    <w:unhideWhenUsed/>
    <w:rsid w:val="00FE69ED"/>
    <w:pPr>
      <w:spacing w:line="240" w:lineRule="auto"/>
    </w:pPr>
    <w:rPr>
      <w:sz w:val="20"/>
      <w:szCs w:val="20"/>
    </w:rPr>
  </w:style>
  <w:style w:type="character" w:customStyle="1" w:styleId="EndnoteTextChar">
    <w:name w:val="Endnote Text Char"/>
    <w:basedOn w:val="DefaultParagraphFont"/>
    <w:link w:val="EndnoteText"/>
    <w:uiPriority w:val="99"/>
    <w:semiHidden/>
    <w:rsid w:val="00FE69ED"/>
    <w:rPr>
      <w:rFonts w:ascii="Book Antiqua" w:hAnsi="Book Antiqua"/>
      <w:sz w:val="20"/>
      <w:szCs w:val="20"/>
    </w:rPr>
  </w:style>
  <w:style w:type="character" w:styleId="EndnoteReference">
    <w:name w:val="endnote reference"/>
    <w:basedOn w:val="DefaultParagraphFont"/>
    <w:uiPriority w:val="99"/>
    <w:semiHidden/>
    <w:unhideWhenUsed/>
    <w:rsid w:val="00FE69ED"/>
    <w:rPr>
      <w:vertAlign w:val="superscript"/>
    </w:rPr>
  </w:style>
  <w:style w:type="character" w:styleId="Mention">
    <w:name w:val="Mention"/>
    <w:basedOn w:val="DefaultParagraphFont"/>
    <w:uiPriority w:val="99"/>
    <w:unhideWhenUsed/>
    <w:rsid w:val="00331EEA"/>
    <w:rPr>
      <w:color w:val="2B579A"/>
      <w:shd w:val="clear" w:color="auto" w:fill="E1DFDD"/>
    </w:rPr>
  </w:style>
  <w:style w:type="paragraph" w:customStyle="1" w:styleId="paragraph">
    <w:name w:val="paragraph"/>
    <w:basedOn w:val="Normal"/>
    <w:rsid w:val="00443624"/>
    <w:pPr>
      <w:spacing w:before="100" w:beforeAutospacing="1" w:after="100" w:afterAutospacing="1" w:line="240" w:lineRule="auto"/>
      <w:ind w:firstLine="0"/>
    </w:pPr>
    <w:rPr>
      <w:rFonts w:ascii="Times New Roman" w:eastAsia="Times New Roman" w:hAnsi="Times New Roman" w:cs="Times New Roman"/>
      <w:sz w:val="24"/>
      <w:szCs w:val="24"/>
    </w:rPr>
  </w:style>
  <w:style w:type="character" w:customStyle="1" w:styleId="normaltextrun">
    <w:name w:val="normaltextrun"/>
    <w:basedOn w:val="DefaultParagraphFont"/>
    <w:rsid w:val="00443624"/>
  </w:style>
  <w:style w:type="character" w:customStyle="1" w:styleId="eop">
    <w:name w:val="eop"/>
    <w:basedOn w:val="DefaultParagraphFont"/>
    <w:rsid w:val="00443624"/>
  </w:style>
  <w:style w:type="character" w:customStyle="1" w:styleId="superscript">
    <w:name w:val="superscript"/>
    <w:basedOn w:val="DefaultParagraphFont"/>
    <w:rsid w:val="00443624"/>
  </w:style>
  <w:style w:type="paragraph" w:styleId="ListParagraph">
    <w:name w:val="List Paragraph"/>
    <w:basedOn w:val="Normal"/>
    <w:uiPriority w:val="34"/>
    <w:qFormat/>
    <w:rsid w:val="008000BE"/>
    <w:pPr>
      <w:ind w:left="720"/>
      <w:contextualSpacing/>
    </w:pPr>
  </w:style>
  <w:style w:type="paragraph" w:styleId="NormalWeb">
    <w:name w:val="Normal (Web)"/>
    <w:basedOn w:val="Normal"/>
    <w:uiPriority w:val="99"/>
    <w:semiHidden/>
    <w:unhideWhenUsed/>
    <w:rsid w:val="006E5F89"/>
    <w:rPr>
      <w:rFonts w:ascii="Times New Roman" w:hAnsi="Times New Roman" w:cs="Times New Roman"/>
      <w:sz w:val="24"/>
      <w:szCs w:val="24"/>
    </w:rPr>
  </w:style>
  <w:style w:type="character" w:styleId="UnresolvedMention">
    <w:name w:val="Unresolved Mention"/>
    <w:basedOn w:val="DefaultParagraphFont"/>
    <w:uiPriority w:val="99"/>
    <w:semiHidden/>
    <w:unhideWhenUsed/>
    <w:rsid w:val="00084F7F"/>
    <w:rPr>
      <w:color w:val="605E5C"/>
      <w:shd w:val="clear" w:color="auto" w:fill="E1DFDD"/>
    </w:rPr>
  </w:style>
  <w:style w:type="paragraph" w:customStyle="1" w:styleId="pf0">
    <w:name w:val="pf0"/>
    <w:basedOn w:val="Normal"/>
    <w:rsid w:val="0051125B"/>
    <w:pPr>
      <w:spacing w:before="100" w:beforeAutospacing="1" w:after="100" w:afterAutospacing="1" w:line="240" w:lineRule="auto"/>
      <w:ind w:left="300" w:firstLine="0"/>
    </w:pPr>
    <w:rPr>
      <w:rFonts w:ascii="Times New Roman" w:eastAsia="Times New Roman" w:hAnsi="Times New Roman" w:cs="Times New Roman"/>
      <w:sz w:val="24"/>
      <w:szCs w:val="24"/>
    </w:rPr>
  </w:style>
  <w:style w:type="character" w:customStyle="1" w:styleId="cf01">
    <w:name w:val="cf01"/>
    <w:basedOn w:val="DefaultParagraphFont"/>
    <w:rsid w:val="0051125B"/>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754110">
      <w:bodyDiv w:val="1"/>
      <w:marLeft w:val="0"/>
      <w:marRight w:val="0"/>
      <w:marTop w:val="0"/>
      <w:marBottom w:val="0"/>
      <w:divBdr>
        <w:top w:val="none" w:sz="0" w:space="0" w:color="auto"/>
        <w:left w:val="none" w:sz="0" w:space="0" w:color="auto"/>
        <w:bottom w:val="none" w:sz="0" w:space="0" w:color="auto"/>
        <w:right w:val="none" w:sz="0" w:space="0" w:color="auto"/>
      </w:divBdr>
    </w:div>
    <w:div w:id="234050233">
      <w:bodyDiv w:val="1"/>
      <w:marLeft w:val="0"/>
      <w:marRight w:val="0"/>
      <w:marTop w:val="0"/>
      <w:marBottom w:val="0"/>
      <w:divBdr>
        <w:top w:val="none" w:sz="0" w:space="0" w:color="auto"/>
        <w:left w:val="none" w:sz="0" w:space="0" w:color="auto"/>
        <w:bottom w:val="none" w:sz="0" w:space="0" w:color="auto"/>
        <w:right w:val="none" w:sz="0" w:space="0" w:color="auto"/>
      </w:divBdr>
    </w:div>
    <w:div w:id="739640618">
      <w:marLeft w:val="0"/>
      <w:marRight w:val="0"/>
      <w:marTop w:val="0"/>
      <w:marBottom w:val="0"/>
      <w:divBdr>
        <w:top w:val="none" w:sz="0" w:space="0" w:color="auto"/>
        <w:left w:val="none" w:sz="0" w:space="0" w:color="auto"/>
        <w:bottom w:val="none" w:sz="0" w:space="0" w:color="auto"/>
        <w:right w:val="none" w:sz="0" w:space="0" w:color="auto"/>
      </w:divBdr>
    </w:div>
    <w:div w:id="840004558">
      <w:bodyDiv w:val="1"/>
      <w:marLeft w:val="0"/>
      <w:marRight w:val="0"/>
      <w:marTop w:val="0"/>
      <w:marBottom w:val="0"/>
      <w:divBdr>
        <w:top w:val="none" w:sz="0" w:space="0" w:color="auto"/>
        <w:left w:val="none" w:sz="0" w:space="0" w:color="auto"/>
        <w:bottom w:val="none" w:sz="0" w:space="0" w:color="auto"/>
        <w:right w:val="none" w:sz="0" w:space="0" w:color="auto"/>
      </w:divBdr>
    </w:div>
    <w:div w:id="1112432430">
      <w:bodyDiv w:val="1"/>
      <w:marLeft w:val="0"/>
      <w:marRight w:val="0"/>
      <w:marTop w:val="0"/>
      <w:marBottom w:val="0"/>
      <w:divBdr>
        <w:top w:val="none" w:sz="0" w:space="0" w:color="auto"/>
        <w:left w:val="none" w:sz="0" w:space="0" w:color="auto"/>
        <w:bottom w:val="none" w:sz="0" w:space="0" w:color="auto"/>
        <w:right w:val="none" w:sz="0" w:space="0" w:color="auto"/>
      </w:divBdr>
    </w:div>
    <w:div w:id="1308701861">
      <w:marLeft w:val="0"/>
      <w:marRight w:val="0"/>
      <w:marTop w:val="0"/>
      <w:marBottom w:val="0"/>
      <w:divBdr>
        <w:top w:val="none" w:sz="0" w:space="0" w:color="auto"/>
        <w:left w:val="none" w:sz="0" w:space="0" w:color="auto"/>
        <w:bottom w:val="none" w:sz="0" w:space="0" w:color="auto"/>
        <w:right w:val="none" w:sz="0" w:space="0" w:color="auto"/>
      </w:divBdr>
    </w:div>
    <w:div w:id="1716201436">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microsoft.com/office/2020/10/relationships/intelligence" Target="intelligence2.xml"/><Relationship Id="rId5" Type="http://schemas.openxmlformats.org/officeDocument/2006/relationships/numbering" Target="numbering.xml"/><Relationship Id="rId15" Type="http://schemas.openxmlformats.org/officeDocument/2006/relationships/header" Target="header3.xml"/><Relationship Id="rId23" Type="http://schemas.microsoft.com/office/2019/05/relationships/documenttasks" Target="documenttasks/documenttasks1.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docs.cpuc.ca.gov/PublishedDocs/Efile/G000/M543/K418/543418944.PDF" TargetMode="External"/></Relationships>
</file>

<file path=word/documenttasks/documenttasks1.xml><?xml version="1.0" encoding="utf-8"?>
<t:Tasks xmlns:t="http://schemas.microsoft.com/office/tasks/2019/documenttasks" xmlns:oel="http://schemas.microsoft.com/office/2019/extlst">
  <t:Task id="{BADB8F4F-41E6-4A47-A27F-D0E3FCEAC092}">
    <t:Anchor>
      <t:Comment id="1363827198"/>
    </t:Anchor>
    <t:History>
      <t:Event id="{E05F15E2-36E0-4BA2-9E18-60C128BE71E9}" time="2026-09-11T01:01:58.924Z">
        <t:Attribution userId="S::gabriel.petlin@cpuc.ca.gov::acdc109c-6cda-4721-8e45-bc15709e48dd" userProvider="AD" userName="Petlin, Gabriel"/>
        <t:Anchor>
          <t:Comment id="1363827198"/>
        </t:Anchor>
        <t:Create/>
      </t:Event>
      <t:Event id="{C75FB60A-7CC8-46D8-8A89-0301689216D0}" time="2026-09-11T01:01:58.924Z">
        <t:Attribution userId="S::gabriel.petlin@cpuc.ca.gov::acdc109c-6cda-4721-8e45-bc15709e48dd" userProvider="AD" userName="Petlin, Gabriel"/>
        <t:Anchor>
          <t:Comment id="1363827198"/>
        </t:Anchor>
        <t:Assign userId="S::Raymond.Breault@cpuc.ca.gov::098c4789-1f54-450f-8ccf-77b58ad9a813" userProvider="AD" userName="Breault, Raymond"/>
      </t:Event>
      <t:Event id="{796A23F2-B1D4-429C-9FC9-39A282C5575F}" time="2026-09-11T01:01:58.924Z">
        <t:Attribution userId="S::gabriel.petlin@cpuc.ca.gov::acdc109c-6cda-4721-8e45-bc15709e48dd" userProvider="AD" userName="Petlin, Gabriel"/>
        <t:Anchor>
          <t:Comment id="1363827198"/>
        </t:Anchor>
        <t:SetTitle title="@Breault, Raymond This section mostly punts the issue to the applications while giving some guiding points. Just checking that this section is in alignment with similar issues in Track III."/>
      </t:Event>
    </t:History>
  </t:Task>
  <t:Task id="{4FB1540F-8AE2-471F-9781-9DD0A24E085A}">
    <t:Anchor>
      <t:Comment id="522950039"/>
    </t:Anchor>
    <t:History>
      <t:Event id="{12B3AF16-BA31-4FA6-94F1-27A1AD13BD81}" time="2026-09-10T18:43:43.876Z">
        <t:Attribution userId="S::gabriel.petlin@cpuc.ca.gov::acdc109c-6cda-4721-8e45-bc15709e48dd" userProvider="AD" userName="Petlin, Gabriel"/>
        <t:Anchor>
          <t:Comment id="522950039"/>
        </t:Anchor>
        <t:Create/>
      </t:Event>
      <t:Event id="{FD147B79-747D-44A3-8F79-8DAF982499BE}" time="2026-09-10T18:43:43.876Z">
        <t:Attribution userId="S::gabriel.petlin@cpuc.ca.gov::acdc109c-6cda-4721-8e45-bc15709e48dd" userProvider="AD" userName="Petlin, Gabriel"/>
        <t:Anchor>
          <t:Comment id="522950039"/>
        </t:Anchor>
        <t:Assign userId="S::AngelicaGloria.Velasco@cpuc.ca.gov::6f7e2be0-5278-4462-afab-35347496dc8d" userProvider="AD" userName="Velasco, Angelica Gloria"/>
      </t:Event>
      <t:Event id="{CA003BDA-C8EB-4076-8364-3A2613050FCD}" time="2026-09-10T18:43:43.876Z">
        <t:Attribution userId="S::gabriel.petlin@cpuc.ca.gov::acdc109c-6cda-4721-8e45-bc15709e48dd" userProvider="AD" userName="Petlin, Gabriel"/>
        <t:Anchor>
          <t:Comment id="522950039"/>
        </t:Anchor>
        <t:SetTitle title="@Velasco, Angelica Gloria Is this your text or the ALJ? PU Code 218 does not mention DPP at all, so wondering where this came from?"/>
      </t:Event>
      <t:Event id="{84257845-C5F7-4918-974C-5EBE81AA64AD}" time="2026-09-10T22:41:58.448Z">
        <t:Attribution userId="S::AngelicaGloria.Velasco@cpuc.ca.gov::6f7e2be0-5278-4462-afab-35347496dc8d" userProvider="AD" userName="Velasco, Angelica Gloria"/>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CD1E41D886DE9148956A09E2A3A9B42A" ma:contentTypeVersion="16" ma:contentTypeDescription="Create a new document." ma:contentTypeScope="" ma:versionID="ca758b251a0df9830d4a9d07d130aa95">
  <xsd:schema xmlns:xsd="http://www.w3.org/2001/XMLSchema" xmlns:xs="http://www.w3.org/2001/XMLSchema" xmlns:p="http://schemas.microsoft.com/office/2006/metadata/properties" xmlns:ns2="0498a0be-db2a-4749-93ec-e3fb091cf533" xmlns:ns3="e584c501-4907-45a6-a5fc-3e0757d7aab9" targetNamespace="http://schemas.microsoft.com/office/2006/metadata/properties" ma:root="true" ma:fieldsID="155ffd306920f557879d6d191faea510" ns2:_="" ns3:_="">
    <xsd:import namespace="0498a0be-db2a-4749-93ec-e3fb091cf533"/>
    <xsd:import namespace="e584c501-4907-45a6-a5fc-3e0757d7aab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DateTaken" minOccurs="0"/>
                <xsd:element ref="ns2:lcf76f155ced4ddcb4097134ff3c332f" minOccurs="0"/>
                <xsd:element ref="ns3:TaxCatchAll" minOccurs="0"/>
                <xsd:element ref="ns2:MediaServiceOCR" minOccurs="0"/>
                <xsd:element ref="ns2:MediaServiceObjectDetectorVersions" minOccurs="0"/>
                <xsd:element ref="ns2:MediaServiceLocation"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98a0be-db2a-4749-93ec-e3fb091cf53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958c64cc-ee56-435d-b6d0-239f1a5e0d9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584c501-4907-45a6-a5fc-3e0757d7aab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0d0d156c-4b98-47b0-8f3d-5787bb686b96}" ma:internalName="TaxCatchAll" ma:showField="CatchAllData" ma:web="e584c501-4907-45a6-a5fc-3e0757d7aa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584c501-4907-45a6-a5fc-3e0757d7aab9" xsi:nil="true"/>
    <lcf76f155ced4ddcb4097134ff3c332f xmlns="0498a0be-db2a-4749-93ec-e3fb091cf53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2692CBF-97EE-47CC-813F-1B66EA5AD97B}">
  <ds:schemaRefs>
    <ds:schemaRef ds:uri="http://schemas.openxmlformats.org/officeDocument/2006/bibliography"/>
  </ds:schemaRefs>
</ds:datastoreItem>
</file>

<file path=customXml/itemProps2.xml><?xml version="1.0" encoding="utf-8"?>
<ds:datastoreItem xmlns:ds="http://schemas.openxmlformats.org/officeDocument/2006/customXml" ds:itemID="{03C8C0E3-C9EA-43F5-8F1C-9E82CBC89E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98a0be-db2a-4749-93ec-e3fb091cf533"/>
    <ds:schemaRef ds:uri="e584c501-4907-45a6-a5fc-3e0757d7aa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930DE7C-9577-4EA8-AC89-8E2B6CC952CB}">
  <ds:schemaRefs>
    <ds:schemaRef ds:uri="http://schemas.microsoft.com/sharepoint/v3/contenttype/forms"/>
  </ds:schemaRefs>
</ds:datastoreItem>
</file>

<file path=customXml/itemProps4.xml><?xml version="1.0" encoding="utf-8"?>
<ds:datastoreItem xmlns:ds="http://schemas.openxmlformats.org/officeDocument/2006/customXml" ds:itemID="{D60E4752-B270-4867-90BA-5719077E84AA}">
  <ds:schemaRefs>
    <ds:schemaRef ds:uri="http://schemas.microsoft.com/office/2006/metadata/properties"/>
    <ds:schemaRef ds:uri="http://schemas.microsoft.com/office/infopath/2007/PartnerControls"/>
    <ds:schemaRef ds:uri="e584c501-4907-45a6-a5fc-3e0757d7aab9"/>
    <ds:schemaRef ds:uri="0498a0be-db2a-4749-93ec-e3fb091cf533"/>
  </ds:schemaRefs>
</ds:datastoreItem>
</file>

<file path=docProps/app.xml><?xml version="1.0" encoding="utf-8"?>
<ap:Properties xmlns:vt="http://schemas.openxmlformats.org/officeDocument/2006/docPropsVTypes" xmlns:ap="http://schemas.openxmlformats.org/officeDocument/2006/extended-properties">
  <ap:Template>Normal.dotm</ap:Template>
  <ap:TotalTime>0</ap:TotalTime>
  <ap:Pages>109</ap:Pages>
  <ap:Words>22936</ap:Words>
  <ap:Characters>141058</ap:Characters>
  <ap:Application>Microsoft Office Word</ap:Application>
  <ap:DocSecurity>4</ap:DocSecurity>
  <ap:Lines>2518</ap:Lines>
  <ap:Paragraphs>640</ap:Paragraphs>
  <ap:ScaleCrop>false</ap:ScaleCrop>
  <ap:Company/>
  <ap:LinksUpToDate>false</ap:LinksUpToDate>
  <ap:CharactersWithSpaces>163354</ap:CharactersWithSpaces>
  <ap:SharedDoc>false</ap:SharedDoc>
  <ap:HyperlinksChanged>false</ap:HyperlinksChanged>
  <ap:AppVersion>12.0000</ap:AppVers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2019-07-03T22:18:00Z</cp:lastPrinted>
  <dcterms:created xsi:type="dcterms:W3CDTF">2026-11-05T08:00:15Z</dcterms:created>
  <dcterms:modified xsi:type="dcterms:W3CDTF">2026-11-05T08:00:15Z</dcterms:modified>
</cp:coreProperties>
</file>