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C76D1" w:rsidR="005C76D1" w:rsidP="005C76D1" w:rsidRDefault="00AE2291" w14:paraId="4F449985" w14:textId="37192672">
      <w:pPr>
        <w:tabs>
          <w:tab w:val="center" w:pos="4680"/>
          <w:tab w:val="right" w:pos="9360"/>
        </w:tabs>
        <w:spacing w:line="240" w:lineRule="auto"/>
        <w:ind w:firstLine="0"/>
        <w:rPr>
          <w:b/>
          <w:bCs/>
        </w:rPr>
      </w:pPr>
      <w:bookmarkStart w:name="_Hlk182490147" w:id="0"/>
      <w:r>
        <w:t>ALJ/DBB/ma</w:t>
      </w:r>
      <w:r w:rsidR="005C76D1">
        <w:t xml:space="preserve">c </w:t>
      </w:r>
      <w:r w:rsidR="005C76D1">
        <w:tab/>
      </w:r>
      <w:r w:rsidR="005C76D1">
        <w:tab/>
      </w:r>
      <w:r w:rsidR="005C76D1">
        <w:rPr>
          <w:b/>
          <w:bCs/>
        </w:rPr>
        <w:t>Date of Issuance 10</w:t>
      </w:r>
      <w:r w:rsidR="00085EA8">
        <w:rPr>
          <w:b/>
          <w:bCs/>
        </w:rPr>
        <w:t>/</w:t>
      </w:r>
      <w:r w:rsidR="005C76D1">
        <w:rPr>
          <w:b/>
          <w:bCs/>
        </w:rPr>
        <w:t>30</w:t>
      </w:r>
      <w:r w:rsidR="00085EA8">
        <w:rPr>
          <w:b/>
          <w:bCs/>
        </w:rPr>
        <w:t>/</w:t>
      </w:r>
      <w:r w:rsidR="005C76D1">
        <w:rPr>
          <w:b/>
          <w:bCs/>
        </w:rPr>
        <w:t>2026</w:t>
      </w:r>
    </w:p>
    <w:p w:rsidR="008F7D29" w:rsidP="008F7D29" w:rsidRDefault="008F7D29" w14:paraId="0F424875" w14:textId="77777777">
      <w:pPr>
        <w:spacing w:line="240" w:lineRule="auto"/>
        <w:ind w:firstLine="0"/>
      </w:pPr>
    </w:p>
    <w:p w:rsidR="008F7D29" w:rsidP="008F7D29" w:rsidRDefault="008F7D29" w14:paraId="6B38BA94" w14:textId="77777777">
      <w:pPr>
        <w:spacing w:line="240" w:lineRule="auto"/>
        <w:ind w:firstLine="0"/>
      </w:pPr>
    </w:p>
    <w:p w:rsidR="00085EA8" w:rsidP="008F7D29" w:rsidRDefault="00085EA8" w14:paraId="5A6168F4" w14:textId="77777777">
      <w:pPr>
        <w:spacing w:line="240" w:lineRule="auto"/>
        <w:ind w:firstLine="0"/>
      </w:pPr>
    </w:p>
    <w:p w:rsidRPr="008F7D29" w:rsidR="008F7D29" w:rsidP="008F7D29" w:rsidRDefault="008F7D29" w14:paraId="15F410E8" w14:textId="008B0EDF">
      <w:pPr>
        <w:spacing w:line="240" w:lineRule="auto"/>
        <w:ind w:left="1080" w:hanging="1080"/>
        <w:rPr>
          <w:b/>
          <w:bCs/>
        </w:rPr>
      </w:pPr>
      <w:r>
        <w:t>Decision</w:t>
      </w:r>
      <w:r w:rsidR="00085EA8">
        <w:t xml:space="preserve"> </w:t>
      </w:r>
      <w:r w:rsidRPr="00085EA8" w:rsidR="00085EA8">
        <w:t>26-10-057</w:t>
      </w:r>
      <w:r w:rsidR="00085EA8">
        <w:t xml:space="preserve"> October 29, 2026</w:t>
      </w:r>
    </w:p>
    <w:p w:rsidR="008F7D29" w:rsidP="008F7D29" w:rsidRDefault="008F7D29" w14:paraId="5297DDA6" w14:textId="77777777">
      <w:pPr>
        <w:spacing w:line="240" w:lineRule="auto"/>
        <w:ind w:firstLine="0"/>
        <w:rPr>
          <w:u w:val="single"/>
        </w:rPr>
      </w:pPr>
    </w:p>
    <w:p w:rsidR="00AC3BB2" w:rsidP="00AC3BB2" w:rsidRDefault="00AC3BB2" w14:paraId="6C5B9AF2" w14:textId="77777777">
      <w:pPr>
        <w:spacing w:line="240" w:lineRule="auto"/>
        <w:ind w:firstLine="0"/>
        <w:jc w:val="center"/>
        <w:rPr>
          <w:rFonts w:ascii="Arial" w:hAnsi="Arial" w:eastAsia="Calibri" w:cs="Arial"/>
          <w:sz w:val="24"/>
          <w:szCs w:val="24"/>
        </w:rPr>
      </w:pPr>
      <w:r>
        <w:rPr>
          <w:rFonts w:ascii="Arial" w:hAnsi="Arial" w:eastAsia="Calibri" w:cs="Arial"/>
          <w:b/>
          <w:sz w:val="24"/>
          <w:szCs w:val="24"/>
        </w:rPr>
        <w:t>BEFORE THE PUBLIC UTILITIES COMMISSION OF THE STATE OF CALIFORNIA</w:t>
      </w:r>
    </w:p>
    <w:p w:rsidR="00AC3BB2" w:rsidP="00AC3BB2" w:rsidRDefault="00AC3BB2" w14:paraId="11541F7E" w14:textId="77777777">
      <w:pPr>
        <w:spacing w:line="240" w:lineRule="auto"/>
        <w:ind w:firstLine="0"/>
        <w:rPr>
          <w:rFonts w:ascii="Arial" w:hAnsi="Arial" w:eastAsia="Calibri" w:cs="Arial"/>
          <w:sz w:val="24"/>
          <w:szCs w:val="24"/>
        </w:rPr>
      </w:pPr>
    </w:p>
    <w:tbl>
      <w:tblPr>
        <w:tblStyle w:val="TableGrid1"/>
        <w:tblW w:w="9360" w:type="dxa"/>
        <w:jc w:val="center"/>
        <w:tblInd w:w="0" w:type="dxa"/>
        <w:tblLayout w:type="fixed"/>
        <w:tblLook w:val="04A0" w:firstRow="1" w:lastRow="0" w:firstColumn="1" w:lastColumn="0" w:noHBand="0" w:noVBand="1"/>
      </w:tblPr>
      <w:tblGrid>
        <w:gridCol w:w="5130"/>
        <w:gridCol w:w="4230"/>
      </w:tblGrid>
      <w:tr w:rsidR="00AC3BB2" w:rsidTr="00FB4B21" w14:paraId="026B4111" w14:textId="77777777">
        <w:trPr>
          <w:jc w:val="center"/>
        </w:trPr>
        <w:tc>
          <w:tcPr>
            <w:tcW w:w="5130" w:type="dxa"/>
            <w:tcBorders>
              <w:top w:val="nil"/>
              <w:left w:val="nil"/>
              <w:bottom w:val="single" w:color="auto" w:sz="4" w:space="0"/>
              <w:right w:val="single" w:color="auto" w:sz="4" w:space="0"/>
            </w:tcBorders>
          </w:tcPr>
          <w:p w:rsidR="00AC3BB2" w:rsidP="00FB4B21" w:rsidRDefault="001F2146" w14:paraId="6348D5B3" w14:textId="500B9B54">
            <w:pPr>
              <w:spacing w:line="240" w:lineRule="auto"/>
              <w:ind w:firstLine="0"/>
              <w:rPr>
                <w:rFonts w:cs="Arial"/>
                <w:szCs w:val="26"/>
              </w:rPr>
            </w:pPr>
            <w:r>
              <w:rPr>
                <w:rFonts w:cs="Arial"/>
                <w:szCs w:val="26"/>
              </w:rPr>
              <w:t>Lawanna Jake</w:t>
            </w:r>
            <w:r w:rsidR="00AC3BB2">
              <w:rPr>
                <w:rFonts w:cs="Arial"/>
                <w:szCs w:val="26"/>
              </w:rPr>
              <w:t xml:space="preserve">, </w:t>
            </w:r>
          </w:p>
          <w:p w:rsidR="00AC3BB2" w:rsidP="00FB4B21" w:rsidRDefault="00AC3BB2" w14:paraId="7C3B2551" w14:textId="77777777">
            <w:pPr>
              <w:spacing w:line="240" w:lineRule="auto"/>
              <w:ind w:firstLine="0"/>
              <w:rPr>
                <w:rFonts w:cs="Arial"/>
                <w:szCs w:val="26"/>
              </w:rPr>
            </w:pPr>
          </w:p>
          <w:p w:rsidR="00AC3BB2" w:rsidP="0019772C" w:rsidRDefault="00AC3BB2" w14:paraId="041386D8" w14:textId="6EBCEE3C">
            <w:pPr>
              <w:spacing w:line="240" w:lineRule="auto"/>
              <w:ind w:firstLine="0"/>
              <w:jc w:val="right"/>
              <w:rPr>
                <w:rFonts w:cs="Arial"/>
                <w:szCs w:val="26"/>
              </w:rPr>
            </w:pPr>
            <w:r>
              <w:rPr>
                <w:rFonts w:cs="Arial"/>
                <w:szCs w:val="26"/>
              </w:rPr>
              <w:t>Complainant,</w:t>
            </w:r>
          </w:p>
          <w:p w:rsidR="00AC3BB2" w:rsidP="00FB4B21" w:rsidRDefault="00AC3BB2" w14:paraId="7C28CE07" w14:textId="77777777">
            <w:pPr>
              <w:spacing w:line="240" w:lineRule="auto"/>
              <w:ind w:firstLine="0"/>
              <w:rPr>
                <w:rFonts w:cs="Arial"/>
                <w:szCs w:val="26"/>
              </w:rPr>
            </w:pPr>
          </w:p>
          <w:p w:rsidR="00AC3BB2" w:rsidP="00FB4B21" w:rsidRDefault="00AC3BB2" w14:paraId="4474E046" w14:textId="77777777">
            <w:pPr>
              <w:spacing w:line="240" w:lineRule="auto"/>
              <w:ind w:firstLine="2140"/>
              <w:rPr>
                <w:rFonts w:cs="Arial"/>
                <w:szCs w:val="26"/>
              </w:rPr>
            </w:pPr>
            <w:r>
              <w:rPr>
                <w:rFonts w:cs="Arial"/>
                <w:szCs w:val="26"/>
              </w:rPr>
              <w:t>vs.</w:t>
            </w:r>
          </w:p>
          <w:p w:rsidR="00AC3BB2" w:rsidP="00FB4B21" w:rsidRDefault="00AC3BB2" w14:paraId="52CCAF7A" w14:textId="77777777">
            <w:pPr>
              <w:spacing w:line="240" w:lineRule="auto"/>
              <w:ind w:firstLine="0"/>
              <w:rPr>
                <w:rFonts w:cs="Arial"/>
                <w:szCs w:val="26"/>
              </w:rPr>
            </w:pPr>
          </w:p>
          <w:p w:rsidR="00AC3BB2" w:rsidP="00FB4B21" w:rsidRDefault="001F2146" w14:paraId="1174B131" w14:textId="53D1015C">
            <w:pPr>
              <w:spacing w:line="240" w:lineRule="auto"/>
              <w:ind w:firstLine="0"/>
              <w:rPr>
                <w:rFonts w:cs="Arial"/>
                <w:szCs w:val="26"/>
              </w:rPr>
            </w:pPr>
            <w:r>
              <w:rPr>
                <w:rFonts w:cs="Arial"/>
                <w:szCs w:val="26"/>
              </w:rPr>
              <w:t>Pacific Bell d/b/a AT&amp;T California (U1001C),</w:t>
            </w:r>
            <w:r w:rsidR="00AC3BB2">
              <w:rPr>
                <w:rFonts w:cs="Arial"/>
                <w:szCs w:val="26"/>
              </w:rPr>
              <w:t xml:space="preserve"> </w:t>
            </w:r>
          </w:p>
          <w:p w:rsidR="00AC3BB2" w:rsidP="00FB4B21" w:rsidRDefault="00AC3BB2" w14:paraId="44BE5E6C" w14:textId="77777777">
            <w:pPr>
              <w:spacing w:line="240" w:lineRule="auto"/>
              <w:ind w:firstLine="0"/>
              <w:rPr>
                <w:rFonts w:cs="Arial"/>
                <w:szCs w:val="26"/>
              </w:rPr>
            </w:pPr>
          </w:p>
          <w:p w:rsidR="00AC3BB2" w:rsidP="007160E1" w:rsidRDefault="00AC3BB2" w14:paraId="563922DC" w14:textId="032DA52C">
            <w:pPr>
              <w:spacing w:line="240" w:lineRule="auto"/>
              <w:ind w:right="255" w:firstLine="0"/>
              <w:jc w:val="right"/>
              <w:rPr>
                <w:rFonts w:cs="Arial"/>
                <w:szCs w:val="26"/>
              </w:rPr>
            </w:pPr>
            <w:r>
              <w:rPr>
                <w:rFonts w:cs="Arial"/>
                <w:szCs w:val="26"/>
              </w:rPr>
              <w:t>Defendant.</w:t>
            </w:r>
          </w:p>
          <w:p w:rsidR="00AC3BB2" w:rsidP="00FB4B21" w:rsidRDefault="00AC3BB2" w14:paraId="68FB32A7" w14:textId="77777777">
            <w:pPr>
              <w:spacing w:line="240" w:lineRule="auto"/>
              <w:ind w:firstLine="0"/>
              <w:rPr>
                <w:rFonts w:cs="Arial"/>
                <w:szCs w:val="26"/>
              </w:rPr>
            </w:pPr>
          </w:p>
        </w:tc>
        <w:tc>
          <w:tcPr>
            <w:tcW w:w="4230" w:type="dxa"/>
            <w:tcBorders>
              <w:top w:val="nil"/>
              <w:left w:val="single" w:color="auto" w:sz="4" w:space="0"/>
              <w:bottom w:val="nil"/>
              <w:right w:val="nil"/>
            </w:tcBorders>
            <w:vAlign w:val="center"/>
            <w:hideMark/>
          </w:tcPr>
          <w:p w:rsidR="0019772C" w:rsidP="00FB4B21" w:rsidRDefault="0019772C" w14:paraId="2C8BF84E" w14:textId="7BFD59CA">
            <w:pPr>
              <w:spacing w:line="240" w:lineRule="auto"/>
              <w:ind w:firstLine="0"/>
              <w:jc w:val="center"/>
              <w:rPr>
                <w:rFonts w:cs="Arial"/>
                <w:szCs w:val="26"/>
              </w:rPr>
            </w:pPr>
            <w:r>
              <w:rPr>
                <w:rFonts w:cs="Arial"/>
                <w:szCs w:val="26"/>
              </w:rPr>
              <w:t>(ECP)</w:t>
            </w:r>
          </w:p>
          <w:p w:rsidR="00AC3BB2" w:rsidP="00FB4B21" w:rsidRDefault="00AC3BB2" w14:paraId="53B875FC" w14:textId="130797F2">
            <w:pPr>
              <w:spacing w:line="240" w:lineRule="auto"/>
              <w:ind w:firstLine="0"/>
              <w:jc w:val="center"/>
              <w:rPr>
                <w:rFonts w:cs="Arial"/>
                <w:szCs w:val="26"/>
              </w:rPr>
            </w:pPr>
            <w:r>
              <w:rPr>
                <w:rFonts w:cs="Arial"/>
                <w:szCs w:val="26"/>
              </w:rPr>
              <w:t>Case 25-</w:t>
            </w:r>
            <w:r w:rsidR="001F2146">
              <w:rPr>
                <w:rFonts w:cs="Arial"/>
                <w:szCs w:val="26"/>
              </w:rPr>
              <w:t>09-017</w:t>
            </w:r>
          </w:p>
          <w:p w:rsidR="007160E1" w:rsidP="00FB4B21" w:rsidRDefault="007160E1" w14:paraId="4B552D5A" w14:textId="77777777">
            <w:pPr>
              <w:spacing w:line="240" w:lineRule="auto"/>
              <w:ind w:firstLine="0"/>
              <w:jc w:val="center"/>
              <w:rPr>
                <w:rFonts w:cs="Arial"/>
                <w:szCs w:val="26"/>
              </w:rPr>
            </w:pPr>
          </w:p>
          <w:p w:rsidR="008F7D29" w:rsidP="0019772C" w:rsidRDefault="008F7D29" w14:paraId="4923EDEC" w14:textId="3FEDCF64">
            <w:pPr>
              <w:spacing w:line="240" w:lineRule="auto"/>
              <w:ind w:firstLine="0"/>
              <w:rPr>
                <w:rFonts w:cs="Arial"/>
                <w:szCs w:val="26"/>
              </w:rPr>
            </w:pPr>
          </w:p>
        </w:tc>
      </w:tr>
    </w:tbl>
    <w:p w:rsidR="00AC3BB2" w:rsidP="00AC3BB2" w:rsidRDefault="00AC3BB2" w14:paraId="4850B7ED" w14:textId="77777777">
      <w:pPr>
        <w:spacing w:line="240" w:lineRule="auto"/>
        <w:ind w:firstLine="0"/>
        <w:rPr>
          <w:rFonts w:ascii="Arial" w:hAnsi="Arial" w:eastAsia="Calibri" w:cs="Arial"/>
          <w:sz w:val="24"/>
          <w:szCs w:val="24"/>
        </w:rPr>
      </w:pPr>
    </w:p>
    <w:p w:rsidR="0019772C" w:rsidP="00AC3BB2" w:rsidRDefault="0019772C" w14:paraId="4CA0AFB8" w14:textId="77777777">
      <w:pPr>
        <w:spacing w:line="240" w:lineRule="auto"/>
        <w:ind w:firstLine="0"/>
        <w:rPr>
          <w:rFonts w:ascii="Arial" w:hAnsi="Arial" w:eastAsia="Calibri" w:cs="Arial"/>
          <w:sz w:val="24"/>
          <w:szCs w:val="24"/>
        </w:rPr>
      </w:pPr>
    </w:p>
    <w:p w:rsidR="00AC3BB2" w:rsidP="00AC3BB2" w:rsidRDefault="00CD0B35" w14:paraId="5BACE380" w14:textId="27880C14">
      <w:pPr>
        <w:spacing w:after="240" w:line="240" w:lineRule="auto"/>
        <w:ind w:firstLine="0"/>
        <w:jc w:val="center"/>
        <w:rPr>
          <w:rFonts w:ascii="Arial" w:hAnsi="Arial" w:eastAsia="Times New Roman" w:cs="Times New Roman"/>
          <w:b/>
          <w:caps/>
          <w:szCs w:val="56"/>
        </w:rPr>
      </w:pPr>
      <w:bookmarkStart w:name="_Hlk54356077" w:id="1"/>
      <w:r>
        <w:rPr>
          <w:rFonts w:ascii="Arial" w:hAnsi="Arial" w:eastAsia="Times New Roman" w:cs="Times New Roman"/>
          <w:b/>
          <w:szCs w:val="56"/>
        </w:rPr>
        <w:t>DECISION DENYING RELIEF AND DISMISSING COMPLAINT</w:t>
      </w:r>
    </w:p>
    <w:p w:rsidR="00AC3BB2" w:rsidP="00AC3BB2" w:rsidRDefault="00AC3BB2" w14:paraId="12A08EA1" w14:textId="77777777">
      <w:pPr>
        <w:keepNext/>
        <w:keepLines/>
        <w:spacing w:after="120" w:line="240" w:lineRule="auto"/>
        <w:ind w:left="720" w:right="2160" w:hanging="720"/>
        <w:outlineLvl w:val="0"/>
        <w:rPr>
          <w:rFonts w:ascii="Arial" w:hAnsi="Arial" w:eastAsia="Times New Roman" w:cs="Times New Roman"/>
          <w:b/>
          <w:szCs w:val="32"/>
        </w:rPr>
      </w:pPr>
      <w:bookmarkStart w:name="_Toc104469878" w:id="2"/>
      <w:bookmarkEnd w:id="1"/>
      <w:r>
        <w:rPr>
          <w:rFonts w:ascii="Arial" w:hAnsi="Arial" w:eastAsia="Times New Roman" w:cs="Times New Roman"/>
          <w:b/>
          <w:szCs w:val="32"/>
        </w:rPr>
        <w:t>Summary</w:t>
      </w:r>
      <w:bookmarkEnd w:id="2"/>
    </w:p>
    <w:p w:rsidR="000627FD" w:rsidP="006A1655" w:rsidRDefault="001F2146" w14:paraId="3D491C16" w14:textId="6F607830">
      <w:pPr>
        <w:rPr>
          <w:rFonts w:eastAsia="Calibri" w:cs="Times New Roman"/>
        </w:rPr>
      </w:pPr>
      <w:r>
        <w:rPr>
          <w:rFonts w:eastAsia="Calibri" w:cs="Times New Roman"/>
        </w:rPr>
        <w:t>The decision denies the requested relief and dismisses the expedited complaint on the grounds that Complainant has failed to establish that Defendant violated an applicable rule, law, or Commission order.</w:t>
      </w:r>
    </w:p>
    <w:p w:rsidR="00AC3BB2" w:rsidP="006A1655" w:rsidRDefault="00AC3BB2" w14:paraId="08E124E2" w14:textId="14EC0359">
      <w:pPr>
        <w:rPr>
          <w:rFonts w:eastAsia="Calibri" w:cs="Times New Roman"/>
        </w:rPr>
      </w:pPr>
      <w:r>
        <w:rPr>
          <w:rFonts w:eastAsia="Calibri" w:cs="Times New Roman"/>
        </w:rPr>
        <w:t>This proceeding is closed.</w:t>
      </w:r>
    </w:p>
    <w:p w:rsidRPr="006A1655" w:rsidR="00AC3BB2" w:rsidP="006A1655" w:rsidRDefault="00AC3BB2" w14:paraId="405099AA" w14:textId="68E841BC">
      <w:pPr>
        <w:pStyle w:val="Heading1"/>
        <w:numPr>
          <w:ilvl w:val="0"/>
          <w:numId w:val="4"/>
        </w:numPr>
        <w:spacing w:before="0" w:after="120" w:line="240" w:lineRule="auto"/>
        <w:ind w:right="2160" w:hanging="720"/>
        <w:rPr>
          <w:rFonts w:ascii="Arial" w:hAnsi="Arial"/>
          <w:b/>
          <w:color w:val="auto"/>
          <w:sz w:val="26"/>
          <w:szCs w:val="32"/>
        </w:rPr>
      </w:pPr>
      <w:r w:rsidRPr="006A1655">
        <w:rPr>
          <w:rFonts w:ascii="Arial" w:hAnsi="Arial"/>
          <w:b/>
          <w:color w:val="auto"/>
          <w:sz w:val="26"/>
          <w:szCs w:val="32"/>
        </w:rPr>
        <w:t>Factual and Procedural Background</w:t>
      </w:r>
    </w:p>
    <w:p w:rsidR="00C21CD0" w:rsidP="00C21CD0" w:rsidRDefault="00AC3BB2" w14:paraId="6665F7A4" w14:textId="49AB221E">
      <w:pPr>
        <w:pStyle w:val="Standard"/>
        <w:rPr>
          <w:rFonts w:eastAsia="Calibri" w:cs="Times New Roman"/>
        </w:rPr>
      </w:pPr>
      <w:r>
        <w:rPr>
          <w:rFonts w:eastAsia="Calibri" w:cs="Times New Roman"/>
        </w:rPr>
        <w:t xml:space="preserve">On </w:t>
      </w:r>
      <w:r w:rsidR="00C21CD0">
        <w:rPr>
          <w:rFonts w:eastAsia="Calibri" w:cs="Times New Roman"/>
        </w:rPr>
        <w:t>September 18, 2025</w:t>
      </w:r>
      <w:r>
        <w:rPr>
          <w:rFonts w:eastAsia="Calibri" w:cs="Times New Roman"/>
        </w:rPr>
        <w:t xml:space="preserve">, </w:t>
      </w:r>
      <w:r w:rsidR="00C21CD0">
        <w:rPr>
          <w:rFonts w:eastAsia="Calibri" w:cs="Times New Roman"/>
        </w:rPr>
        <w:t>Lawanna Jake</w:t>
      </w:r>
      <w:r w:rsidR="000627FD">
        <w:rPr>
          <w:rFonts w:eastAsia="Calibri" w:cs="Times New Roman"/>
        </w:rPr>
        <w:t xml:space="preserve"> (Ms. </w:t>
      </w:r>
      <w:r w:rsidR="00C21CD0">
        <w:rPr>
          <w:rFonts w:eastAsia="Calibri" w:cs="Times New Roman"/>
        </w:rPr>
        <w:t>Jake</w:t>
      </w:r>
      <w:r w:rsidR="000627FD">
        <w:rPr>
          <w:rFonts w:eastAsia="Calibri" w:cs="Times New Roman"/>
        </w:rPr>
        <w:t xml:space="preserve"> or Complainant) </w:t>
      </w:r>
      <w:r>
        <w:rPr>
          <w:rFonts w:eastAsia="Calibri" w:cs="Times New Roman"/>
        </w:rPr>
        <w:t>filed the instant complaint</w:t>
      </w:r>
      <w:r w:rsidR="008A0833">
        <w:rPr>
          <w:rFonts w:eastAsia="Calibri" w:cs="Times New Roman"/>
        </w:rPr>
        <w:t xml:space="preserve"> against </w:t>
      </w:r>
      <w:r w:rsidR="00C21CD0">
        <w:rPr>
          <w:rFonts w:eastAsia="Calibri" w:cs="Times New Roman"/>
        </w:rPr>
        <w:t>Pacific Bell d/b/a AT&amp;T California</w:t>
      </w:r>
      <w:r>
        <w:rPr>
          <w:rFonts w:eastAsia="Calibri" w:cs="Times New Roman"/>
        </w:rPr>
        <w:t xml:space="preserve"> (</w:t>
      </w:r>
      <w:r w:rsidR="00C21CD0">
        <w:rPr>
          <w:rFonts w:eastAsia="Calibri" w:cs="Times New Roman"/>
        </w:rPr>
        <w:t>AT&amp;T</w:t>
      </w:r>
      <w:r w:rsidR="000627FD">
        <w:rPr>
          <w:rFonts w:eastAsia="Calibri" w:cs="Times New Roman"/>
        </w:rPr>
        <w:t xml:space="preserve"> or Defendant</w:t>
      </w:r>
      <w:r>
        <w:rPr>
          <w:rFonts w:eastAsia="Calibri" w:cs="Times New Roman"/>
        </w:rPr>
        <w:t>)</w:t>
      </w:r>
      <w:r w:rsidR="008A0833">
        <w:rPr>
          <w:rFonts w:eastAsia="Calibri" w:cs="Times New Roman"/>
        </w:rPr>
        <w:t xml:space="preserve">.  Complainant alleges that </w:t>
      </w:r>
      <w:r w:rsidR="00C21CD0">
        <w:rPr>
          <w:rFonts w:eastAsia="Calibri" w:cs="Times New Roman"/>
        </w:rPr>
        <w:t>she has been without landline or internet service at her residence</w:t>
      </w:r>
      <w:r w:rsidR="00340002">
        <w:rPr>
          <w:rFonts w:eastAsia="Calibri" w:cs="Times New Roman"/>
        </w:rPr>
        <w:t xml:space="preserve"> since August 2024</w:t>
      </w:r>
      <w:r w:rsidR="00C21CD0">
        <w:rPr>
          <w:rFonts w:eastAsia="Calibri" w:cs="Times New Roman"/>
        </w:rPr>
        <w:t xml:space="preserve">, which resulted in relocating her mother to another residence.  </w:t>
      </w:r>
      <w:r w:rsidR="000627FD">
        <w:rPr>
          <w:rFonts w:eastAsia="Calibri" w:cs="Times New Roman"/>
        </w:rPr>
        <w:t xml:space="preserve">On </w:t>
      </w:r>
      <w:r w:rsidR="00C21CD0">
        <w:rPr>
          <w:rFonts w:eastAsia="Calibri" w:cs="Times New Roman"/>
        </w:rPr>
        <w:t>November 6, 2025</w:t>
      </w:r>
      <w:r w:rsidR="000627FD">
        <w:rPr>
          <w:rFonts w:eastAsia="Calibri" w:cs="Times New Roman"/>
        </w:rPr>
        <w:t xml:space="preserve">, </w:t>
      </w:r>
      <w:r>
        <w:rPr>
          <w:rFonts w:eastAsia="Calibri" w:cs="Times New Roman"/>
        </w:rPr>
        <w:t xml:space="preserve">Defendant </w:t>
      </w:r>
      <w:r w:rsidR="00C21CD0">
        <w:rPr>
          <w:rFonts w:eastAsia="Calibri" w:cs="Times New Roman"/>
        </w:rPr>
        <w:t>filed an answer</w:t>
      </w:r>
      <w:r w:rsidR="000627FD">
        <w:rPr>
          <w:rFonts w:eastAsia="Calibri" w:cs="Times New Roman"/>
        </w:rPr>
        <w:t xml:space="preserve"> </w:t>
      </w:r>
      <w:r w:rsidR="00C21CD0">
        <w:rPr>
          <w:rFonts w:eastAsia="Calibri" w:cs="Times New Roman"/>
        </w:rPr>
        <w:t>to</w:t>
      </w:r>
      <w:r>
        <w:rPr>
          <w:rFonts w:eastAsia="Calibri" w:cs="Times New Roman"/>
        </w:rPr>
        <w:t xml:space="preserve"> the complaint. </w:t>
      </w:r>
    </w:p>
    <w:p w:rsidR="00674655" w:rsidP="00674655" w:rsidRDefault="00C21CD0" w14:paraId="70D65A5F" w14:textId="3AACFAFA">
      <w:pPr>
        <w:pStyle w:val="Standard"/>
        <w:rPr>
          <w:rFonts w:eastAsia="Calibri" w:cs="Times New Roman"/>
        </w:rPr>
      </w:pPr>
      <w:r>
        <w:rPr>
          <w:rFonts w:eastAsia="Calibri" w:cs="Times New Roman"/>
        </w:rPr>
        <w:lastRenderedPageBreak/>
        <w:t>On February 9, 2026, an evidentiary hearing was held.  On February 10, 202</w:t>
      </w:r>
      <w:r w:rsidR="00674655">
        <w:rPr>
          <w:rFonts w:eastAsia="Calibri" w:cs="Times New Roman"/>
        </w:rPr>
        <w:t>6</w:t>
      </w:r>
      <w:r>
        <w:rPr>
          <w:rFonts w:eastAsia="Calibri" w:cs="Times New Roman"/>
        </w:rPr>
        <w:t>, Administrative Law Judge (ALJ) Sasha Goldberg issued a ruling requesting additional information and memorializing the hearing.  On February 17, 202</w:t>
      </w:r>
      <w:r w:rsidR="00674655">
        <w:rPr>
          <w:rFonts w:eastAsia="Calibri" w:cs="Times New Roman"/>
        </w:rPr>
        <w:t>6</w:t>
      </w:r>
      <w:r>
        <w:rPr>
          <w:rFonts w:eastAsia="Calibri" w:cs="Times New Roman"/>
        </w:rPr>
        <w:t xml:space="preserve">, AT&amp;T </w:t>
      </w:r>
      <w:r w:rsidR="00674655">
        <w:rPr>
          <w:rFonts w:eastAsia="Calibri" w:cs="Times New Roman"/>
        </w:rPr>
        <w:t>filed</w:t>
      </w:r>
      <w:r>
        <w:rPr>
          <w:rFonts w:eastAsia="Calibri" w:cs="Times New Roman"/>
        </w:rPr>
        <w:t xml:space="preserve"> a </w:t>
      </w:r>
      <w:r w:rsidR="004663D2">
        <w:rPr>
          <w:rFonts w:eastAsia="Calibri" w:cs="Times New Roman"/>
        </w:rPr>
        <w:t>r</w:t>
      </w:r>
      <w:r w:rsidR="00674655">
        <w:rPr>
          <w:rFonts w:eastAsia="Calibri" w:cs="Times New Roman"/>
        </w:rPr>
        <w:t xml:space="preserve">esponse to </w:t>
      </w:r>
      <w:r w:rsidR="004663D2">
        <w:rPr>
          <w:rFonts w:eastAsia="Calibri" w:cs="Times New Roman"/>
        </w:rPr>
        <w:t xml:space="preserve">the </w:t>
      </w:r>
      <w:r w:rsidR="00674655">
        <w:rPr>
          <w:rFonts w:eastAsia="Calibri" w:cs="Times New Roman"/>
        </w:rPr>
        <w:t xml:space="preserve">ALJ’s </w:t>
      </w:r>
      <w:r w:rsidR="004663D2">
        <w:rPr>
          <w:rFonts w:eastAsia="Calibri" w:cs="Times New Roman"/>
        </w:rPr>
        <w:t>r</w:t>
      </w:r>
      <w:r w:rsidR="00674655">
        <w:rPr>
          <w:rFonts w:eastAsia="Calibri" w:cs="Times New Roman"/>
        </w:rPr>
        <w:t xml:space="preserve">uling </w:t>
      </w:r>
      <w:r w:rsidR="00340002">
        <w:rPr>
          <w:rFonts w:eastAsia="Calibri" w:cs="Times New Roman"/>
        </w:rPr>
        <w:t>(AT&amp;T Response)</w:t>
      </w:r>
      <w:r w:rsidR="00674655">
        <w:rPr>
          <w:rFonts w:eastAsia="Calibri" w:cs="Times New Roman"/>
        </w:rPr>
        <w:t xml:space="preserve">. </w:t>
      </w:r>
      <w:r w:rsidR="00AC3BB2">
        <w:rPr>
          <w:rFonts w:eastAsia="Calibri" w:cs="Times New Roman"/>
        </w:rPr>
        <w:t xml:space="preserve"> </w:t>
      </w:r>
      <w:r w:rsidR="00674655">
        <w:rPr>
          <w:rFonts w:eastAsia="Calibri" w:cs="Times New Roman"/>
        </w:rPr>
        <w:t xml:space="preserve">On April 24, 2026, ALJ Golberg issued a ruling ordering updated billing information.  On April 30, 2026, AT&amp;T filed a </w:t>
      </w:r>
      <w:r w:rsidR="004663D2">
        <w:rPr>
          <w:rFonts w:eastAsia="Calibri" w:cs="Times New Roman"/>
        </w:rPr>
        <w:t>r</w:t>
      </w:r>
      <w:r w:rsidR="00674655">
        <w:rPr>
          <w:rFonts w:eastAsia="Calibri" w:cs="Times New Roman"/>
        </w:rPr>
        <w:t xml:space="preserve">esponse to </w:t>
      </w:r>
      <w:r w:rsidR="004663D2">
        <w:rPr>
          <w:rFonts w:eastAsia="Calibri" w:cs="Times New Roman"/>
        </w:rPr>
        <w:t xml:space="preserve">the </w:t>
      </w:r>
      <w:r w:rsidR="00674655">
        <w:rPr>
          <w:rFonts w:eastAsia="Calibri" w:cs="Times New Roman"/>
        </w:rPr>
        <w:t xml:space="preserve">ALJ’s </w:t>
      </w:r>
      <w:r w:rsidR="004663D2">
        <w:rPr>
          <w:rFonts w:eastAsia="Calibri" w:cs="Times New Roman"/>
        </w:rPr>
        <w:t>r</w:t>
      </w:r>
      <w:r w:rsidR="00674655">
        <w:rPr>
          <w:rFonts w:eastAsia="Calibri" w:cs="Times New Roman"/>
        </w:rPr>
        <w:t xml:space="preserve">uling </w:t>
      </w:r>
      <w:r w:rsidR="004663D2">
        <w:rPr>
          <w:rFonts w:eastAsia="Calibri" w:cs="Times New Roman"/>
        </w:rPr>
        <w:t>on u</w:t>
      </w:r>
      <w:r w:rsidR="00674655">
        <w:rPr>
          <w:rFonts w:eastAsia="Calibri" w:cs="Times New Roman"/>
        </w:rPr>
        <w:t xml:space="preserve">pdated </w:t>
      </w:r>
      <w:r w:rsidR="004663D2">
        <w:rPr>
          <w:rFonts w:eastAsia="Calibri" w:cs="Times New Roman"/>
        </w:rPr>
        <w:t>b</w:t>
      </w:r>
      <w:r w:rsidR="00674655">
        <w:rPr>
          <w:rFonts w:eastAsia="Calibri" w:cs="Times New Roman"/>
        </w:rPr>
        <w:t xml:space="preserve">illing </w:t>
      </w:r>
      <w:r w:rsidR="004663D2">
        <w:rPr>
          <w:rFonts w:eastAsia="Calibri" w:cs="Times New Roman"/>
        </w:rPr>
        <w:t>i</w:t>
      </w:r>
      <w:r w:rsidR="00674655">
        <w:rPr>
          <w:rFonts w:eastAsia="Calibri" w:cs="Times New Roman"/>
        </w:rPr>
        <w:t>nformation.</w:t>
      </w:r>
    </w:p>
    <w:p w:rsidR="00674655" w:rsidP="00674655" w:rsidRDefault="00674655" w14:paraId="0416D1BA" w14:textId="54336F13">
      <w:pPr>
        <w:pStyle w:val="Standard"/>
        <w:rPr>
          <w:rFonts w:eastAsia="Calibri" w:cs="Times New Roman"/>
        </w:rPr>
      </w:pPr>
      <w:r>
        <w:rPr>
          <w:rFonts w:eastAsia="Calibri" w:cs="Times New Roman"/>
        </w:rPr>
        <w:t xml:space="preserve">On August 3, 2026, the proceeding was reassigned from ALJ Golberg to ALJ Debbie Chiv.  On August 18, 2026, ALJ Chiv issued a ruling seeking a joint response on the status of the proceeding.  On September 1, 2026, AT&amp;T and Ms. Jake filed a Joint Response to </w:t>
      </w:r>
      <w:r w:rsidR="004663D2">
        <w:rPr>
          <w:rFonts w:eastAsia="Calibri" w:cs="Times New Roman"/>
        </w:rPr>
        <w:t xml:space="preserve">the </w:t>
      </w:r>
      <w:r>
        <w:rPr>
          <w:rFonts w:eastAsia="Calibri" w:cs="Times New Roman"/>
        </w:rPr>
        <w:t xml:space="preserve">ALJ’s </w:t>
      </w:r>
      <w:r w:rsidR="004663D2">
        <w:rPr>
          <w:rFonts w:eastAsia="Calibri" w:cs="Times New Roman"/>
        </w:rPr>
        <w:t>r</w:t>
      </w:r>
      <w:r>
        <w:rPr>
          <w:rFonts w:eastAsia="Calibri" w:cs="Times New Roman"/>
        </w:rPr>
        <w:t xml:space="preserve">uling on </w:t>
      </w:r>
      <w:r w:rsidR="004663D2">
        <w:rPr>
          <w:rFonts w:eastAsia="Calibri" w:cs="Times New Roman"/>
        </w:rPr>
        <w:t>the s</w:t>
      </w:r>
      <w:r>
        <w:rPr>
          <w:rFonts w:eastAsia="Calibri" w:cs="Times New Roman"/>
        </w:rPr>
        <w:t xml:space="preserve">tatus of </w:t>
      </w:r>
      <w:r w:rsidR="004663D2">
        <w:rPr>
          <w:rFonts w:eastAsia="Calibri" w:cs="Times New Roman"/>
        </w:rPr>
        <w:t>the p</w:t>
      </w:r>
      <w:r>
        <w:rPr>
          <w:rFonts w:eastAsia="Calibri" w:cs="Times New Roman"/>
        </w:rPr>
        <w:t>roceeding</w:t>
      </w:r>
      <w:r w:rsidR="00340002">
        <w:rPr>
          <w:rFonts w:eastAsia="Calibri" w:cs="Times New Roman"/>
        </w:rPr>
        <w:t xml:space="preserve"> (Joint Response)</w:t>
      </w:r>
      <w:r>
        <w:rPr>
          <w:rFonts w:eastAsia="Calibri" w:cs="Times New Roman"/>
        </w:rPr>
        <w:t>.</w:t>
      </w:r>
    </w:p>
    <w:p w:rsidR="000627FD" w:rsidP="000627FD" w:rsidRDefault="00AC3BB2" w14:paraId="66BF9DE9" w14:textId="4BD4BEA5">
      <w:pPr>
        <w:pStyle w:val="Heading1"/>
        <w:numPr>
          <w:ilvl w:val="0"/>
          <w:numId w:val="4"/>
        </w:numPr>
        <w:spacing w:before="0" w:after="120" w:line="240" w:lineRule="auto"/>
        <w:ind w:right="2160" w:hanging="720"/>
        <w:rPr>
          <w:rFonts w:ascii="Arial" w:hAnsi="Arial"/>
          <w:b/>
          <w:color w:val="auto"/>
          <w:sz w:val="26"/>
          <w:szCs w:val="32"/>
        </w:rPr>
      </w:pPr>
      <w:bookmarkStart w:name="_Hlk94170269" w:id="3"/>
      <w:r w:rsidRPr="005D2117">
        <w:rPr>
          <w:rFonts w:ascii="Arial" w:hAnsi="Arial"/>
          <w:b/>
          <w:color w:val="auto"/>
          <w:sz w:val="26"/>
          <w:szCs w:val="32"/>
        </w:rPr>
        <w:t>Complainant’s Contentions</w:t>
      </w:r>
      <w:bookmarkEnd w:id="3"/>
    </w:p>
    <w:p w:rsidR="006747CC" w:rsidP="000547C1" w:rsidRDefault="00674655" w14:paraId="4BD5095C" w14:textId="679518E0">
      <w:r>
        <w:t xml:space="preserve">Complainant contends that </w:t>
      </w:r>
      <w:r w:rsidR="006747CC">
        <w:t>beginning in August 2024, AT&amp;T stopped providing landline and internet service to her residence.</w:t>
      </w:r>
      <w:r w:rsidR="00340002">
        <w:rPr>
          <w:rStyle w:val="FootnoteReference"/>
        </w:rPr>
        <w:footnoteReference w:id="1"/>
      </w:r>
      <w:r w:rsidR="006747CC">
        <w:t xml:space="preserve">  Ms. Jake </w:t>
      </w:r>
      <w:r w:rsidR="00340002">
        <w:t>states</w:t>
      </w:r>
      <w:r w:rsidR="006747CC">
        <w:t xml:space="preserve"> that although she was not receiving service, she was being billed for the service.  Ms. Jake state</w:t>
      </w:r>
      <w:r w:rsidR="00340002">
        <w:t>s</w:t>
      </w:r>
      <w:r w:rsidR="006747CC">
        <w:t xml:space="preserve"> that her elderly mother also lived at the residence and that Ms. Jake used the landline and Wi-Fi-enabled cameras to monitor her mother.  </w:t>
      </w:r>
      <w:r w:rsidR="00340002">
        <w:t>Without</w:t>
      </w:r>
      <w:r w:rsidR="006747CC">
        <w:t xml:space="preserve"> internet or landline </w:t>
      </w:r>
      <w:r w:rsidR="00340002">
        <w:t xml:space="preserve">service </w:t>
      </w:r>
      <w:r w:rsidR="006747CC">
        <w:t xml:space="preserve">at her residence, </w:t>
      </w:r>
      <w:r w:rsidR="00340002">
        <w:t xml:space="preserve">Ms. Jake contends that </w:t>
      </w:r>
      <w:r w:rsidR="006747CC">
        <w:t xml:space="preserve">this </w:t>
      </w:r>
      <w:r w:rsidR="00340002">
        <w:t>has been</w:t>
      </w:r>
      <w:r w:rsidR="006747CC">
        <w:t xml:space="preserve"> a safety concern for her mother</w:t>
      </w:r>
      <w:r w:rsidR="00340002">
        <w:t xml:space="preserve">, </w:t>
      </w:r>
      <w:r w:rsidR="006747CC">
        <w:t xml:space="preserve">that </w:t>
      </w:r>
      <w:r w:rsidR="000547C1">
        <w:t xml:space="preserve">the connection issues have caused financial strain, and </w:t>
      </w:r>
      <w:r w:rsidR="00340002">
        <w:t xml:space="preserve">that she was </w:t>
      </w:r>
      <w:r w:rsidR="000547C1">
        <w:t xml:space="preserve">forced </w:t>
      </w:r>
      <w:r w:rsidR="006747CC">
        <w:t>to relocate her mother</w:t>
      </w:r>
      <w:r w:rsidR="000547C1">
        <w:t xml:space="preserve">.  </w:t>
      </w:r>
      <w:r w:rsidR="006747CC">
        <w:t xml:space="preserve">Ms. Jake </w:t>
      </w:r>
      <w:r w:rsidR="00340002">
        <w:t>asserts</w:t>
      </w:r>
      <w:r w:rsidR="006747CC">
        <w:t xml:space="preserve"> that AT&amp;T has stated that the power outage was due to copper theft.</w:t>
      </w:r>
    </w:p>
    <w:p w:rsidR="0077776C" w:rsidP="000547C1" w:rsidRDefault="0077776C" w14:paraId="75DEB85C" w14:textId="4A5E4B69">
      <w:r>
        <w:t xml:space="preserve">Ms. Jake requests the following relief: (1) to have her landline reconnected with a dial tone, </w:t>
      </w:r>
      <w:r w:rsidR="00B86D4C">
        <w:t xml:space="preserve">and </w:t>
      </w:r>
      <w:r>
        <w:t>(2) to have her internet reconnected without interruption.</w:t>
      </w:r>
    </w:p>
    <w:p w:rsidR="00D50977" w:rsidP="000547C1" w:rsidRDefault="00D50977" w14:paraId="0B6944C0" w14:textId="4F0C12C6">
      <w:r>
        <w:lastRenderedPageBreak/>
        <w:t xml:space="preserve">In </w:t>
      </w:r>
      <w:r w:rsidR="00B86D4C">
        <w:t>the</w:t>
      </w:r>
      <w:r w:rsidR="00340002">
        <w:t xml:space="preserve"> </w:t>
      </w:r>
      <w:r>
        <w:t xml:space="preserve">Joint Response, </w:t>
      </w:r>
      <w:r w:rsidR="00B86D4C">
        <w:t>Ms. Jake</w:t>
      </w:r>
      <w:r>
        <w:t xml:space="preserve"> </w:t>
      </w:r>
      <w:r w:rsidR="00340002">
        <w:t>asserts</w:t>
      </w:r>
      <w:r>
        <w:t xml:space="preserve"> that she still does not have landline service.</w:t>
      </w:r>
      <w:r w:rsidR="00340002">
        <w:rPr>
          <w:rStyle w:val="FootnoteReference"/>
        </w:rPr>
        <w:footnoteReference w:id="2"/>
      </w:r>
      <w:r w:rsidR="00340002">
        <w:t xml:space="preserve">  </w:t>
      </w:r>
      <w:r w:rsidR="00AF72FA">
        <w:t xml:space="preserve">In response to the offer outlined by AT&amp;T in the Joint Response, </w:t>
      </w:r>
      <w:r w:rsidR="003C11FD">
        <w:t xml:space="preserve">Ms. Jake contends that she did not receive </w:t>
      </w:r>
      <w:r w:rsidR="00340002">
        <w:t>AT&amp;T’s</w:t>
      </w:r>
      <w:r w:rsidR="003C11FD">
        <w:t xml:space="preserve"> offer from the February 9, 2026 hearing in writing.</w:t>
      </w:r>
    </w:p>
    <w:p w:rsidR="008971E9" w:rsidP="002A7DD9" w:rsidRDefault="00AC3BB2" w14:paraId="06954607" w14:textId="1FFA774E">
      <w:pPr>
        <w:pStyle w:val="Heading1"/>
        <w:numPr>
          <w:ilvl w:val="0"/>
          <w:numId w:val="4"/>
        </w:numPr>
        <w:spacing w:before="0" w:after="120" w:line="240" w:lineRule="auto"/>
        <w:ind w:right="2160" w:hanging="720"/>
        <w:rPr>
          <w:rFonts w:ascii="Arial" w:hAnsi="Arial"/>
          <w:b/>
          <w:color w:val="auto"/>
          <w:sz w:val="26"/>
          <w:szCs w:val="32"/>
        </w:rPr>
      </w:pPr>
      <w:r w:rsidRPr="005D2117">
        <w:rPr>
          <w:rFonts w:ascii="Arial" w:hAnsi="Arial"/>
          <w:b/>
          <w:color w:val="auto"/>
          <w:sz w:val="26"/>
          <w:szCs w:val="32"/>
        </w:rPr>
        <w:t>Defendant’s Contentions</w:t>
      </w:r>
    </w:p>
    <w:p w:rsidR="0077776C" w:rsidP="0077776C" w:rsidRDefault="0077776C" w14:paraId="3DD534D9" w14:textId="7235AEDD">
      <w:r>
        <w:t>Defendant contends that Ms. Jake’s internet and wireline service was disrupted by copper theft and vandalism.</w:t>
      </w:r>
      <w:r w:rsidR="00F94ACC">
        <w:rPr>
          <w:rStyle w:val="FootnoteReference"/>
        </w:rPr>
        <w:footnoteReference w:id="3"/>
      </w:r>
      <w:r>
        <w:t xml:space="preserve">  AT&amp;T asserts that</w:t>
      </w:r>
      <w:r w:rsidR="00B86D4C">
        <w:t xml:space="preserve"> it</w:t>
      </w:r>
      <w:r>
        <w:t xml:space="preserve"> adjusted her bills from the </w:t>
      </w:r>
      <w:r w:rsidR="00B86D4C">
        <w:t>beginning</w:t>
      </w:r>
      <w:r>
        <w:t xml:space="preserve"> of the outage and will continue to issue bill credits until services are restored.  AT&amp;T contends that Ms. Jake was offered alternative products but declined</w:t>
      </w:r>
      <w:r w:rsidR="00875412">
        <w:t xml:space="preserve"> these products</w:t>
      </w:r>
      <w:r>
        <w:t>.  AT&amp;T states that it is working diligently to restore service, but that “restoration requires extensive work due to the significant damage caused by the copper theft and vandalism.”</w:t>
      </w:r>
      <w:r>
        <w:rPr>
          <w:rStyle w:val="FootnoteReference"/>
        </w:rPr>
        <w:footnoteReference w:id="4"/>
      </w:r>
    </w:p>
    <w:p w:rsidR="00497C61" w:rsidP="00497C61" w:rsidRDefault="0077776C" w14:paraId="03C6CB37" w14:textId="25DCB9E0">
      <w:r>
        <w:t>AT&amp;T asserts that the Commission lacks jurisdiction over broadband service.  AT&amp;T denies that Ms. Jake is entitled to any relief and requests the complaint be dismissed.</w:t>
      </w:r>
    </w:p>
    <w:p w:rsidR="00497C61" w:rsidP="0077776C" w:rsidRDefault="0077776C" w14:paraId="135D3F2D" w14:textId="1BB0F337">
      <w:r>
        <w:t xml:space="preserve">In </w:t>
      </w:r>
      <w:r w:rsidR="00875412">
        <w:t xml:space="preserve">the </w:t>
      </w:r>
      <w:r>
        <w:t xml:space="preserve">February </w:t>
      </w:r>
      <w:r w:rsidR="00875412">
        <w:t xml:space="preserve">17, </w:t>
      </w:r>
      <w:r>
        <w:t xml:space="preserve">2026 </w:t>
      </w:r>
      <w:r w:rsidR="00875412">
        <w:t xml:space="preserve">AT&amp;T </w:t>
      </w:r>
      <w:r>
        <w:t xml:space="preserve">Response, AT&amp;T </w:t>
      </w:r>
      <w:r w:rsidR="00497C61">
        <w:t>state</w:t>
      </w:r>
      <w:r w:rsidR="00875412">
        <w:t>s</w:t>
      </w:r>
      <w:r w:rsidR="00497C61">
        <w:t xml:space="preserve"> that it offered Ms. Jake the following </w:t>
      </w:r>
      <w:r w:rsidR="00875412">
        <w:t>at the hearing</w:t>
      </w:r>
      <w:r w:rsidR="00497C61">
        <w:t xml:space="preserve">: (1) temporarily providing Voice Over Internet Protocol (VoIP) </w:t>
      </w:r>
      <w:r w:rsidR="00B86D4C">
        <w:t xml:space="preserve">service </w:t>
      </w:r>
      <w:r w:rsidR="00497C61">
        <w:t xml:space="preserve">until AT&amp;T </w:t>
      </w:r>
      <w:r w:rsidR="00B86D4C">
        <w:t>can provide</w:t>
      </w:r>
      <w:r w:rsidR="00497C61">
        <w:t xml:space="preserve"> landline service, (2) credits to Ms. Jake’s monthly bill to receive the same price for VoIP as she would </w:t>
      </w:r>
      <w:r w:rsidR="00B86D4C">
        <w:t>have paid</w:t>
      </w:r>
      <w:r w:rsidR="00497C61">
        <w:t xml:space="preserve"> for landline service, and (3) an additional $10 in monthly credits to VoIP service so </w:t>
      </w:r>
      <w:r w:rsidR="004663D2">
        <w:t xml:space="preserve">that </w:t>
      </w:r>
      <w:r w:rsidR="00497C61">
        <w:t xml:space="preserve">VoIP </w:t>
      </w:r>
      <w:r w:rsidR="004663D2">
        <w:t xml:space="preserve">service </w:t>
      </w:r>
      <w:r w:rsidR="00497C61">
        <w:t>would cost $10 less than the lifeline service rate.</w:t>
      </w:r>
      <w:r w:rsidR="00875412">
        <w:rPr>
          <w:rStyle w:val="FootnoteReference"/>
        </w:rPr>
        <w:footnoteReference w:id="5"/>
      </w:r>
      <w:r w:rsidR="00783C44">
        <w:t xml:space="preserve">  </w:t>
      </w:r>
      <w:r w:rsidR="00875412">
        <w:t xml:space="preserve">In the Joint Response, </w:t>
      </w:r>
      <w:r w:rsidR="00783C44">
        <w:t xml:space="preserve">AT&amp;T </w:t>
      </w:r>
      <w:r w:rsidR="00875412">
        <w:t>states</w:t>
      </w:r>
      <w:r w:rsidR="00783C44">
        <w:t xml:space="preserve"> that it outlined</w:t>
      </w:r>
      <w:r w:rsidR="00875412">
        <w:t xml:space="preserve"> this</w:t>
      </w:r>
      <w:r w:rsidR="00783C44">
        <w:t xml:space="preserve"> offer in </w:t>
      </w:r>
      <w:r w:rsidR="00B86D4C">
        <w:t>its</w:t>
      </w:r>
      <w:r w:rsidR="00783C44">
        <w:t xml:space="preserve"> February 17, 2026 </w:t>
      </w:r>
      <w:r w:rsidR="00B86D4C">
        <w:t xml:space="preserve">AT&amp;T Response </w:t>
      </w:r>
      <w:r w:rsidR="00783C44">
        <w:t xml:space="preserve">but </w:t>
      </w:r>
      <w:r w:rsidR="00B86D4C">
        <w:t xml:space="preserve">that </w:t>
      </w:r>
      <w:r w:rsidR="00783C44">
        <w:t>Ms. Jake did not accept the offer.</w:t>
      </w:r>
    </w:p>
    <w:p w:rsidR="0077776C" w:rsidP="00497C61" w:rsidRDefault="00497C61" w14:paraId="044CE2C4" w14:textId="491BCC44">
      <w:r>
        <w:lastRenderedPageBreak/>
        <w:t xml:space="preserve">In </w:t>
      </w:r>
      <w:r w:rsidR="00875412">
        <w:t>the Joint</w:t>
      </w:r>
      <w:r>
        <w:t xml:space="preserve"> Response, AT&amp;T </w:t>
      </w:r>
      <w:r w:rsidR="00875412">
        <w:t>memorialized</w:t>
      </w:r>
      <w:r w:rsidR="0077776C">
        <w:t xml:space="preserve"> </w:t>
      </w:r>
      <w:r w:rsidR="00B86D4C">
        <w:t xml:space="preserve">a </w:t>
      </w:r>
      <w:r w:rsidR="0077776C">
        <w:t>timeline</w:t>
      </w:r>
      <w:r w:rsidR="00B86D4C">
        <w:t xml:space="preserve"> of events</w:t>
      </w:r>
      <w:r w:rsidR="0077776C">
        <w:t xml:space="preserve">, </w:t>
      </w:r>
      <w:r w:rsidR="004663D2">
        <w:t xml:space="preserve">as </w:t>
      </w:r>
      <w:r w:rsidR="0077776C">
        <w:t>summarized below:</w:t>
      </w:r>
    </w:p>
    <w:p w:rsidR="00875412" w:rsidP="00275804" w:rsidRDefault="0077776C" w14:paraId="3028CFA2" w14:textId="2A534463">
      <w:pPr>
        <w:pStyle w:val="ListParagraph"/>
        <w:numPr>
          <w:ilvl w:val="0"/>
          <w:numId w:val="11"/>
        </w:numPr>
        <w:spacing w:after="120" w:line="240" w:lineRule="auto"/>
        <w:ind w:right="1440"/>
        <w:contextualSpacing w:val="0"/>
      </w:pPr>
      <w:r>
        <w:t xml:space="preserve">September </w:t>
      </w:r>
      <w:r w:rsidR="00497C61">
        <w:t xml:space="preserve">19, </w:t>
      </w:r>
      <w:r>
        <w:t>2024: AT&amp;T became aware of an outage caused by copper theft that affected many customers, including Ms. Jake.</w:t>
      </w:r>
      <w:r w:rsidR="003866EF">
        <w:t xml:space="preserve">  AT&amp;T determined there was no working copper cables available to the service terminal, which means there was no available copper wiring to Ms. Jake’s home.</w:t>
      </w:r>
    </w:p>
    <w:p w:rsidR="00875412" w:rsidP="00275804" w:rsidRDefault="003866EF" w14:paraId="5AD46F65" w14:textId="07D2B632">
      <w:pPr>
        <w:pStyle w:val="ListParagraph"/>
        <w:numPr>
          <w:ilvl w:val="0"/>
          <w:numId w:val="11"/>
        </w:numPr>
        <w:spacing w:after="120" w:line="240" w:lineRule="auto"/>
        <w:ind w:right="1440"/>
        <w:contextualSpacing w:val="0"/>
      </w:pPr>
      <w:r>
        <w:t xml:space="preserve">November </w:t>
      </w:r>
      <w:r w:rsidR="00497C61">
        <w:t xml:space="preserve">5, </w:t>
      </w:r>
      <w:r>
        <w:t>2024: AT&amp;T asserts that Ms. Jake initially contacted AT&amp;T regarding the outage and was told the outage was due to copper cable theft.</w:t>
      </w:r>
    </w:p>
    <w:p w:rsidR="00875412" w:rsidP="00275804" w:rsidRDefault="003866EF" w14:paraId="7EBBF7D0" w14:textId="13548842">
      <w:pPr>
        <w:pStyle w:val="ListParagraph"/>
        <w:numPr>
          <w:ilvl w:val="0"/>
          <w:numId w:val="11"/>
        </w:numPr>
        <w:spacing w:after="120" w:line="240" w:lineRule="auto"/>
        <w:ind w:right="1440"/>
        <w:contextualSpacing w:val="0"/>
      </w:pPr>
      <w:r>
        <w:t xml:space="preserve">July </w:t>
      </w:r>
      <w:r w:rsidR="00497C61">
        <w:t xml:space="preserve">3, </w:t>
      </w:r>
      <w:r>
        <w:t xml:space="preserve">2025: As multiple cable thefts occurred in the same area as Ms. Jake’s home in the same time period, AT&amp;T grouped the outages </w:t>
      </w:r>
      <w:r w:rsidR="00A14967">
        <w:t>under</w:t>
      </w:r>
      <w:r>
        <w:t xml:space="preserve"> one repair ticket.  Work on the repair ticket began in July 2025.</w:t>
      </w:r>
    </w:p>
    <w:p w:rsidR="00875412" w:rsidP="00275804" w:rsidRDefault="00AB0051" w14:paraId="457396FA" w14:textId="556FFDDF">
      <w:pPr>
        <w:pStyle w:val="ListParagraph"/>
        <w:numPr>
          <w:ilvl w:val="0"/>
          <w:numId w:val="11"/>
        </w:numPr>
        <w:spacing w:after="120" w:line="240" w:lineRule="auto"/>
        <w:ind w:right="1440"/>
        <w:contextualSpacing w:val="0"/>
      </w:pPr>
      <w:r>
        <w:t xml:space="preserve">August </w:t>
      </w:r>
      <w:r w:rsidR="00497C61">
        <w:t xml:space="preserve">7, </w:t>
      </w:r>
      <w:r>
        <w:t>2025: AT&amp;T identified that the cable damage that caused Ms. Jake’s outage was inside a manhole that feeds the serving area interface.</w:t>
      </w:r>
    </w:p>
    <w:p w:rsidR="00875412" w:rsidP="00275804" w:rsidRDefault="00AB0051" w14:paraId="11AE94C4" w14:textId="0048220F">
      <w:pPr>
        <w:pStyle w:val="ListParagraph"/>
        <w:numPr>
          <w:ilvl w:val="0"/>
          <w:numId w:val="11"/>
        </w:numPr>
        <w:spacing w:after="120" w:line="240" w:lineRule="auto"/>
        <w:ind w:right="1440"/>
        <w:contextualSpacing w:val="0"/>
      </w:pPr>
      <w:r>
        <w:t xml:space="preserve">November </w:t>
      </w:r>
      <w:r w:rsidR="00497C61">
        <w:t xml:space="preserve">4-5, </w:t>
      </w:r>
      <w:r>
        <w:t xml:space="preserve">2025: AT&amp;T sent a technician to Ms. Jake’s </w:t>
      </w:r>
      <w:r w:rsidR="00A14967">
        <w:t>residence</w:t>
      </w:r>
      <w:r>
        <w:t xml:space="preserve"> but she was not home.</w:t>
      </w:r>
      <w:r w:rsidR="00497C61">
        <w:t xml:space="preserve">  AT&amp;T communicated to Ms. Jake as to the location of the damage.  AT&amp;T identified </w:t>
      </w:r>
      <w:r w:rsidR="00A14967">
        <w:t>a</w:t>
      </w:r>
      <w:r w:rsidR="00497C61">
        <w:t xml:space="preserve"> working pair of fiber and was able to connect broadband over copper to Ms. Jake’s home to restore internet service and </w:t>
      </w:r>
      <w:r w:rsidR="00875412">
        <w:t>VoIP</w:t>
      </w:r>
      <w:r w:rsidR="00497C61">
        <w:t>.  Ms. Jake declined the VoIP service.</w:t>
      </w:r>
    </w:p>
    <w:p w:rsidR="00875412" w:rsidP="00275804" w:rsidRDefault="00497C61" w14:paraId="053484C5" w14:textId="017A3937">
      <w:pPr>
        <w:pStyle w:val="ListParagraph"/>
        <w:numPr>
          <w:ilvl w:val="0"/>
          <w:numId w:val="11"/>
        </w:numPr>
        <w:spacing w:after="120" w:line="240" w:lineRule="auto"/>
        <w:ind w:right="1440"/>
        <w:contextualSpacing w:val="0"/>
      </w:pPr>
      <w:r>
        <w:t>November 8, 2025: Ms. Jake’s internet service was restored.</w:t>
      </w:r>
    </w:p>
    <w:p w:rsidR="00875412" w:rsidP="00275804" w:rsidRDefault="00497C61" w14:paraId="1C767AA7" w14:textId="4110A087">
      <w:pPr>
        <w:pStyle w:val="ListParagraph"/>
        <w:numPr>
          <w:ilvl w:val="0"/>
          <w:numId w:val="11"/>
        </w:numPr>
        <w:spacing w:after="120" w:line="240" w:lineRule="auto"/>
        <w:ind w:right="1440"/>
        <w:contextualSpacing w:val="0"/>
      </w:pPr>
      <w:r>
        <w:t>November 19, 2025: Another copper theft outage was reported in Ms. Jake’s neighborhood and AT&amp;T dispatched a repair crew.</w:t>
      </w:r>
    </w:p>
    <w:p w:rsidR="00875412" w:rsidP="00275804" w:rsidRDefault="00497C61" w14:paraId="0E4129BF" w14:textId="4AEDC0EC">
      <w:pPr>
        <w:pStyle w:val="ListParagraph"/>
        <w:numPr>
          <w:ilvl w:val="0"/>
          <w:numId w:val="11"/>
        </w:numPr>
        <w:spacing w:after="120" w:line="240" w:lineRule="auto"/>
        <w:ind w:right="1440"/>
        <w:contextualSpacing w:val="0"/>
      </w:pPr>
      <w:r>
        <w:t xml:space="preserve">November 20-December 31, 2025: </w:t>
      </w:r>
      <w:r w:rsidR="00A14967">
        <w:t>A</w:t>
      </w:r>
      <w:r>
        <w:t>dditional theft outages occurred in Ms. Jake’s neighborhood that expanded the scope of the cable repair.</w:t>
      </w:r>
    </w:p>
    <w:p w:rsidR="00D50977" w:rsidP="00275804" w:rsidRDefault="00497C61" w14:paraId="2ED04608" w14:textId="319AF1A1">
      <w:pPr>
        <w:pStyle w:val="ListParagraph"/>
        <w:numPr>
          <w:ilvl w:val="0"/>
          <w:numId w:val="11"/>
        </w:numPr>
        <w:spacing w:after="120" w:line="240" w:lineRule="auto"/>
        <w:ind w:right="1440"/>
        <w:contextualSpacing w:val="0"/>
      </w:pPr>
      <w:r>
        <w:t>February 17, 2026: AT&amp;T estimated that Ms. Jake’s wireline service would be repaired by April 3, 2026.</w:t>
      </w:r>
    </w:p>
    <w:p w:rsidR="004663D2" w:rsidP="00E42D8E" w:rsidRDefault="00D50977" w14:paraId="0198EF93" w14:textId="77777777">
      <w:r>
        <w:t xml:space="preserve">In </w:t>
      </w:r>
      <w:r w:rsidR="00875412">
        <w:t xml:space="preserve">the </w:t>
      </w:r>
      <w:r>
        <w:t xml:space="preserve">Joint Response, AT&amp;T </w:t>
      </w:r>
      <w:r w:rsidR="00875412">
        <w:t>states</w:t>
      </w:r>
      <w:r>
        <w:t xml:space="preserve"> that on April 23, 2026, </w:t>
      </w:r>
      <w:r w:rsidR="00875412">
        <w:t xml:space="preserve">AT&amp;T reported to </w:t>
      </w:r>
      <w:r>
        <w:t xml:space="preserve">Ms. Jake via email that her landline service issue was resolved.  However, due </w:t>
      </w:r>
      <w:r>
        <w:lastRenderedPageBreak/>
        <w:t>to additional copper thef</w:t>
      </w:r>
      <w:r w:rsidR="00B86663">
        <w:t>ts</w:t>
      </w:r>
      <w:r>
        <w:t>, Ms. Jake “has experienced intermittent landline service interruptions since that time.”</w:t>
      </w:r>
      <w:r>
        <w:rPr>
          <w:rStyle w:val="FootnoteReference"/>
        </w:rPr>
        <w:footnoteReference w:id="6"/>
      </w:r>
      <w:r>
        <w:t xml:space="preserve">  AT&amp;T contends that on August 26, 2026, it restored Ms. Jake’s landline service “using a temporary restoration method that will require a permanent restoration solution that is in progress.  As of the date of this filing, Ms. Jake’s landline service is working.”</w:t>
      </w:r>
      <w:r>
        <w:rPr>
          <w:rStyle w:val="FootnoteReference"/>
        </w:rPr>
        <w:footnoteReference w:id="7"/>
      </w:r>
      <w:r>
        <w:t xml:space="preserve">  </w:t>
      </w:r>
    </w:p>
    <w:p w:rsidR="00D50977" w:rsidP="00E42D8E" w:rsidRDefault="00D50977" w14:paraId="6EF50954" w14:textId="35F809E5">
      <w:r>
        <w:t xml:space="preserve">AT&amp;T contends that additional interruptions to Ms. Jake’s landline service may occur during completion of the permanent solution, and that </w:t>
      </w:r>
      <w:r w:rsidR="00B86663">
        <w:t>the</w:t>
      </w:r>
      <w:r>
        <w:t xml:space="preserve"> current estimated completion date for the area-wide resolution is October 9, 2026</w:t>
      </w:r>
      <w:r w:rsidR="004663D2">
        <w:t>; however,</w:t>
      </w:r>
      <w:r w:rsidR="00B86663">
        <w:t xml:space="preserve"> this is not a guaranteed completion date.</w:t>
      </w:r>
      <w:r w:rsidR="00E42D8E">
        <w:t xml:space="preserve">  </w:t>
      </w:r>
      <w:r w:rsidR="00945DF7">
        <w:t>AT&amp;T asserts that it applied service credits to Ms. Jake’s account to cover landline services through September 12, 2026.</w:t>
      </w:r>
    </w:p>
    <w:p w:rsidRPr="005D2117" w:rsidR="00AC3BB2" w:rsidP="005D2117" w:rsidRDefault="00AC3BB2" w14:paraId="6E1C18EB" w14:textId="0993CFBD">
      <w:pPr>
        <w:pStyle w:val="Heading1"/>
        <w:numPr>
          <w:ilvl w:val="0"/>
          <w:numId w:val="4"/>
        </w:numPr>
        <w:spacing w:before="0" w:after="120" w:line="240" w:lineRule="auto"/>
        <w:ind w:right="2160" w:hanging="720"/>
        <w:rPr>
          <w:rFonts w:ascii="Arial" w:hAnsi="Arial"/>
          <w:b/>
          <w:color w:val="auto"/>
          <w:sz w:val="26"/>
          <w:szCs w:val="32"/>
        </w:rPr>
      </w:pPr>
      <w:r w:rsidRPr="005D2117">
        <w:rPr>
          <w:rFonts w:ascii="Arial" w:hAnsi="Arial"/>
          <w:b/>
          <w:color w:val="auto"/>
          <w:sz w:val="26"/>
          <w:szCs w:val="32"/>
        </w:rPr>
        <w:t>Discussion</w:t>
      </w:r>
    </w:p>
    <w:p w:rsidR="00C0007B" w:rsidP="00C0007B" w:rsidRDefault="00AC3BB2" w14:paraId="6134043E" w14:textId="4111B91B">
      <w:pPr>
        <w:pStyle w:val="Standard"/>
      </w:pPr>
      <w:r>
        <w:t>In a complaint proceeding, the Public Utilities Code requires that a complaint allege</w:t>
      </w:r>
      <w:r w:rsidR="007A615C">
        <w:t>,</w:t>
      </w:r>
      <w:r>
        <w:t xml:space="preserve"> “any act or thing done or omitted to be done by any public utility … in violation or claimed to be in violation, of any provision of law or of any order or rule of the commission.”</w:t>
      </w:r>
      <w:r>
        <w:rPr>
          <w:rStyle w:val="FootnoteReference"/>
        </w:rPr>
        <w:footnoteReference w:id="8"/>
      </w:r>
      <w:r>
        <w:t xml:space="preserve">  The burden of proof in a complaint proceeding is on the Complainant to demonstrate that Defendant has violated a</w:t>
      </w:r>
      <w:r w:rsidR="009A4036">
        <w:t>n applicable</w:t>
      </w:r>
      <w:r>
        <w:t xml:space="preserve"> provision of law, rule, or Commission order.</w:t>
      </w:r>
    </w:p>
    <w:p w:rsidR="00366B79" w:rsidP="000562D5" w:rsidRDefault="00C6761A" w14:paraId="728C7B96" w14:textId="5D8275BC">
      <w:pPr>
        <w:pStyle w:val="Standard"/>
      </w:pPr>
      <w:r>
        <w:t>Ms. Jake’s landline and internet service</w:t>
      </w:r>
      <w:r w:rsidR="00E42D8E">
        <w:t>s</w:t>
      </w:r>
      <w:r>
        <w:t xml:space="preserve"> ha</w:t>
      </w:r>
      <w:r w:rsidR="00E42D8E">
        <w:t>ve</w:t>
      </w:r>
      <w:r>
        <w:t xml:space="preserve"> been disrupted since on or around August 2024 due to </w:t>
      </w:r>
      <w:r w:rsidR="000562D5">
        <w:t>multiple</w:t>
      </w:r>
      <w:r>
        <w:t xml:space="preserve"> copper cable </w:t>
      </w:r>
      <w:r w:rsidR="000562D5">
        <w:t>thefts</w:t>
      </w:r>
      <w:r>
        <w:t xml:space="preserve"> </w:t>
      </w:r>
      <w:r w:rsidR="000562D5">
        <w:t xml:space="preserve">and </w:t>
      </w:r>
      <w:r w:rsidR="004663D2">
        <w:t xml:space="preserve">subsequent </w:t>
      </w:r>
      <w:r w:rsidR="000562D5">
        <w:t xml:space="preserve">restoration work </w:t>
      </w:r>
      <w:r>
        <w:t xml:space="preserve">in her neighborhood.  </w:t>
      </w:r>
      <w:r w:rsidR="003F4F23">
        <w:t>AT&amp;T began repairs to restore Ms. Jake’s landline and internet services in</w:t>
      </w:r>
      <w:r w:rsidR="004663D2">
        <w:t xml:space="preserve"> July 2025</w:t>
      </w:r>
      <w:r w:rsidR="003F4F23">
        <w:t xml:space="preserve"> but additional copper cable thefts led to further disruptions.  For example, AT&amp;T states that on</w:t>
      </w:r>
      <w:r w:rsidR="0024140F">
        <w:t xml:space="preserve"> November 8, 2025, Ms. Jake’s </w:t>
      </w:r>
      <w:r w:rsidR="00366B79">
        <w:t xml:space="preserve">internet </w:t>
      </w:r>
      <w:r w:rsidR="0024140F">
        <w:t>service was restored</w:t>
      </w:r>
      <w:r w:rsidR="003F4F23">
        <w:t xml:space="preserve"> but </w:t>
      </w:r>
      <w:r w:rsidR="00366B79">
        <w:t>from November 19</w:t>
      </w:r>
      <w:r w:rsidR="00E42D8E">
        <w:t xml:space="preserve"> to </w:t>
      </w:r>
      <w:r w:rsidR="00366B79">
        <w:t xml:space="preserve">December 31, 2025, </w:t>
      </w:r>
      <w:r w:rsidR="00366B79">
        <w:lastRenderedPageBreak/>
        <w:t xml:space="preserve">additional </w:t>
      </w:r>
      <w:r w:rsidR="0024140F">
        <w:t>copper theft</w:t>
      </w:r>
      <w:r w:rsidR="000562D5">
        <w:t xml:space="preserve">s </w:t>
      </w:r>
      <w:r w:rsidR="0024140F">
        <w:t>w</w:t>
      </w:r>
      <w:r w:rsidR="00366B79">
        <w:t>ere</w:t>
      </w:r>
      <w:r w:rsidR="0024140F">
        <w:t xml:space="preserve"> reported </w:t>
      </w:r>
      <w:r w:rsidR="00366B79">
        <w:t xml:space="preserve">in </w:t>
      </w:r>
      <w:r w:rsidR="0024140F">
        <w:t>Ms. Jake’s neighborhood</w:t>
      </w:r>
      <w:r w:rsidR="00366B79">
        <w:t>, which expanded the scope of the cable repair</w:t>
      </w:r>
      <w:r w:rsidR="0024140F">
        <w:t xml:space="preserve">. </w:t>
      </w:r>
      <w:r w:rsidR="000562D5">
        <w:t xml:space="preserve"> </w:t>
      </w:r>
      <w:r w:rsidR="003C6880">
        <w:t>AT&amp;T states that it informed</w:t>
      </w:r>
      <w:r w:rsidR="00366B79">
        <w:t xml:space="preserve"> Ms. Jake</w:t>
      </w:r>
      <w:r w:rsidR="000562D5">
        <w:t xml:space="preserve"> </w:t>
      </w:r>
      <w:r w:rsidR="003F4F23">
        <w:t xml:space="preserve">on April 23, 2026 </w:t>
      </w:r>
      <w:r w:rsidR="00366B79">
        <w:t xml:space="preserve">that her landline service was </w:t>
      </w:r>
      <w:r w:rsidR="000562D5">
        <w:t>restore</w:t>
      </w:r>
      <w:r w:rsidR="00E42D8E">
        <w:t>d</w:t>
      </w:r>
      <w:r w:rsidR="003F4F23">
        <w:t xml:space="preserve"> but </w:t>
      </w:r>
      <w:r w:rsidR="00366B79">
        <w:t xml:space="preserve">additional copper theft outages and restoration work </w:t>
      </w:r>
      <w:r w:rsidR="000562D5">
        <w:t xml:space="preserve">led to </w:t>
      </w:r>
      <w:r w:rsidR="003F4F23">
        <w:t xml:space="preserve">more </w:t>
      </w:r>
      <w:r w:rsidR="00366B79">
        <w:t>service</w:t>
      </w:r>
      <w:r w:rsidR="003F4F23">
        <w:t xml:space="preserve"> dis</w:t>
      </w:r>
      <w:r w:rsidR="00366B79">
        <w:t xml:space="preserve">ruptions.  AT&amp;T </w:t>
      </w:r>
      <w:r>
        <w:t>states</w:t>
      </w:r>
      <w:r w:rsidR="00366B79">
        <w:t xml:space="preserve"> that on August 26, 2026, Ms. Jake’s landline service was restored using a temporary restoration method and </w:t>
      </w:r>
      <w:r w:rsidR="000562D5">
        <w:t>that</w:t>
      </w:r>
      <w:r w:rsidR="00366B79">
        <w:t xml:space="preserve"> </w:t>
      </w:r>
      <w:r w:rsidR="003F4F23">
        <w:t xml:space="preserve">her </w:t>
      </w:r>
      <w:r w:rsidR="00366B79">
        <w:t>landline service was working as of September 1, 2026.  AT&amp;T asserts that the estimated completion date for area-wide restoration is October 9, 2026.</w:t>
      </w:r>
    </w:p>
    <w:p w:rsidR="00E42D8E" w:rsidP="00796274" w:rsidRDefault="003506BB" w14:paraId="6DBFC998" w14:textId="3CD9A712">
      <w:pPr>
        <w:pStyle w:val="Standard"/>
      </w:pPr>
      <w:r>
        <w:t>While the</w:t>
      </w:r>
      <w:r w:rsidR="00A96DFC">
        <w:t xml:space="preserve"> Commission recognizes Ms. Jake’s frustration that her landline service has been disrupted </w:t>
      </w:r>
      <w:r w:rsidR="00C6761A">
        <w:t>numerous</w:t>
      </w:r>
      <w:r w:rsidR="00A96DFC">
        <w:t xml:space="preserve"> times over the past two years due to </w:t>
      </w:r>
      <w:r w:rsidR="003F4F23">
        <w:t xml:space="preserve">several </w:t>
      </w:r>
      <w:r w:rsidR="00A96DFC">
        <w:t>copper theft</w:t>
      </w:r>
      <w:r w:rsidR="000562D5">
        <w:t xml:space="preserve">s </w:t>
      </w:r>
      <w:r w:rsidR="00A96DFC">
        <w:t>in her neighborhood</w:t>
      </w:r>
      <w:r>
        <w:t>,</w:t>
      </w:r>
      <w:r w:rsidR="000562D5">
        <w:t xml:space="preserve"> </w:t>
      </w:r>
      <w:r>
        <w:t xml:space="preserve">the Commission does not find that Ms. Jake has demonstrated that AT&amp;T has violated an applicable rule, order, or law.  AT&amp;T undertook repair work in Ms. Jake’s neighborhood on several occasions following reports of </w:t>
      </w:r>
      <w:r w:rsidR="003F4F23">
        <w:t xml:space="preserve">the </w:t>
      </w:r>
      <w:r>
        <w:t xml:space="preserve">copper </w:t>
      </w:r>
      <w:r w:rsidR="00E42D8E">
        <w:t xml:space="preserve">cable </w:t>
      </w:r>
      <w:r>
        <w:t>theft outages.  AT&amp;T offered Ms. Jake VoIP service on November 5, 2025 and at the February 2026 hearing</w:t>
      </w:r>
      <w:r w:rsidR="00E42D8E">
        <w:t xml:space="preserve"> as an alternative until restoration could be completed</w:t>
      </w:r>
      <w:r>
        <w:t xml:space="preserve">; however, Ms. Jake declined VoIP service.  AT&amp;T provided service credits to Ms. Jake’s account to cover landline services billed through September 12, 2026.  </w:t>
      </w:r>
      <w:r w:rsidR="00E42D8E">
        <w:t xml:space="preserve">AT&amp;T states that area-wide restoration is expected to be completed by October 9, 2026.  The Commission encourages AT&amp;T to keep Ms. Jake apprised of any developments in the </w:t>
      </w:r>
      <w:r w:rsidR="003F4F23">
        <w:t xml:space="preserve">area-wide </w:t>
      </w:r>
      <w:r w:rsidR="00E42D8E">
        <w:t>restoration of her landline service.</w:t>
      </w:r>
    </w:p>
    <w:p w:rsidRPr="00C24144" w:rsidR="0009664E" w:rsidP="0009664E" w:rsidRDefault="00796274" w14:paraId="76BDD0DA" w14:textId="5CE91DD4">
      <w:pPr>
        <w:pStyle w:val="Standard"/>
      </w:pPr>
      <w:r>
        <w:t>The</w:t>
      </w:r>
      <w:r w:rsidR="0009664E">
        <w:t xml:space="preserve"> Commission concludes that Ms. Jake has failed to meet her burden of proof to demonstrate that AT&amp;T has violated any applicable rule, law, tariff, or Commission order.  A complaint must allege, “…any act or thing done or omitted to be done by any public utility … in violation or claimed to be in </w:t>
      </w:r>
      <w:r w:rsidR="0009664E">
        <w:lastRenderedPageBreak/>
        <w:t>violation, of any provision of law or of any order or rule of the commission.”</w:t>
      </w:r>
      <w:r w:rsidR="0009664E">
        <w:rPr>
          <w:rStyle w:val="FootnoteReference"/>
        </w:rPr>
        <w:footnoteReference w:id="9"/>
      </w:r>
      <w:r w:rsidR="0009664E">
        <w:t xml:space="preserve">  Ms. Jake has failed to state a claim upon which relief may be granted.  Accordingly, the complaint is dismissed.</w:t>
      </w:r>
    </w:p>
    <w:p w:rsidRPr="005D2117" w:rsidR="00AC3BB2" w:rsidP="005D2117" w:rsidRDefault="00AC3BB2" w14:paraId="6979FDD1" w14:textId="4C54C623">
      <w:pPr>
        <w:pStyle w:val="Heading1"/>
        <w:numPr>
          <w:ilvl w:val="0"/>
          <w:numId w:val="4"/>
        </w:numPr>
        <w:spacing w:before="0" w:after="120" w:line="240" w:lineRule="auto"/>
        <w:ind w:right="2160" w:hanging="720"/>
        <w:rPr>
          <w:rFonts w:ascii="Arial" w:hAnsi="Arial"/>
          <w:b/>
          <w:color w:val="auto"/>
          <w:sz w:val="26"/>
          <w:szCs w:val="32"/>
        </w:rPr>
      </w:pPr>
      <w:r w:rsidRPr="005D2117">
        <w:rPr>
          <w:rFonts w:ascii="Arial" w:hAnsi="Arial"/>
          <w:b/>
          <w:color w:val="auto"/>
          <w:sz w:val="26"/>
          <w:szCs w:val="32"/>
        </w:rPr>
        <w:t>Assignment of Proceeding</w:t>
      </w:r>
    </w:p>
    <w:p w:rsidR="00AC3BB2" w:rsidP="00AC3BB2" w:rsidRDefault="00633BD4" w14:paraId="080B24A7" w14:textId="7FAB49C4">
      <w:pPr>
        <w:rPr>
          <w:rFonts w:eastAsia="Calibri" w:cs="Times New Roman"/>
        </w:rPr>
      </w:pPr>
      <w:r>
        <w:rPr>
          <w:rFonts w:eastAsia="Calibri" w:cs="Times New Roman"/>
        </w:rPr>
        <w:t>Christine Harada</w:t>
      </w:r>
      <w:r w:rsidR="00AC3BB2">
        <w:rPr>
          <w:rFonts w:eastAsia="Calibri" w:cs="Times New Roman"/>
        </w:rPr>
        <w:t xml:space="preserve"> is the assigned Commissioner</w:t>
      </w:r>
      <w:r w:rsidR="007F33C0">
        <w:rPr>
          <w:rFonts w:eastAsia="Calibri" w:cs="Times New Roman"/>
        </w:rPr>
        <w:t>,</w:t>
      </w:r>
      <w:r w:rsidR="00AC3BB2">
        <w:rPr>
          <w:rFonts w:eastAsia="Calibri" w:cs="Times New Roman"/>
        </w:rPr>
        <w:t xml:space="preserve"> and Debbie</w:t>
      </w:r>
      <w:r w:rsidR="008F7D29">
        <w:rPr>
          <w:rFonts w:eastAsia="Calibri" w:cs="Times New Roman"/>
        </w:rPr>
        <w:t xml:space="preserve"> </w:t>
      </w:r>
      <w:r w:rsidR="00AC3BB2">
        <w:rPr>
          <w:rFonts w:eastAsia="Calibri" w:cs="Times New Roman"/>
        </w:rPr>
        <w:t>Chiv is the assigned Administrative Law Judge and Presiding Officer</w:t>
      </w:r>
      <w:r w:rsidR="007F33C0">
        <w:rPr>
          <w:rFonts w:eastAsia="Calibri" w:cs="Times New Roman"/>
        </w:rPr>
        <w:t>,</w:t>
      </w:r>
      <w:r w:rsidR="00AC3BB2">
        <w:rPr>
          <w:rFonts w:eastAsia="Calibri" w:cs="Times New Roman"/>
        </w:rPr>
        <w:t xml:space="preserve"> in this proceeding.</w:t>
      </w:r>
    </w:p>
    <w:p w:rsidRPr="005D2117" w:rsidR="00AC3BB2" w:rsidP="005D2117" w:rsidRDefault="00AC3BB2" w14:paraId="2E89D976" w14:textId="77777777">
      <w:pPr>
        <w:pStyle w:val="Heading1"/>
        <w:numPr>
          <w:ilvl w:val="0"/>
          <w:numId w:val="4"/>
        </w:numPr>
        <w:spacing w:before="0" w:after="120" w:line="240" w:lineRule="auto"/>
        <w:ind w:right="2160" w:hanging="720"/>
        <w:rPr>
          <w:rFonts w:ascii="Arial" w:hAnsi="Arial"/>
          <w:b/>
          <w:color w:val="auto"/>
          <w:sz w:val="26"/>
          <w:szCs w:val="32"/>
        </w:rPr>
      </w:pPr>
      <w:r w:rsidRPr="005D2117">
        <w:rPr>
          <w:rFonts w:ascii="Arial" w:hAnsi="Arial"/>
          <w:b/>
          <w:color w:val="auto"/>
          <w:sz w:val="26"/>
          <w:szCs w:val="32"/>
        </w:rPr>
        <w:t>Waiver of Comment Period</w:t>
      </w:r>
    </w:p>
    <w:p w:rsidR="00AC3BB2" w:rsidP="00AC3BB2" w:rsidRDefault="00AC3BB2" w14:paraId="79683F95" w14:textId="5A2113D0">
      <w:pPr>
        <w:rPr>
          <w:rFonts w:eastAsia="Calibri" w:cs="Times New Roman"/>
        </w:rPr>
      </w:pPr>
      <w:r>
        <w:rPr>
          <w:rFonts w:eastAsia="Calibri" w:cs="Times New Roman"/>
        </w:rPr>
        <w:t>Pursuant to Rule 14.7(b), the 30</w:t>
      </w:r>
      <w:r>
        <w:rPr>
          <w:rFonts w:eastAsia="Calibri" w:cs="Times New Roman"/>
        </w:rPr>
        <w:noBreakHyphen/>
        <w:t>day public review and comment period required by Section</w:t>
      </w:r>
      <w:r w:rsidR="007A615C">
        <w:rPr>
          <w:rFonts w:eastAsia="Calibri" w:cs="Times New Roman"/>
        </w:rPr>
        <w:t xml:space="preserve"> </w:t>
      </w:r>
      <w:r>
        <w:rPr>
          <w:rFonts w:eastAsia="Calibri" w:cs="Times New Roman"/>
        </w:rPr>
        <w:t>311 of the Public Utilities Code and the opportunity to file comments on the proposed decision is not applicable in Expedited Complaint Proceedings.  Accordingly, this decision was placed on the Commission’s agenda directly.</w:t>
      </w:r>
    </w:p>
    <w:p w:rsidR="00AC3BB2" w:rsidP="00AC3BB2" w:rsidRDefault="00AC3BB2" w14:paraId="2F5C2E6B" w14:textId="77777777">
      <w:pPr>
        <w:keepNext/>
        <w:ind w:firstLine="0"/>
        <w:jc w:val="center"/>
        <w:outlineLvl w:val="0"/>
        <w:rPr>
          <w:rFonts w:ascii="Arial" w:hAnsi="Arial" w:eastAsia="Times New Roman" w:cstheme="majorBidi"/>
          <w:b/>
          <w:caps/>
          <w:spacing w:val="120"/>
          <w:szCs w:val="56"/>
        </w:rPr>
      </w:pPr>
      <w:r>
        <w:rPr>
          <w:rFonts w:ascii="Arial" w:hAnsi="Arial" w:eastAsia="Times New Roman" w:cstheme="majorBidi"/>
          <w:b/>
          <w:caps/>
          <w:spacing w:val="120"/>
          <w:szCs w:val="56"/>
        </w:rPr>
        <w:t>ORDER</w:t>
      </w:r>
    </w:p>
    <w:p w:rsidR="00AC3BB2" w:rsidP="00AC3BB2" w:rsidRDefault="00AC3BB2" w14:paraId="7E6D78F0" w14:textId="77777777">
      <w:pPr>
        <w:keepNext/>
        <w:rPr>
          <w:rFonts w:eastAsia="Calibri" w:cs="Times New Roman"/>
        </w:rPr>
      </w:pPr>
      <w:r>
        <w:rPr>
          <w:rFonts w:eastAsia="Calibri" w:cs="Times New Roman"/>
          <w:b/>
        </w:rPr>
        <w:t>IT IS ORDERED</w:t>
      </w:r>
      <w:r>
        <w:rPr>
          <w:rFonts w:eastAsia="Calibri" w:cs="Times New Roman"/>
        </w:rPr>
        <w:t xml:space="preserve"> that:</w:t>
      </w:r>
    </w:p>
    <w:p w:rsidR="00633BD4" w:rsidP="00633BD4" w:rsidRDefault="00633BD4" w14:paraId="6102ABFC" w14:textId="77777777">
      <w:pPr>
        <w:pStyle w:val="OP"/>
      </w:pPr>
      <w:r>
        <w:t>Complainant fails to state a claim upon which relief may be granted and the requested relief is denied.</w:t>
      </w:r>
    </w:p>
    <w:p w:rsidR="00633BD4" w:rsidP="00633BD4" w:rsidRDefault="00633BD4" w14:paraId="4BC862CB" w14:textId="366F17AD">
      <w:pPr>
        <w:pStyle w:val="OP"/>
      </w:pPr>
      <w:r w:rsidRPr="00731413">
        <w:t xml:space="preserve">Case </w:t>
      </w:r>
      <w:r>
        <w:t xml:space="preserve">25-09-017 </w:t>
      </w:r>
      <w:r w:rsidRPr="00731413">
        <w:t xml:space="preserve">is </w:t>
      </w:r>
      <w:r>
        <w:t>dismissed</w:t>
      </w:r>
      <w:r w:rsidRPr="00731413">
        <w:t>.</w:t>
      </w:r>
    </w:p>
    <w:p w:rsidR="00561B26" w:rsidP="00731413" w:rsidRDefault="00AC3BB2" w14:paraId="75C4C10B" w14:textId="77777777">
      <w:pPr>
        <w:pStyle w:val="OP"/>
      </w:pPr>
      <w:r w:rsidRPr="00731413">
        <w:t xml:space="preserve">Case </w:t>
      </w:r>
      <w:r w:rsidR="0083006A">
        <w:t>25-</w:t>
      </w:r>
      <w:r w:rsidR="00633BD4">
        <w:t xml:space="preserve">09-017 </w:t>
      </w:r>
      <w:r w:rsidRPr="00731413">
        <w:t>is closed.</w:t>
      </w:r>
    </w:p>
    <w:p w:rsidRPr="008F7D29" w:rsidR="00AC3BB2" w:rsidP="00561B26" w:rsidRDefault="00AC3BB2" w14:paraId="03E5CD93" w14:textId="7EE0164F">
      <w:pPr>
        <w:pStyle w:val="OP"/>
        <w:numPr>
          <w:ilvl w:val="0"/>
          <w:numId w:val="0"/>
        </w:numPr>
        <w:ind w:firstLine="720"/>
      </w:pPr>
      <w:r w:rsidRPr="008F7D29">
        <w:t>This order is effective today.</w:t>
      </w:r>
    </w:p>
    <w:p w:rsidR="00AC3BB2" w:rsidP="00AC3BB2" w:rsidRDefault="00AC3BB2" w14:paraId="220C3F45" w14:textId="48DE77B1">
      <w:pPr>
        <w:spacing w:line="240" w:lineRule="auto"/>
      </w:pPr>
      <w:r>
        <w:t>Dated</w:t>
      </w:r>
      <w:r w:rsidR="00315789">
        <w:t xml:space="preserve"> October 29, 2026</w:t>
      </w:r>
      <w:r>
        <w:t>,</w:t>
      </w:r>
      <w:r w:rsidR="008F7D29">
        <w:t xml:space="preserve"> </w:t>
      </w:r>
      <w:r>
        <w:t>at</w:t>
      </w:r>
      <w:r w:rsidR="008F7D29">
        <w:t xml:space="preserve"> Sa</w:t>
      </w:r>
      <w:r w:rsidR="003C5B7C">
        <w:t>n Francisco</w:t>
      </w:r>
      <w:r w:rsidR="008F7D29">
        <w:t>, California</w:t>
      </w:r>
      <w:r>
        <w:t>.</w:t>
      </w:r>
      <w:bookmarkEnd w:id="0"/>
    </w:p>
    <w:p w:rsidR="009B67B2" w:rsidP="00AC3BB2" w:rsidRDefault="009B67B2" w14:paraId="50BAD862" w14:textId="77777777">
      <w:pPr>
        <w:spacing w:line="240" w:lineRule="auto"/>
      </w:pPr>
    </w:p>
    <w:p w:rsidR="009B67B2" w:rsidP="00AC3BB2" w:rsidRDefault="009B67B2" w14:paraId="6EDE60B4" w14:textId="77777777">
      <w:pPr>
        <w:spacing w:line="240" w:lineRule="auto"/>
      </w:pPr>
    </w:p>
    <w:p w:rsidR="009B67B2" w:rsidP="009B67B2" w:rsidRDefault="009B67B2" w14:paraId="2BB8A466" w14:textId="77777777">
      <w:pPr>
        <w:pStyle w:val="paragraph"/>
        <w:spacing w:before="0" w:beforeAutospacing="0" w:after="0" w:afterAutospacing="0"/>
        <w:ind w:left="3600" w:firstLine="1590"/>
        <w:jc w:val="both"/>
        <w:textAlignment w:val="baseline"/>
        <w:rPr>
          <w:rFonts w:ascii="Segoe UI" w:hAnsi="Segoe UI" w:cs="Segoe UI"/>
          <w:sz w:val="18"/>
          <w:szCs w:val="18"/>
        </w:rPr>
      </w:pPr>
      <w:r>
        <w:rPr>
          <w:rStyle w:val="normaltextrun"/>
          <w:rFonts w:ascii="Book Antiqua" w:hAnsi="Book Antiqua" w:cs="Segoe UI"/>
          <w:sz w:val="26"/>
          <w:szCs w:val="26"/>
        </w:rPr>
        <w:t>JOHN REYNOLDS</w:t>
      </w:r>
      <w:r>
        <w:rPr>
          <w:rStyle w:val="eop"/>
          <w:rFonts w:ascii="Book Antiqua" w:hAnsi="Book Antiqua" w:cs="Segoe UI"/>
          <w:sz w:val="26"/>
          <w:szCs w:val="26"/>
          <w:bdr w:val="none" w:color="auto" w:sz="0" w:space="0" w:frame="1"/>
          <w:shd w:val="clear" w:color="auto" w:fill="C6C6C6"/>
        </w:rPr>
        <w:t> </w:t>
      </w:r>
    </w:p>
    <w:p w:rsidR="009B67B2" w:rsidP="009B67B2" w:rsidRDefault="009B67B2" w14:paraId="6587A655" w14:textId="77777777">
      <w:pPr>
        <w:pStyle w:val="paragraph"/>
        <w:spacing w:before="0" w:beforeAutospacing="0" w:after="0" w:afterAutospacing="0"/>
        <w:ind w:firstLine="5040"/>
        <w:jc w:val="both"/>
        <w:textAlignment w:val="baseline"/>
        <w:rPr>
          <w:rFonts w:ascii="Segoe UI" w:hAnsi="Segoe UI" w:cs="Segoe UI"/>
          <w:sz w:val="18"/>
          <w:szCs w:val="18"/>
        </w:rPr>
      </w:pPr>
      <w:r>
        <w:rPr>
          <w:rStyle w:val="normaltextrun"/>
          <w:rFonts w:ascii="Book Antiqua" w:hAnsi="Book Antiqua" w:cs="Segoe UI"/>
          <w:sz w:val="26"/>
          <w:szCs w:val="26"/>
        </w:rPr>
        <w:t>                    President</w:t>
      </w:r>
      <w:r>
        <w:rPr>
          <w:rStyle w:val="eop"/>
          <w:rFonts w:ascii="Book Antiqua" w:hAnsi="Book Antiqua" w:cs="Segoe UI"/>
          <w:sz w:val="26"/>
          <w:szCs w:val="26"/>
          <w:bdr w:val="none" w:color="auto" w:sz="0" w:space="0" w:frame="1"/>
          <w:shd w:val="clear" w:color="auto" w:fill="C6C6C6"/>
        </w:rPr>
        <w:t> </w:t>
      </w:r>
    </w:p>
    <w:p w:rsidR="009B67B2" w:rsidP="009B67B2" w:rsidRDefault="009B67B2" w14:paraId="2004FD72" w14:textId="77777777">
      <w:pPr>
        <w:pStyle w:val="paragraph"/>
        <w:spacing w:before="0" w:beforeAutospacing="0" w:after="0" w:afterAutospacing="0"/>
        <w:ind w:left="3600" w:firstLine="1590"/>
        <w:jc w:val="both"/>
        <w:textAlignment w:val="baseline"/>
        <w:rPr>
          <w:rFonts w:ascii="Segoe UI" w:hAnsi="Segoe UI" w:cs="Segoe UI"/>
          <w:sz w:val="18"/>
          <w:szCs w:val="18"/>
        </w:rPr>
      </w:pPr>
      <w:r>
        <w:rPr>
          <w:rStyle w:val="normaltextrun"/>
          <w:rFonts w:ascii="Book Antiqua" w:hAnsi="Book Antiqua" w:cs="Segoe UI"/>
          <w:sz w:val="26"/>
          <w:szCs w:val="26"/>
        </w:rPr>
        <w:t>DARCIE L. HOUCK</w:t>
      </w:r>
      <w:r>
        <w:rPr>
          <w:rStyle w:val="eop"/>
          <w:rFonts w:ascii="Book Antiqua" w:hAnsi="Book Antiqua" w:cs="Segoe UI"/>
          <w:sz w:val="26"/>
          <w:szCs w:val="26"/>
          <w:bdr w:val="none" w:color="auto" w:sz="0" w:space="0" w:frame="1"/>
          <w:shd w:val="clear" w:color="auto" w:fill="C6C6C6"/>
        </w:rPr>
        <w:t> </w:t>
      </w:r>
    </w:p>
    <w:p w:rsidR="009B67B2" w:rsidP="009B67B2" w:rsidRDefault="009B67B2" w14:paraId="7A7BCDD6" w14:textId="77777777">
      <w:pPr>
        <w:pStyle w:val="paragraph"/>
        <w:spacing w:before="0" w:beforeAutospacing="0" w:after="0" w:afterAutospacing="0"/>
        <w:ind w:left="3600" w:firstLine="1590"/>
        <w:jc w:val="both"/>
        <w:textAlignment w:val="baseline"/>
        <w:rPr>
          <w:rFonts w:ascii="Segoe UI" w:hAnsi="Segoe UI" w:cs="Segoe UI"/>
          <w:sz w:val="18"/>
          <w:szCs w:val="18"/>
        </w:rPr>
      </w:pPr>
      <w:r>
        <w:rPr>
          <w:rStyle w:val="normaltextrun"/>
          <w:rFonts w:ascii="Book Antiqua" w:hAnsi="Book Antiqua" w:cs="Segoe UI"/>
          <w:color w:val="000000"/>
          <w:sz w:val="26"/>
          <w:szCs w:val="26"/>
        </w:rPr>
        <w:t>KAREN DOUGLAS</w:t>
      </w:r>
      <w:r>
        <w:rPr>
          <w:rStyle w:val="eop"/>
          <w:rFonts w:ascii="Book Antiqua" w:hAnsi="Book Antiqua" w:cs="Segoe UI"/>
          <w:color w:val="000000"/>
          <w:sz w:val="26"/>
          <w:szCs w:val="26"/>
          <w:bdr w:val="none" w:color="auto" w:sz="0" w:space="0" w:frame="1"/>
          <w:shd w:val="clear" w:color="auto" w:fill="C6C6C6"/>
        </w:rPr>
        <w:t> </w:t>
      </w:r>
    </w:p>
    <w:p w:rsidR="009B67B2" w:rsidP="009B67B2" w:rsidRDefault="009B67B2" w14:paraId="7A947942" w14:textId="77777777">
      <w:pPr>
        <w:pStyle w:val="paragraph"/>
        <w:spacing w:before="0" w:beforeAutospacing="0" w:after="0" w:afterAutospacing="0"/>
        <w:ind w:left="3600" w:firstLine="1590"/>
        <w:jc w:val="both"/>
        <w:textAlignment w:val="baseline"/>
        <w:rPr>
          <w:rFonts w:ascii="Segoe UI" w:hAnsi="Segoe UI" w:cs="Segoe UI"/>
          <w:sz w:val="18"/>
          <w:szCs w:val="18"/>
        </w:rPr>
      </w:pPr>
      <w:r>
        <w:rPr>
          <w:rStyle w:val="normaltextrun"/>
          <w:rFonts w:ascii="Book Antiqua" w:hAnsi="Book Antiqua" w:cs="Segoe UI"/>
          <w:color w:val="000000"/>
          <w:sz w:val="26"/>
          <w:szCs w:val="26"/>
        </w:rPr>
        <w:t>MATTHEW BAKER</w:t>
      </w:r>
      <w:r>
        <w:rPr>
          <w:rStyle w:val="eop"/>
          <w:rFonts w:ascii="Book Antiqua" w:hAnsi="Book Antiqua" w:cs="Segoe UI"/>
          <w:color w:val="000000"/>
          <w:sz w:val="26"/>
          <w:szCs w:val="26"/>
          <w:bdr w:val="none" w:color="auto" w:sz="0" w:space="0" w:frame="1"/>
          <w:shd w:val="clear" w:color="auto" w:fill="C6C6C6"/>
        </w:rPr>
        <w:t> </w:t>
      </w:r>
    </w:p>
    <w:p w:rsidR="009B67B2" w:rsidP="009B67B2" w:rsidRDefault="009B67B2" w14:paraId="2CFCD62F" w14:textId="77777777">
      <w:pPr>
        <w:pStyle w:val="paragraph"/>
        <w:spacing w:before="0" w:beforeAutospacing="0" w:after="0" w:afterAutospacing="0"/>
        <w:ind w:left="3600" w:firstLine="1590"/>
        <w:jc w:val="both"/>
        <w:textAlignment w:val="baseline"/>
        <w:rPr>
          <w:rFonts w:ascii="Segoe UI" w:hAnsi="Segoe UI" w:cs="Segoe UI"/>
          <w:sz w:val="18"/>
          <w:szCs w:val="18"/>
        </w:rPr>
      </w:pPr>
      <w:r>
        <w:rPr>
          <w:rStyle w:val="normaltextrun"/>
          <w:rFonts w:ascii="Book Antiqua" w:hAnsi="Book Antiqua" w:cs="Segoe UI"/>
          <w:sz w:val="26"/>
          <w:szCs w:val="26"/>
        </w:rPr>
        <w:t>CHRISTINE HARADA</w:t>
      </w:r>
      <w:r>
        <w:rPr>
          <w:rStyle w:val="eop"/>
          <w:rFonts w:ascii="Book Antiqua" w:hAnsi="Book Antiqua" w:cs="Segoe UI"/>
          <w:sz w:val="26"/>
          <w:szCs w:val="26"/>
          <w:bdr w:val="none" w:color="auto" w:sz="0" w:space="0" w:frame="1"/>
          <w:shd w:val="clear" w:color="auto" w:fill="C6C6C6"/>
        </w:rPr>
        <w:t> </w:t>
      </w:r>
    </w:p>
    <w:p w:rsidR="009B67B2" w:rsidP="006E4DC0" w:rsidRDefault="009B67B2" w14:paraId="09065C3D" w14:textId="31381334">
      <w:pPr>
        <w:pStyle w:val="paragraph"/>
        <w:spacing w:before="0" w:beforeAutospacing="0" w:after="0" w:afterAutospacing="0"/>
        <w:ind w:left="4320" w:firstLine="1590"/>
        <w:jc w:val="both"/>
        <w:textAlignment w:val="baseline"/>
        <w:rPr>
          <w:rFonts w:ascii="Segoe UI" w:hAnsi="Segoe UI" w:cs="Segoe UI"/>
          <w:sz w:val="18"/>
          <w:szCs w:val="18"/>
        </w:rPr>
      </w:pPr>
      <w:r>
        <w:rPr>
          <w:rStyle w:val="normaltextrun"/>
          <w:rFonts w:ascii="Book Antiqua" w:hAnsi="Book Antiqua" w:cs="Segoe UI"/>
          <w:sz w:val="26"/>
          <w:szCs w:val="26"/>
        </w:rPr>
        <w:t>      Commissioners</w:t>
      </w:r>
      <w:r>
        <w:rPr>
          <w:rStyle w:val="eop"/>
          <w:rFonts w:ascii="Book Antiqua" w:hAnsi="Book Antiqua" w:cs="Segoe UI"/>
          <w:sz w:val="26"/>
          <w:szCs w:val="26"/>
          <w:bdr w:val="none" w:color="auto" w:sz="0" w:space="0" w:frame="1"/>
          <w:shd w:val="clear" w:color="auto" w:fill="C6C6C6"/>
        </w:rPr>
        <w:t>  </w:t>
      </w:r>
    </w:p>
    <w:p w:rsidRPr="006E4DC0" w:rsidR="009431DC" w:rsidP="008F7D29" w:rsidRDefault="009431DC" w14:paraId="53EC1F63" w14:textId="77777777">
      <w:pPr>
        <w:ind w:firstLine="0"/>
        <w:rPr>
          <w:sz w:val="2"/>
          <w:szCs w:val="2"/>
        </w:rPr>
      </w:pPr>
    </w:p>
    <w:sectPr w:rsidRPr="006E4DC0" w:rsidR="009431DC" w:rsidSect="009705AF">
      <w:headerReference w:type="even" r:id="rId8"/>
      <w:headerReference w:type="default" r:id="rId9"/>
      <w:footerReference w:type="even" r:id="rId10"/>
      <w:footerReference w:type="default" r:id="rId11"/>
      <w:headerReference w:type="first" r:id="rId12"/>
      <w:footerReference w:type="first" r:id="rId13"/>
      <w:pgSz w:w="12240" w:h="15840"/>
      <w:pgMar w:top="1530" w:right="1440" w:bottom="117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37700" w14:textId="77777777" w:rsidR="009A2900" w:rsidRDefault="009A2900" w:rsidP="00AC3BB2">
      <w:pPr>
        <w:spacing w:line="240" w:lineRule="auto"/>
      </w:pPr>
      <w:r>
        <w:separator/>
      </w:r>
    </w:p>
  </w:endnote>
  <w:endnote w:type="continuationSeparator" w:id="0">
    <w:p w14:paraId="27AC763E" w14:textId="77777777" w:rsidR="009A2900" w:rsidRDefault="009A2900" w:rsidP="00AC3B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A6242" w14:textId="77777777" w:rsidR="002F7F13" w:rsidRDefault="002F7F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6046C" w14:textId="77777777" w:rsidR="00AC3BB2" w:rsidRDefault="00AC3BB2" w:rsidP="00816341">
    <w:pPr>
      <w:pStyle w:val="Footer"/>
      <w:ind w:left="1080" w:firstLine="0"/>
    </w:pPr>
    <w:r>
      <w:tab/>
      <w:t xml:space="preserve">- </w:t>
    </w:r>
    <w:sdt>
      <w:sdtPr>
        <w:id w:val="-1908911415"/>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r>
          <w:rPr>
            <w:noProof/>
          </w:rPr>
          <w:t xml:space="preserve"> -</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00C54" w14:textId="3999F53C" w:rsidR="00AC3BB2" w:rsidRDefault="002F7F13" w:rsidP="00A6676A">
    <w:pPr>
      <w:pStyle w:val="Footer"/>
      <w:ind w:firstLine="0"/>
    </w:pPr>
    <w:r w:rsidRPr="002F7F13">
      <w:rPr>
        <w:sz w:val="16"/>
        <w:szCs w:val="16"/>
      </w:rPr>
      <w:t>627149610</w:t>
    </w:r>
    <w:r w:rsidR="00AC3BB2">
      <w:tab/>
      <w:t xml:space="preserve">- 1 -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7F470" w14:textId="77777777" w:rsidR="009A2900" w:rsidRDefault="009A2900" w:rsidP="00AC3BB2">
      <w:pPr>
        <w:spacing w:line="240" w:lineRule="auto"/>
      </w:pPr>
      <w:r>
        <w:separator/>
      </w:r>
    </w:p>
  </w:footnote>
  <w:footnote w:type="continuationSeparator" w:id="0">
    <w:p w14:paraId="264F61C6" w14:textId="77777777" w:rsidR="009A2900" w:rsidRDefault="009A2900" w:rsidP="00AC3BB2">
      <w:pPr>
        <w:spacing w:line="240" w:lineRule="auto"/>
      </w:pPr>
      <w:r>
        <w:continuationSeparator/>
      </w:r>
    </w:p>
  </w:footnote>
  <w:footnote w:id="1">
    <w:p w14:paraId="5DE84A06" w14:textId="29473D56" w:rsidR="00340002" w:rsidRPr="0025009C" w:rsidRDefault="00340002" w:rsidP="0025009C">
      <w:pPr>
        <w:pStyle w:val="FootnoteText"/>
        <w:ind w:left="360" w:hanging="360"/>
        <w:rPr>
          <w:sz w:val="22"/>
          <w:szCs w:val="22"/>
        </w:rPr>
      </w:pPr>
      <w:r w:rsidRPr="0025009C">
        <w:rPr>
          <w:rStyle w:val="FootnoteReference"/>
          <w:sz w:val="22"/>
          <w:szCs w:val="22"/>
        </w:rPr>
        <w:footnoteRef/>
      </w:r>
      <w:r w:rsidRPr="0025009C">
        <w:rPr>
          <w:sz w:val="22"/>
          <w:szCs w:val="22"/>
        </w:rPr>
        <w:t xml:space="preserve"> </w:t>
      </w:r>
      <w:r w:rsidR="0025009C">
        <w:rPr>
          <w:sz w:val="22"/>
          <w:szCs w:val="22"/>
        </w:rPr>
        <w:tab/>
      </w:r>
      <w:r w:rsidRPr="0025009C">
        <w:rPr>
          <w:sz w:val="22"/>
          <w:szCs w:val="22"/>
        </w:rPr>
        <w:t>Complaint at 3.</w:t>
      </w:r>
    </w:p>
  </w:footnote>
  <w:footnote w:id="2">
    <w:p w14:paraId="732CCBDC" w14:textId="2D08D081" w:rsidR="00340002" w:rsidRPr="0025009C" w:rsidRDefault="00340002" w:rsidP="0025009C">
      <w:pPr>
        <w:pStyle w:val="FootnoteText"/>
        <w:ind w:left="360" w:hanging="360"/>
        <w:rPr>
          <w:sz w:val="22"/>
          <w:szCs w:val="22"/>
        </w:rPr>
      </w:pPr>
      <w:r w:rsidRPr="0025009C">
        <w:rPr>
          <w:rStyle w:val="FootnoteReference"/>
          <w:sz w:val="22"/>
          <w:szCs w:val="22"/>
        </w:rPr>
        <w:footnoteRef/>
      </w:r>
      <w:r w:rsidRPr="0025009C">
        <w:rPr>
          <w:sz w:val="22"/>
          <w:szCs w:val="22"/>
        </w:rPr>
        <w:t xml:space="preserve"> </w:t>
      </w:r>
      <w:r w:rsidR="0025009C">
        <w:rPr>
          <w:sz w:val="22"/>
          <w:szCs w:val="22"/>
        </w:rPr>
        <w:tab/>
      </w:r>
      <w:r w:rsidRPr="0025009C">
        <w:rPr>
          <w:sz w:val="22"/>
          <w:szCs w:val="22"/>
        </w:rPr>
        <w:t>Joint Response at 1.</w:t>
      </w:r>
    </w:p>
  </w:footnote>
  <w:footnote w:id="3">
    <w:p w14:paraId="160B4E6D" w14:textId="4633AA8C" w:rsidR="00F94ACC" w:rsidRPr="0025009C" w:rsidRDefault="00F94ACC" w:rsidP="0025009C">
      <w:pPr>
        <w:pStyle w:val="FootnoteText"/>
        <w:ind w:left="360" w:hanging="360"/>
        <w:rPr>
          <w:sz w:val="22"/>
          <w:szCs w:val="22"/>
        </w:rPr>
      </w:pPr>
      <w:r w:rsidRPr="0025009C">
        <w:rPr>
          <w:rStyle w:val="FootnoteReference"/>
          <w:sz w:val="22"/>
          <w:szCs w:val="22"/>
        </w:rPr>
        <w:footnoteRef/>
      </w:r>
      <w:r w:rsidRPr="0025009C">
        <w:rPr>
          <w:sz w:val="22"/>
          <w:szCs w:val="22"/>
        </w:rPr>
        <w:t xml:space="preserve"> </w:t>
      </w:r>
      <w:r w:rsidR="0025009C">
        <w:rPr>
          <w:sz w:val="22"/>
          <w:szCs w:val="22"/>
        </w:rPr>
        <w:tab/>
      </w:r>
      <w:r w:rsidRPr="0025009C">
        <w:rPr>
          <w:sz w:val="22"/>
          <w:szCs w:val="22"/>
        </w:rPr>
        <w:t>Answer at 1.</w:t>
      </w:r>
    </w:p>
  </w:footnote>
  <w:footnote w:id="4">
    <w:p w14:paraId="6A840D1F" w14:textId="3A3C1AE4" w:rsidR="0077776C" w:rsidRPr="0025009C" w:rsidRDefault="0077776C" w:rsidP="0025009C">
      <w:pPr>
        <w:pStyle w:val="FootnoteText"/>
        <w:ind w:left="360" w:hanging="360"/>
        <w:rPr>
          <w:sz w:val="22"/>
          <w:szCs w:val="22"/>
        </w:rPr>
      </w:pPr>
      <w:r w:rsidRPr="0025009C">
        <w:rPr>
          <w:rStyle w:val="FootnoteReference"/>
          <w:sz w:val="22"/>
          <w:szCs w:val="22"/>
        </w:rPr>
        <w:footnoteRef/>
      </w:r>
      <w:r w:rsidRPr="0025009C">
        <w:rPr>
          <w:sz w:val="22"/>
          <w:szCs w:val="22"/>
        </w:rPr>
        <w:t xml:space="preserve"> </w:t>
      </w:r>
      <w:r w:rsidR="0025009C">
        <w:rPr>
          <w:sz w:val="22"/>
          <w:szCs w:val="22"/>
        </w:rPr>
        <w:tab/>
      </w:r>
      <w:r w:rsidR="0025009C" w:rsidRPr="0025009C">
        <w:rPr>
          <w:i/>
          <w:iCs/>
          <w:sz w:val="22"/>
          <w:szCs w:val="22"/>
        </w:rPr>
        <w:t>Id</w:t>
      </w:r>
      <w:r w:rsidRPr="0025009C">
        <w:rPr>
          <w:sz w:val="22"/>
          <w:szCs w:val="22"/>
        </w:rPr>
        <w:t>.</w:t>
      </w:r>
    </w:p>
  </w:footnote>
  <w:footnote w:id="5">
    <w:p w14:paraId="07359414" w14:textId="2EE0819C" w:rsidR="00875412" w:rsidRPr="0025009C" w:rsidRDefault="00875412" w:rsidP="0025009C">
      <w:pPr>
        <w:pStyle w:val="FootnoteText"/>
        <w:ind w:left="360" w:hanging="360"/>
        <w:rPr>
          <w:sz w:val="22"/>
          <w:szCs w:val="22"/>
        </w:rPr>
      </w:pPr>
      <w:r w:rsidRPr="0025009C">
        <w:rPr>
          <w:rStyle w:val="FootnoteReference"/>
          <w:sz w:val="22"/>
          <w:szCs w:val="22"/>
        </w:rPr>
        <w:footnoteRef/>
      </w:r>
      <w:r w:rsidRPr="0025009C">
        <w:rPr>
          <w:sz w:val="22"/>
          <w:szCs w:val="22"/>
        </w:rPr>
        <w:t xml:space="preserve"> </w:t>
      </w:r>
      <w:r w:rsidR="0025009C">
        <w:rPr>
          <w:sz w:val="22"/>
          <w:szCs w:val="22"/>
        </w:rPr>
        <w:tab/>
      </w:r>
      <w:r w:rsidRPr="0025009C">
        <w:rPr>
          <w:sz w:val="22"/>
          <w:szCs w:val="22"/>
        </w:rPr>
        <w:t>AT&amp;T Response at 2.</w:t>
      </w:r>
    </w:p>
  </w:footnote>
  <w:footnote w:id="6">
    <w:p w14:paraId="2F8EE55E" w14:textId="2F0957FC" w:rsidR="00D50977" w:rsidRPr="0025009C" w:rsidRDefault="00D50977" w:rsidP="0025009C">
      <w:pPr>
        <w:pStyle w:val="FootnoteText"/>
        <w:ind w:left="360" w:hanging="360"/>
        <w:rPr>
          <w:sz w:val="22"/>
          <w:szCs w:val="22"/>
        </w:rPr>
      </w:pPr>
      <w:r w:rsidRPr="0025009C">
        <w:rPr>
          <w:rStyle w:val="FootnoteReference"/>
          <w:sz w:val="22"/>
          <w:szCs w:val="22"/>
        </w:rPr>
        <w:footnoteRef/>
      </w:r>
      <w:r w:rsidRPr="0025009C">
        <w:rPr>
          <w:sz w:val="22"/>
          <w:szCs w:val="22"/>
        </w:rPr>
        <w:t xml:space="preserve"> </w:t>
      </w:r>
      <w:r w:rsidR="004233CE">
        <w:rPr>
          <w:sz w:val="22"/>
          <w:szCs w:val="22"/>
        </w:rPr>
        <w:tab/>
      </w:r>
      <w:r w:rsidRPr="0025009C">
        <w:rPr>
          <w:sz w:val="22"/>
          <w:szCs w:val="22"/>
        </w:rPr>
        <w:t>Joint Response at 2.</w:t>
      </w:r>
    </w:p>
  </w:footnote>
  <w:footnote w:id="7">
    <w:p w14:paraId="187EB913" w14:textId="14811C71" w:rsidR="00D50977" w:rsidRPr="0025009C" w:rsidRDefault="00D50977" w:rsidP="0025009C">
      <w:pPr>
        <w:pStyle w:val="FootnoteText"/>
        <w:ind w:left="360" w:hanging="360"/>
        <w:rPr>
          <w:sz w:val="22"/>
          <w:szCs w:val="22"/>
        </w:rPr>
      </w:pPr>
      <w:r w:rsidRPr="0025009C">
        <w:rPr>
          <w:rStyle w:val="FootnoteReference"/>
          <w:sz w:val="22"/>
          <w:szCs w:val="22"/>
        </w:rPr>
        <w:footnoteRef/>
      </w:r>
      <w:r w:rsidRPr="0025009C">
        <w:rPr>
          <w:sz w:val="22"/>
          <w:szCs w:val="22"/>
        </w:rPr>
        <w:t xml:space="preserve"> </w:t>
      </w:r>
      <w:r w:rsidR="004233CE">
        <w:rPr>
          <w:sz w:val="22"/>
          <w:szCs w:val="22"/>
        </w:rPr>
        <w:tab/>
      </w:r>
      <w:r w:rsidRPr="004233CE">
        <w:rPr>
          <w:i/>
          <w:iCs/>
          <w:sz w:val="22"/>
          <w:szCs w:val="22"/>
        </w:rPr>
        <w:t>Id</w:t>
      </w:r>
      <w:r w:rsidRPr="0025009C">
        <w:rPr>
          <w:sz w:val="22"/>
          <w:szCs w:val="22"/>
        </w:rPr>
        <w:t>.</w:t>
      </w:r>
    </w:p>
  </w:footnote>
  <w:footnote w:id="8">
    <w:p w14:paraId="79A099C7" w14:textId="09503533" w:rsidR="00AC3BB2" w:rsidRPr="0025009C" w:rsidRDefault="00AC3BB2" w:rsidP="0025009C">
      <w:pPr>
        <w:pStyle w:val="FootnoteText"/>
        <w:ind w:left="360" w:hanging="360"/>
        <w:rPr>
          <w:sz w:val="22"/>
          <w:szCs w:val="22"/>
        </w:rPr>
      </w:pPr>
      <w:r w:rsidRPr="0025009C">
        <w:rPr>
          <w:rStyle w:val="FootnoteReference"/>
          <w:sz w:val="22"/>
          <w:szCs w:val="22"/>
        </w:rPr>
        <w:footnoteRef/>
      </w:r>
      <w:r w:rsidRPr="0025009C">
        <w:rPr>
          <w:sz w:val="22"/>
          <w:szCs w:val="22"/>
        </w:rPr>
        <w:t xml:space="preserve"> </w:t>
      </w:r>
      <w:r w:rsidR="004233CE">
        <w:rPr>
          <w:sz w:val="22"/>
          <w:szCs w:val="22"/>
        </w:rPr>
        <w:tab/>
      </w:r>
      <w:r w:rsidR="005C1EC5" w:rsidRPr="0025009C">
        <w:rPr>
          <w:sz w:val="22"/>
          <w:szCs w:val="22"/>
        </w:rPr>
        <w:t>Pub</w:t>
      </w:r>
      <w:r w:rsidR="00E42D8E">
        <w:rPr>
          <w:sz w:val="22"/>
          <w:szCs w:val="22"/>
        </w:rPr>
        <w:t>lic</w:t>
      </w:r>
      <w:r w:rsidR="005C1EC5" w:rsidRPr="0025009C">
        <w:rPr>
          <w:sz w:val="22"/>
          <w:szCs w:val="22"/>
        </w:rPr>
        <w:t xml:space="preserve"> Util</w:t>
      </w:r>
      <w:r w:rsidR="00E42D8E">
        <w:rPr>
          <w:sz w:val="22"/>
          <w:szCs w:val="22"/>
        </w:rPr>
        <w:t>ities</w:t>
      </w:r>
      <w:r w:rsidRPr="0025009C">
        <w:rPr>
          <w:sz w:val="22"/>
          <w:szCs w:val="22"/>
        </w:rPr>
        <w:t xml:space="preserve"> Code </w:t>
      </w:r>
      <w:r w:rsidR="005C1EC5" w:rsidRPr="0025009C">
        <w:rPr>
          <w:sz w:val="22"/>
          <w:szCs w:val="22"/>
        </w:rPr>
        <w:t xml:space="preserve">§ </w:t>
      </w:r>
      <w:r w:rsidRPr="0025009C">
        <w:rPr>
          <w:sz w:val="22"/>
          <w:szCs w:val="22"/>
        </w:rPr>
        <w:t>1702.</w:t>
      </w:r>
    </w:p>
  </w:footnote>
  <w:footnote w:id="9">
    <w:p w14:paraId="6B021FBF" w14:textId="02FA4FD6" w:rsidR="0009664E" w:rsidRPr="0025009C" w:rsidRDefault="0009664E" w:rsidP="0025009C">
      <w:pPr>
        <w:pStyle w:val="FootnoteText"/>
        <w:spacing w:after="20"/>
        <w:ind w:left="360" w:hanging="360"/>
        <w:rPr>
          <w:sz w:val="22"/>
          <w:szCs w:val="22"/>
        </w:rPr>
      </w:pPr>
      <w:r w:rsidRPr="0025009C">
        <w:rPr>
          <w:rStyle w:val="FootnoteReference"/>
          <w:sz w:val="22"/>
          <w:szCs w:val="22"/>
        </w:rPr>
        <w:footnoteRef/>
      </w:r>
      <w:r w:rsidRPr="0025009C">
        <w:rPr>
          <w:sz w:val="22"/>
          <w:szCs w:val="22"/>
        </w:rPr>
        <w:t xml:space="preserve">  </w:t>
      </w:r>
      <w:r w:rsidRPr="0025009C">
        <w:rPr>
          <w:sz w:val="22"/>
          <w:szCs w:val="22"/>
        </w:rPr>
        <w:tab/>
        <w:t xml:space="preserve">Public Utilities Code </w:t>
      </w:r>
      <w:r w:rsidR="00796274" w:rsidRPr="00796274">
        <w:rPr>
          <w:sz w:val="22"/>
          <w:szCs w:val="22"/>
        </w:rPr>
        <w:t>§</w:t>
      </w:r>
      <w:r w:rsidRPr="0025009C">
        <w:rPr>
          <w:sz w:val="22"/>
          <w:szCs w:val="22"/>
        </w:rPr>
        <w:t> 1702.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B8744" w14:textId="77777777" w:rsidR="002F7F13" w:rsidRDefault="002F7F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8CE97" w14:textId="2D402393" w:rsidR="008F7D29" w:rsidRPr="00FC1422" w:rsidRDefault="00867F2A" w:rsidP="008F7D29">
    <w:pPr>
      <w:pStyle w:val="Header"/>
      <w:tabs>
        <w:tab w:val="clear" w:pos="4680"/>
      </w:tabs>
      <w:ind w:firstLine="0"/>
      <w:rPr>
        <w:b/>
        <w:bCs/>
      </w:rPr>
    </w:pPr>
    <w:r>
      <w:t>C.25-09-017  ALJ/DBB/mac</w:t>
    </w:r>
  </w:p>
  <w:p w14:paraId="24EC29A0" w14:textId="77777777" w:rsidR="00AC3BB2" w:rsidRPr="008F7D29" w:rsidRDefault="00AC3BB2" w:rsidP="008F7D29">
    <w:pPr>
      <w:pStyle w:val="Header"/>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04333" w14:textId="77777777" w:rsidR="002F7F13" w:rsidRDefault="002F7F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13310"/>
    <w:multiLevelType w:val="hybridMultilevel"/>
    <w:tmpl w:val="C3924AA8"/>
    <w:lvl w:ilvl="0" w:tplc="FFFFFFFF">
      <w:start w:val="1"/>
      <w:numFmt w:val="decimal"/>
      <w:lvlText w:val="%1."/>
      <w:lvlJc w:val="left"/>
      <w:pPr>
        <w:ind w:left="1080" w:hanging="360"/>
      </w:pPr>
      <w:rPr>
        <w:rFonts w:ascii="Book Antiqua" w:eastAsia="Book Antiqua" w:hAnsi="Book Antiqua" w:cs="Book Antiqua"/>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11120C64"/>
    <w:multiLevelType w:val="hybridMultilevel"/>
    <w:tmpl w:val="2A88FA4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146C1C14"/>
    <w:multiLevelType w:val="multilevel"/>
    <w:tmpl w:val="5106AAF2"/>
    <w:styleLink w:val="FoFCoLOP"/>
    <w:lvl w:ilvl="0">
      <w:start w:val="1"/>
      <w:numFmt w:val="decimal"/>
      <w:pStyle w:val="OP"/>
      <w:lvlText w:val="%1."/>
      <w:lvlJc w:val="right"/>
      <w:pPr>
        <w:ind w:left="-540" w:firstLine="540"/>
      </w:pPr>
    </w:lvl>
    <w:lvl w:ilvl="1">
      <w:start w:val="1"/>
      <w:numFmt w:val="lowerLetter"/>
      <w:lvlText w:val="(%2)"/>
      <w:lvlJc w:val="right"/>
      <w:pPr>
        <w:ind w:left="1152" w:hanging="72"/>
      </w:pPr>
    </w:lvl>
    <w:lvl w:ilvl="2">
      <w:start w:val="1"/>
      <w:numFmt w:val="none"/>
      <w:lvlText w:val=""/>
      <w:lvlJc w:val="left"/>
      <w:pPr>
        <w:ind w:left="720" w:firstLine="0"/>
      </w:pPr>
    </w:lvl>
    <w:lvl w:ilvl="3">
      <w:start w:val="1"/>
      <w:numFmt w:val="none"/>
      <w:lvlText w:val=""/>
      <w:lvlJc w:val="left"/>
      <w:pPr>
        <w:ind w:left="720" w:firstLine="0"/>
      </w:pPr>
    </w:lvl>
    <w:lvl w:ilvl="4">
      <w:start w:val="1"/>
      <w:numFmt w:val="none"/>
      <w:lvlText w:val=""/>
      <w:lvlJc w:val="left"/>
      <w:pPr>
        <w:ind w:left="720" w:firstLine="0"/>
      </w:pPr>
    </w:lvl>
    <w:lvl w:ilvl="5">
      <w:start w:val="1"/>
      <w:numFmt w:val="none"/>
      <w:lvlText w:val=""/>
      <w:lvlJc w:val="left"/>
      <w:pPr>
        <w:ind w:left="720" w:firstLine="0"/>
      </w:pPr>
    </w:lvl>
    <w:lvl w:ilvl="6">
      <w:start w:val="1"/>
      <w:numFmt w:val="none"/>
      <w:lvlText w:val=""/>
      <w:lvlJc w:val="left"/>
      <w:pPr>
        <w:ind w:left="720" w:firstLine="0"/>
      </w:pPr>
    </w:lvl>
    <w:lvl w:ilvl="7">
      <w:start w:val="1"/>
      <w:numFmt w:val="none"/>
      <w:lvlText w:val=""/>
      <w:lvlJc w:val="left"/>
      <w:pPr>
        <w:ind w:left="720" w:firstLine="0"/>
      </w:pPr>
    </w:lvl>
    <w:lvl w:ilvl="8">
      <w:start w:val="1"/>
      <w:numFmt w:val="none"/>
      <w:lvlText w:val=""/>
      <w:lvlJc w:val="left"/>
      <w:pPr>
        <w:ind w:left="720" w:firstLine="0"/>
      </w:pPr>
    </w:lvl>
  </w:abstractNum>
  <w:abstractNum w:abstractNumId="3" w15:restartNumberingAfterBreak="0">
    <w:nsid w:val="170D0BC9"/>
    <w:multiLevelType w:val="hybridMultilevel"/>
    <w:tmpl w:val="B73AD1E0"/>
    <w:lvl w:ilvl="0" w:tplc="FFFFFFFF">
      <w:start w:val="1"/>
      <w:numFmt w:val="decimal"/>
      <w:lvlText w:val="(%1)"/>
      <w:lvlJc w:val="left"/>
      <w:pPr>
        <w:ind w:left="720" w:hanging="360"/>
      </w:pPr>
      <w:rPr>
        <w:rFonts w:ascii="Book Antiqua" w:eastAsiaTheme="minorHAnsi" w:hAnsi="Book Antiqua" w:cstheme="minorBidi"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CAA3775"/>
    <w:multiLevelType w:val="hybridMultilevel"/>
    <w:tmpl w:val="B73AD1E0"/>
    <w:lvl w:ilvl="0" w:tplc="8F1A56B4">
      <w:start w:val="1"/>
      <w:numFmt w:val="decimal"/>
      <w:lvlText w:val="(%1)"/>
      <w:lvlJc w:val="left"/>
      <w:pPr>
        <w:ind w:left="720" w:hanging="360"/>
      </w:pPr>
      <w:rPr>
        <w:rFonts w:ascii="Book Antiqua" w:eastAsiaTheme="minorHAnsi" w:hAnsi="Book Antiqua" w:cstheme="minorBid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1F6D42"/>
    <w:multiLevelType w:val="multilevel"/>
    <w:tmpl w:val="3C526EDE"/>
    <w:styleLink w:val="Headings"/>
    <w:lvl w:ilvl="0">
      <w:start w:val="1"/>
      <w:numFmt w:val="decimal"/>
      <w:lvlText w:val="%1."/>
      <w:lvlJc w:val="left"/>
      <w:pPr>
        <w:ind w:left="720" w:hanging="720"/>
      </w:pPr>
      <w:rPr>
        <w:rFonts w:ascii="Arial" w:hAnsi="Arial" w:cs="Times New Roman" w:hint="default"/>
        <w:b/>
        <w:i w:val="0"/>
        <w:caps w:val="0"/>
        <w:strike w:val="0"/>
        <w:dstrike w:val="0"/>
        <w:vanish w:val="0"/>
        <w:webHidden w:val="0"/>
        <w:color w:val="auto"/>
        <w:kern w:val="0"/>
        <w:position w:val="0"/>
        <w:sz w:val="26"/>
        <w:u w:val="none"/>
        <w:effect w:val="none"/>
        <w:vertAlign w:val="baseline"/>
        <w:specVanish w:val="0"/>
        <w14:ligatures w14:val="none"/>
        <w14:numSpacing w14:val="default"/>
        <w14:cntxtAlts w14:val="0"/>
      </w:rPr>
    </w:lvl>
    <w:lvl w:ilvl="1">
      <w:start w:val="1"/>
      <w:numFmt w:val="decimal"/>
      <w:lvlText w:val="%1.%2."/>
      <w:lvlJc w:val="left"/>
      <w:pPr>
        <w:tabs>
          <w:tab w:val="num" w:pos="1080"/>
        </w:tabs>
        <w:ind w:left="1080" w:hanging="720"/>
      </w:pPr>
      <w:rPr>
        <w:rFonts w:ascii="Arial" w:hAnsi="Arial" w:cs="Times New Roman" w:hint="default"/>
        <w:b/>
        <w:i w:val="0"/>
        <w:caps w:val="0"/>
        <w:strike w:val="0"/>
        <w:dstrike w:val="0"/>
        <w:vanish w:val="0"/>
        <w:webHidden w:val="0"/>
        <w:color w:val="auto"/>
        <w:kern w:val="0"/>
        <w:sz w:val="26"/>
        <w:u w:val="none"/>
        <w:effect w:val="none"/>
        <w:vertAlign w:val="baseline"/>
        <w:specVanish w:val="0"/>
        <w14:cntxtAlts w14:val="0"/>
      </w:rPr>
    </w:lvl>
    <w:lvl w:ilvl="2">
      <w:start w:val="1"/>
      <w:numFmt w:val="decimal"/>
      <w:lvlText w:val="%1.%2.%3."/>
      <w:lvlJc w:val="left"/>
      <w:pPr>
        <w:tabs>
          <w:tab w:val="num" w:pos="1656"/>
        </w:tabs>
        <w:ind w:left="1656" w:hanging="936"/>
      </w:pPr>
      <w:rPr>
        <w:rFonts w:ascii="Arial" w:hAnsi="Arial" w:cs="Times New Roman" w:hint="default"/>
        <w:b/>
        <w:i w:val="0"/>
        <w:caps w:val="0"/>
        <w:strike w:val="0"/>
        <w:dstrike w:val="0"/>
        <w:vanish w:val="0"/>
        <w:webHidden w:val="0"/>
        <w:color w:val="auto"/>
        <w:kern w:val="0"/>
        <w:sz w:val="26"/>
        <w:u w:val="none"/>
        <w:effect w:val="none"/>
        <w:vertAlign w:val="baseline"/>
        <w:specVanish w:val="0"/>
        <w14:cntxtAlts w14:val="0"/>
      </w:rPr>
    </w:lvl>
    <w:lvl w:ilvl="3">
      <w:start w:val="1"/>
      <w:numFmt w:val="decimal"/>
      <w:lvlText w:val="%1.%2.%3.%4."/>
      <w:lvlJc w:val="left"/>
      <w:pPr>
        <w:tabs>
          <w:tab w:val="num" w:pos="2232"/>
        </w:tabs>
        <w:ind w:left="2232" w:hanging="1152"/>
      </w:pPr>
      <w:rPr>
        <w:rFonts w:ascii="Arial" w:hAnsi="Arial" w:cs="Times New Roman" w:hint="default"/>
        <w:b/>
        <w:i w:val="0"/>
        <w:caps w:val="0"/>
        <w:strike w:val="0"/>
        <w:dstrike w:val="0"/>
        <w:vanish w:val="0"/>
        <w:webHidden w:val="0"/>
        <w:kern w:val="0"/>
        <w:sz w:val="26"/>
        <w:u w:val="none"/>
        <w:effect w:val="none"/>
        <w:vertAlign w:val="baseline"/>
        <w:specVanish w:val="0"/>
        <w14:cntxtAlts w14:val="0"/>
      </w:rPr>
    </w:lvl>
    <w:lvl w:ilvl="4">
      <w:start w:val="1"/>
      <w:numFmt w:val="decimal"/>
      <w:lvlText w:val="%1.%2.%3.%4.%5."/>
      <w:lvlJc w:val="left"/>
      <w:pPr>
        <w:tabs>
          <w:tab w:val="num" w:pos="2880"/>
        </w:tabs>
        <w:ind w:left="2880" w:hanging="1440"/>
      </w:pPr>
      <w:rPr>
        <w:rFonts w:ascii="Arial" w:hAnsi="Arial" w:cs="Times New Roman" w:hint="default"/>
        <w:b/>
        <w:i w:val="0"/>
        <w:sz w:val="26"/>
      </w:rPr>
    </w:lvl>
    <w:lvl w:ilvl="5">
      <w:start w:val="1"/>
      <w:numFmt w:val="decimal"/>
      <w:lvlText w:val="%1.%2.%3.%4.%5.%6."/>
      <w:lvlJc w:val="left"/>
      <w:pPr>
        <w:tabs>
          <w:tab w:val="num" w:pos="3528"/>
        </w:tabs>
        <w:ind w:left="3528" w:hanging="1728"/>
      </w:pPr>
      <w:rPr>
        <w:rFonts w:ascii="Arial" w:hAnsi="Arial" w:cs="Times New Roman" w:hint="default"/>
        <w:b/>
        <w:i w:val="0"/>
        <w:sz w:val="26"/>
      </w:rPr>
    </w:lvl>
    <w:lvl w:ilvl="6">
      <w:start w:val="1"/>
      <w:numFmt w:val="decimal"/>
      <w:lvlText w:val="%7."/>
      <w:lvlJc w:val="left"/>
      <w:pPr>
        <w:tabs>
          <w:tab w:val="num" w:pos="1080"/>
        </w:tabs>
        <w:ind w:left="1080" w:hanging="360"/>
      </w:pPr>
      <w:rPr>
        <w:rFonts w:ascii="Book Antiqua" w:hAnsi="Book Antiqua" w:hint="default"/>
        <w:b w:val="0"/>
        <w:i w:val="0"/>
        <w:sz w:val="26"/>
      </w:rPr>
    </w:lvl>
    <w:lvl w:ilvl="7">
      <w:start w:val="1"/>
      <w:numFmt w:val="lowerLetter"/>
      <w:lvlText w:val="%8."/>
      <w:lvlJc w:val="left"/>
      <w:pPr>
        <w:ind w:left="1080" w:hanging="360"/>
      </w:pPr>
      <w:rPr>
        <w:rFonts w:ascii="Book Antiqua" w:hAnsi="Book Antiqua" w:hint="default"/>
        <w:sz w:val="26"/>
      </w:rPr>
    </w:lvl>
    <w:lvl w:ilvl="8">
      <w:start w:val="1"/>
      <w:numFmt w:val="none"/>
      <w:lvlText w:val=""/>
      <w:lvlJc w:val="left"/>
      <w:pPr>
        <w:ind w:left="3240" w:hanging="360"/>
      </w:pPr>
    </w:lvl>
  </w:abstractNum>
  <w:abstractNum w:abstractNumId="6" w15:restartNumberingAfterBreak="0">
    <w:nsid w:val="3B305DA9"/>
    <w:multiLevelType w:val="hybridMultilevel"/>
    <w:tmpl w:val="00225B30"/>
    <w:lvl w:ilvl="0" w:tplc="C69C065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470894"/>
    <w:multiLevelType w:val="hybridMultilevel"/>
    <w:tmpl w:val="A142E630"/>
    <w:lvl w:ilvl="0" w:tplc="868E840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F990FA8"/>
    <w:multiLevelType w:val="hybridMultilevel"/>
    <w:tmpl w:val="C3924AA8"/>
    <w:lvl w:ilvl="0" w:tplc="69845770">
      <w:start w:val="1"/>
      <w:numFmt w:val="decimal"/>
      <w:lvlText w:val="%1."/>
      <w:lvlJc w:val="left"/>
      <w:pPr>
        <w:ind w:left="1080" w:hanging="360"/>
      </w:pPr>
      <w:rPr>
        <w:rFonts w:ascii="Book Antiqua" w:eastAsia="Book Antiqua" w:hAnsi="Book Antiqua" w:cs="Book Antiqu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6EC2199"/>
    <w:multiLevelType w:val="hybridMultilevel"/>
    <w:tmpl w:val="EC66A3E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89A0AFE"/>
    <w:multiLevelType w:val="multilevel"/>
    <w:tmpl w:val="5106AAF2"/>
    <w:numStyleLink w:val="FoFCoLOP"/>
  </w:abstractNum>
  <w:num w:numId="1" w16cid:durableId="12911353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57602093">
    <w:abstractNumId w:val="2"/>
  </w:num>
  <w:num w:numId="3" w16cid:durableId="529757050">
    <w:abstractNumId w:val="5"/>
  </w:num>
  <w:num w:numId="4" w16cid:durableId="1187869643">
    <w:abstractNumId w:val="6"/>
  </w:num>
  <w:num w:numId="5" w16cid:durableId="436338899">
    <w:abstractNumId w:val="4"/>
  </w:num>
  <w:num w:numId="6" w16cid:durableId="279567">
    <w:abstractNumId w:val="8"/>
  </w:num>
  <w:num w:numId="7" w16cid:durableId="1542478024">
    <w:abstractNumId w:val="3"/>
  </w:num>
  <w:num w:numId="8" w16cid:durableId="2120830301">
    <w:abstractNumId w:val="1"/>
  </w:num>
  <w:num w:numId="9" w16cid:durableId="123626310">
    <w:abstractNumId w:val="7"/>
  </w:num>
  <w:num w:numId="10" w16cid:durableId="861557274">
    <w:abstractNumId w:val="0"/>
  </w:num>
  <w:num w:numId="11" w16cid:durableId="797068625">
    <w:abstractNumId w:val="9"/>
  </w:num>
  <w:num w:numId="12" w16cid:durableId="13602047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BB2"/>
    <w:rsid w:val="00010F91"/>
    <w:rsid w:val="000167FF"/>
    <w:rsid w:val="000202F4"/>
    <w:rsid w:val="00033B94"/>
    <w:rsid w:val="000366EA"/>
    <w:rsid w:val="000404F7"/>
    <w:rsid w:val="000435B9"/>
    <w:rsid w:val="00043716"/>
    <w:rsid w:val="00044233"/>
    <w:rsid w:val="0004623F"/>
    <w:rsid w:val="00046C9C"/>
    <w:rsid w:val="00050EA9"/>
    <w:rsid w:val="00053374"/>
    <w:rsid w:val="000545A5"/>
    <w:rsid w:val="000547C1"/>
    <w:rsid w:val="000562D5"/>
    <w:rsid w:val="000568EF"/>
    <w:rsid w:val="00060E1D"/>
    <w:rsid w:val="000627FD"/>
    <w:rsid w:val="00064ABD"/>
    <w:rsid w:val="00064C17"/>
    <w:rsid w:val="0006609B"/>
    <w:rsid w:val="00070194"/>
    <w:rsid w:val="000701A0"/>
    <w:rsid w:val="00071760"/>
    <w:rsid w:val="000758CC"/>
    <w:rsid w:val="000779DE"/>
    <w:rsid w:val="00077C37"/>
    <w:rsid w:val="00085EA8"/>
    <w:rsid w:val="00092D61"/>
    <w:rsid w:val="00094415"/>
    <w:rsid w:val="0009664E"/>
    <w:rsid w:val="000A18A8"/>
    <w:rsid w:val="000A1B71"/>
    <w:rsid w:val="000A5A26"/>
    <w:rsid w:val="000B052D"/>
    <w:rsid w:val="000B0D57"/>
    <w:rsid w:val="000B10CA"/>
    <w:rsid w:val="000B6169"/>
    <w:rsid w:val="000C1A24"/>
    <w:rsid w:val="000C2740"/>
    <w:rsid w:val="000D3519"/>
    <w:rsid w:val="000D6552"/>
    <w:rsid w:val="000D7E6A"/>
    <w:rsid w:val="000E41B7"/>
    <w:rsid w:val="000F045D"/>
    <w:rsid w:val="000F0973"/>
    <w:rsid w:val="000F14CA"/>
    <w:rsid w:val="000F25C3"/>
    <w:rsid w:val="000F326C"/>
    <w:rsid w:val="00106001"/>
    <w:rsid w:val="00107CCC"/>
    <w:rsid w:val="0011793F"/>
    <w:rsid w:val="0012062F"/>
    <w:rsid w:val="00122C05"/>
    <w:rsid w:val="001271CF"/>
    <w:rsid w:val="00132353"/>
    <w:rsid w:val="00132D4D"/>
    <w:rsid w:val="0014087C"/>
    <w:rsid w:val="00145015"/>
    <w:rsid w:val="001506AB"/>
    <w:rsid w:val="00153069"/>
    <w:rsid w:val="00156573"/>
    <w:rsid w:val="00160B04"/>
    <w:rsid w:val="0017210B"/>
    <w:rsid w:val="00183111"/>
    <w:rsid w:val="00184695"/>
    <w:rsid w:val="00184950"/>
    <w:rsid w:val="00184EBD"/>
    <w:rsid w:val="001852E6"/>
    <w:rsid w:val="00190638"/>
    <w:rsid w:val="001939AF"/>
    <w:rsid w:val="0019772C"/>
    <w:rsid w:val="001A02A1"/>
    <w:rsid w:val="001B5069"/>
    <w:rsid w:val="001C46B1"/>
    <w:rsid w:val="001C49B0"/>
    <w:rsid w:val="001D656A"/>
    <w:rsid w:val="001D7596"/>
    <w:rsid w:val="001E5873"/>
    <w:rsid w:val="001E79D6"/>
    <w:rsid w:val="001F2146"/>
    <w:rsid w:val="00200352"/>
    <w:rsid w:val="00204EDB"/>
    <w:rsid w:val="002138DF"/>
    <w:rsid w:val="00220695"/>
    <w:rsid w:val="00221179"/>
    <w:rsid w:val="00223015"/>
    <w:rsid w:val="002233F4"/>
    <w:rsid w:val="00227035"/>
    <w:rsid w:val="00231BD1"/>
    <w:rsid w:val="002321A9"/>
    <w:rsid w:val="002327FF"/>
    <w:rsid w:val="0024007D"/>
    <w:rsid w:val="00240A54"/>
    <w:rsid w:val="00240AE3"/>
    <w:rsid w:val="00240E1D"/>
    <w:rsid w:val="0024140F"/>
    <w:rsid w:val="0024731E"/>
    <w:rsid w:val="0025009C"/>
    <w:rsid w:val="00261AFC"/>
    <w:rsid w:val="002751B0"/>
    <w:rsid w:val="00275804"/>
    <w:rsid w:val="00277307"/>
    <w:rsid w:val="00280559"/>
    <w:rsid w:val="00281B2E"/>
    <w:rsid w:val="00282552"/>
    <w:rsid w:val="002852E9"/>
    <w:rsid w:val="00290AD3"/>
    <w:rsid w:val="00293CE8"/>
    <w:rsid w:val="002A4093"/>
    <w:rsid w:val="002A5F55"/>
    <w:rsid w:val="002A7DD9"/>
    <w:rsid w:val="002B7473"/>
    <w:rsid w:val="002C3338"/>
    <w:rsid w:val="002D2A58"/>
    <w:rsid w:val="002D2B1F"/>
    <w:rsid w:val="002D65D4"/>
    <w:rsid w:val="002E19B4"/>
    <w:rsid w:val="002E2B0A"/>
    <w:rsid w:val="002F24CD"/>
    <w:rsid w:val="002F5052"/>
    <w:rsid w:val="002F7F13"/>
    <w:rsid w:val="00300B2B"/>
    <w:rsid w:val="00303643"/>
    <w:rsid w:val="003046B8"/>
    <w:rsid w:val="00305E8C"/>
    <w:rsid w:val="00305FFF"/>
    <w:rsid w:val="00307724"/>
    <w:rsid w:val="00310326"/>
    <w:rsid w:val="00312881"/>
    <w:rsid w:val="0031553D"/>
    <w:rsid w:val="00315789"/>
    <w:rsid w:val="00332FD2"/>
    <w:rsid w:val="003350B9"/>
    <w:rsid w:val="003362C8"/>
    <w:rsid w:val="00337ED3"/>
    <w:rsid w:val="00340002"/>
    <w:rsid w:val="003401E4"/>
    <w:rsid w:val="003415AC"/>
    <w:rsid w:val="003478FA"/>
    <w:rsid w:val="003506BB"/>
    <w:rsid w:val="003547D5"/>
    <w:rsid w:val="0035512D"/>
    <w:rsid w:val="00357AE7"/>
    <w:rsid w:val="00365A6A"/>
    <w:rsid w:val="00366B79"/>
    <w:rsid w:val="00367271"/>
    <w:rsid w:val="00367D76"/>
    <w:rsid w:val="003820A8"/>
    <w:rsid w:val="003866EF"/>
    <w:rsid w:val="00386F67"/>
    <w:rsid w:val="003879A7"/>
    <w:rsid w:val="0039147A"/>
    <w:rsid w:val="00391E79"/>
    <w:rsid w:val="0039569F"/>
    <w:rsid w:val="003A711F"/>
    <w:rsid w:val="003B2A71"/>
    <w:rsid w:val="003B4BAA"/>
    <w:rsid w:val="003C11FD"/>
    <w:rsid w:val="003C5B7C"/>
    <w:rsid w:val="003C5E70"/>
    <w:rsid w:val="003C6880"/>
    <w:rsid w:val="003C6DF0"/>
    <w:rsid w:val="003C753E"/>
    <w:rsid w:val="003D24BA"/>
    <w:rsid w:val="003D6EFC"/>
    <w:rsid w:val="003E6A96"/>
    <w:rsid w:val="003F308A"/>
    <w:rsid w:val="003F4F23"/>
    <w:rsid w:val="003F6859"/>
    <w:rsid w:val="004031E8"/>
    <w:rsid w:val="00403693"/>
    <w:rsid w:val="00405452"/>
    <w:rsid w:val="0040766A"/>
    <w:rsid w:val="00412862"/>
    <w:rsid w:val="00414E5E"/>
    <w:rsid w:val="0041753F"/>
    <w:rsid w:val="004233CE"/>
    <w:rsid w:val="00423FC8"/>
    <w:rsid w:val="00424342"/>
    <w:rsid w:val="00444A04"/>
    <w:rsid w:val="00446139"/>
    <w:rsid w:val="004508A1"/>
    <w:rsid w:val="00450A03"/>
    <w:rsid w:val="00451106"/>
    <w:rsid w:val="00455882"/>
    <w:rsid w:val="004558A6"/>
    <w:rsid w:val="004663D2"/>
    <w:rsid w:val="00466CA7"/>
    <w:rsid w:val="0047027D"/>
    <w:rsid w:val="00475C3B"/>
    <w:rsid w:val="00477A21"/>
    <w:rsid w:val="00493F98"/>
    <w:rsid w:val="00496F61"/>
    <w:rsid w:val="00497C61"/>
    <w:rsid w:val="004A705B"/>
    <w:rsid w:val="004C2C8C"/>
    <w:rsid w:val="004D01BE"/>
    <w:rsid w:val="004D0A06"/>
    <w:rsid w:val="004D2B0E"/>
    <w:rsid w:val="004D3BF0"/>
    <w:rsid w:val="004D55C4"/>
    <w:rsid w:val="004E1A3A"/>
    <w:rsid w:val="004E4A87"/>
    <w:rsid w:val="004F2044"/>
    <w:rsid w:val="004F7546"/>
    <w:rsid w:val="00500167"/>
    <w:rsid w:val="0050696A"/>
    <w:rsid w:val="005073D3"/>
    <w:rsid w:val="00507911"/>
    <w:rsid w:val="00512118"/>
    <w:rsid w:val="00513469"/>
    <w:rsid w:val="00515BD6"/>
    <w:rsid w:val="005307A6"/>
    <w:rsid w:val="00531002"/>
    <w:rsid w:val="00531BA0"/>
    <w:rsid w:val="00534590"/>
    <w:rsid w:val="005379A1"/>
    <w:rsid w:val="00543CBD"/>
    <w:rsid w:val="0054439A"/>
    <w:rsid w:val="005462D1"/>
    <w:rsid w:val="00547F77"/>
    <w:rsid w:val="005563D1"/>
    <w:rsid w:val="00557E51"/>
    <w:rsid w:val="00561B26"/>
    <w:rsid w:val="00567212"/>
    <w:rsid w:val="00573B30"/>
    <w:rsid w:val="00580A8B"/>
    <w:rsid w:val="00581849"/>
    <w:rsid w:val="0058301B"/>
    <w:rsid w:val="00584B4D"/>
    <w:rsid w:val="00590A62"/>
    <w:rsid w:val="00594360"/>
    <w:rsid w:val="00596A0F"/>
    <w:rsid w:val="005A6DF8"/>
    <w:rsid w:val="005B1B13"/>
    <w:rsid w:val="005B6661"/>
    <w:rsid w:val="005C101B"/>
    <w:rsid w:val="005C1EC5"/>
    <w:rsid w:val="005C2A80"/>
    <w:rsid w:val="005C76D1"/>
    <w:rsid w:val="005D2117"/>
    <w:rsid w:val="005E0214"/>
    <w:rsid w:val="005E0B71"/>
    <w:rsid w:val="005E6F31"/>
    <w:rsid w:val="005F61C3"/>
    <w:rsid w:val="005F759B"/>
    <w:rsid w:val="005F7D2E"/>
    <w:rsid w:val="00604068"/>
    <w:rsid w:val="00607025"/>
    <w:rsid w:val="00607335"/>
    <w:rsid w:val="00610302"/>
    <w:rsid w:val="0061128F"/>
    <w:rsid w:val="006112E0"/>
    <w:rsid w:val="00611730"/>
    <w:rsid w:val="006121DD"/>
    <w:rsid w:val="00613EC6"/>
    <w:rsid w:val="006150F3"/>
    <w:rsid w:val="00615F0B"/>
    <w:rsid w:val="006169FB"/>
    <w:rsid w:val="00624E04"/>
    <w:rsid w:val="006317BC"/>
    <w:rsid w:val="0063351F"/>
    <w:rsid w:val="00633BD4"/>
    <w:rsid w:val="0063539A"/>
    <w:rsid w:val="006465F4"/>
    <w:rsid w:val="0064712C"/>
    <w:rsid w:val="00647DF1"/>
    <w:rsid w:val="00655B0C"/>
    <w:rsid w:val="00657E4F"/>
    <w:rsid w:val="006639EA"/>
    <w:rsid w:val="006711BF"/>
    <w:rsid w:val="0067162C"/>
    <w:rsid w:val="00674655"/>
    <w:rsid w:val="006747CC"/>
    <w:rsid w:val="00677372"/>
    <w:rsid w:val="00682042"/>
    <w:rsid w:val="00684BFC"/>
    <w:rsid w:val="00685ECE"/>
    <w:rsid w:val="00690AFB"/>
    <w:rsid w:val="006920ED"/>
    <w:rsid w:val="006A1655"/>
    <w:rsid w:val="006A7ECD"/>
    <w:rsid w:val="006B4B55"/>
    <w:rsid w:val="006C006E"/>
    <w:rsid w:val="006C4D71"/>
    <w:rsid w:val="006D0BEF"/>
    <w:rsid w:val="006D5100"/>
    <w:rsid w:val="006D7A73"/>
    <w:rsid w:val="006E008D"/>
    <w:rsid w:val="006E4DC0"/>
    <w:rsid w:val="006E54A2"/>
    <w:rsid w:val="00701C1E"/>
    <w:rsid w:val="00715137"/>
    <w:rsid w:val="007160E1"/>
    <w:rsid w:val="007161A8"/>
    <w:rsid w:val="00720249"/>
    <w:rsid w:val="007262C1"/>
    <w:rsid w:val="00731413"/>
    <w:rsid w:val="00736931"/>
    <w:rsid w:val="0074612A"/>
    <w:rsid w:val="0075321E"/>
    <w:rsid w:val="007614B6"/>
    <w:rsid w:val="00774DDD"/>
    <w:rsid w:val="0077776C"/>
    <w:rsid w:val="00783C44"/>
    <w:rsid w:val="00796274"/>
    <w:rsid w:val="007A2D86"/>
    <w:rsid w:val="007A6145"/>
    <w:rsid w:val="007A615C"/>
    <w:rsid w:val="007B38C4"/>
    <w:rsid w:val="007B5101"/>
    <w:rsid w:val="007B787B"/>
    <w:rsid w:val="007C3B69"/>
    <w:rsid w:val="007C50FC"/>
    <w:rsid w:val="007D357C"/>
    <w:rsid w:val="007E12C1"/>
    <w:rsid w:val="007E5E3B"/>
    <w:rsid w:val="007F287B"/>
    <w:rsid w:val="007F33C0"/>
    <w:rsid w:val="007F5ADF"/>
    <w:rsid w:val="008016C4"/>
    <w:rsid w:val="008031F8"/>
    <w:rsid w:val="00803BAE"/>
    <w:rsid w:val="00813E8F"/>
    <w:rsid w:val="008164E7"/>
    <w:rsid w:val="0081748D"/>
    <w:rsid w:val="00820168"/>
    <w:rsid w:val="00820ACC"/>
    <w:rsid w:val="00825640"/>
    <w:rsid w:val="00826BA3"/>
    <w:rsid w:val="0083006A"/>
    <w:rsid w:val="0083259C"/>
    <w:rsid w:val="00833D03"/>
    <w:rsid w:val="00833E96"/>
    <w:rsid w:val="00840BFE"/>
    <w:rsid w:val="00851581"/>
    <w:rsid w:val="00867F2A"/>
    <w:rsid w:val="00875412"/>
    <w:rsid w:val="00882F5A"/>
    <w:rsid w:val="00883F78"/>
    <w:rsid w:val="00884F8B"/>
    <w:rsid w:val="008971E9"/>
    <w:rsid w:val="00897D0A"/>
    <w:rsid w:val="008A0833"/>
    <w:rsid w:val="008A6759"/>
    <w:rsid w:val="008B5134"/>
    <w:rsid w:val="008C22B7"/>
    <w:rsid w:val="008D1B28"/>
    <w:rsid w:val="008E62F6"/>
    <w:rsid w:val="008E7016"/>
    <w:rsid w:val="008F0DF7"/>
    <w:rsid w:val="008F5781"/>
    <w:rsid w:val="008F7D29"/>
    <w:rsid w:val="0091386F"/>
    <w:rsid w:val="0091613D"/>
    <w:rsid w:val="009200F9"/>
    <w:rsid w:val="00934401"/>
    <w:rsid w:val="0094170B"/>
    <w:rsid w:val="009431DC"/>
    <w:rsid w:val="0094594D"/>
    <w:rsid w:val="00945DF7"/>
    <w:rsid w:val="00952369"/>
    <w:rsid w:val="009559BF"/>
    <w:rsid w:val="00956CD5"/>
    <w:rsid w:val="00957C04"/>
    <w:rsid w:val="0096157E"/>
    <w:rsid w:val="0096518F"/>
    <w:rsid w:val="009705AF"/>
    <w:rsid w:val="00976BA3"/>
    <w:rsid w:val="00984B46"/>
    <w:rsid w:val="0098776E"/>
    <w:rsid w:val="009913B8"/>
    <w:rsid w:val="009A162E"/>
    <w:rsid w:val="009A2900"/>
    <w:rsid w:val="009A4036"/>
    <w:rsid w:val="009A479A"/>
    <w:rsid w:val="009A487F"/>
    <w:rsid w:val="009A7283"/>
    <w:rsid w:val="009B0A3D"/>
    <w:rsid w:val="009B67B2"/>
    <w:rsid w:val="009C07F2"/>
    <w:rsid w:val="009C511C"/>
    <w:rsid w:val="009D2694"/>
    <w:rsid w:val="009E4685"/>
    <w:rsid w:val="009F32EB"/>
    <w:rsid w:val="00A02D07"/>
    <w:rsid w:val="00A05809"/>
    <w:rsid w:val="00A05CCF"/>
    <w:rsid w:val="00A14967"/>
    <w:rsid w:val="00A21629"/>
    <w:rsid w:val="00A220F3"/>
    <w:rsid w:val="00A234D7"/>
    <w:rsid w:val="00A27535"/>
    <w:rsid w:val="00A27B26"/>
    <w:rsid w:val="00A37348"/>
    <w:rsid w:val="00A41BF4"/>
    <w:rsid w:val="00A429B7"/>
    <w:rsid w:val="00A447F4"/>
    <w:rsid w:val="00A52E6F"/>
    <w:rsid w:val="00A54DAA"/>
    <w:rsid w:val="00A57472"/>
    <w:rsid w:val="00A76255"/>
    <w:rsid w:val="00A77FC8"/>
    <w:rsid w:val="00A83C94"/>
    <w:rsid w:val="00A86C4A"/>
    <w:rsid w:val="00A947B4"/>
    <w:rsid w:val="00A96DFC"/>
    <w:rsid w:val="00AA451D"/>
    <w:rsid w:val="00AB0051"/>
    <w:rsid w:val="00AB0AF4"/>
    <w:rsid w:val="00AB24EF"/>
    <w:rsid w:val="00AB418C"/>
    <w:rsid w:val="00AB484B"/>
    <w:rsid w:val="00AC30AB"/>
    <w:rsid w:val="00AC3BB2"/>
    <w:rsid w:val="00AC6663"/>
    <w:rsid w:val="00AD20EB"/>
    <w:rsid w:val="00AD6583"/>
    <w:rsid w:val="00AD73FC"/>
    <w:rsid w:val="00AE2291"/>
    <w:rsid w:val="00AE58FE"/>
    <w:rsid w:val="00AF01DA"/>
    <w:rsid w:val="00AF6527"/>
    <w:rsid w:val="00AF72FA"/>
    <w:rsid w:val="00B06A30"/>
    <w:rsid w:val="00B06AAA"/>
    <w:rsid w:val="00B06B89"/>
    <w:rsid w:val="00B104FD"/>
    <w:rsid w:val="00B12598"/>
    <w:rsid w:val="00B237CC"/>
    <w:rsid w:val="00B25DDD"/>
    <w:rsid w:val="00B30226"/>
    <w:rsid w:val="00B3092E"/>
    <w:rsid w:val="00B32209"/>
    <w:rsid w:val="00B342BB"/>
    <w:rsid w:val="00B3491F"/>
    <w:rsid w:val="00B45053"/>
    <w:rsid w:val="00B51381"/>
    <w:rsid w:val="00B51B81"/>
    <w:rsid w:val="00B57A2F"/>
    <w:rsid w:val="00B64E80"/>
    <w:rsid w:val="00B65A05"/>
    <w:rsid w:val="00B6606F"/>
    <w:rsid w:val="00B67DA9"/>
    <w:rsid w:val="00B67DE8"/>
    <w:rsid w:val="00B70CAD"/>
    <w:rsid w:val="00B720FE"/>
    <w:rsid w:val="00B72353"/>
    <w:rsid w:val="00B726D5"/>
    <w:rsid w:val="00B73D03"/>
    <w:rsid w:val="00B86663"/>
    <w:rsid w:val="00B86D4C"/>
    <w:rsid w:val="00B9333D"/>
    <w:rsid w:val="00B97C0A"/>
    <w:rsid w:val="00BA13D4"/>
    <w:rsid w:val="00BA6BE2"/>
    <w:rsid w:val="00BA7DED"/>
    <w:rsid w:val="00BB1AB4"/>
    <w:rsid w:val="00BB2AAD"/>
    <w:rsid w:val="00BB2B27"/>
    <w:rsid w:val="00BC203E"/>
    <w:rsid w:val="00BC3BB8"/>
    <w:rsid w:val="00BC65AC"/>
    <w:rsid w:val="00BE0A98"/>
    <w:rsid w:val="00BE7C08"/>
    <w:rsid w:val="00BF204D"/>
    <w:rsid w:val="00BF6382"/>
    <w:rsid w:val="00C0007B"/>
    <w:rsid w:val="00C04B62"/>
    <w:rsid w:val="00C056F4"/>
    <w:rsid w:val="00C13297"/>
    <w:rsid w:val="00C20D46"/>
    <w:rsid w:val="00C212A5"/>
    <w:rsid w:val="00C21CD0"/>
    <w:rsid w:val="00C23719"/>
    <w:rsid w:val="00C24144"/>
    <w:rsid w:val="00C24EE5"/>
    <w:rsid w:val="00C25C22"/>
    <w:rsid w:val="00C30F62"/>
    <w:rsid w:val="00C34342"/>
    <w:rsid w:val="00C3600E"/>
    <w:rsid w:val="00C46C2A"/>
    <w:rsid w:val="00C50139"/>
    <w:rsid w:val="00C643C4"/>
    <w:rsid w:val="00C64AC7"/>
    <w:rsid w:val="00C65C42"/>
    <w:rsid w:val="00C66E67"/>
    <w:rsid w:val="00C6761A"/>
    <w:rsid w:val="00C748AD"/>
    <w:rsid w:val="00C82430"/>
    <w:rsid w:val="00C8274E"/>
    <w:rsid w:val="00C95B51"/>
    <w:rsid w:val="00CA27FC"/>
    <w:rsid w:val="00CA3CCF"/>
    <w:rsid w:val="00CA7105"/>
    <w:rsid w:val="00CB03FD"/>
    <w:rsid w:val="00CB37E3"/>
    <w:rsid w:val="00CC3691"/>
    <w:rsid w:val="00CC4945"/>
    <w:rsid w:val="00CD0B35"/>
    <w:rsid w:val="00CE39F8"/>
    <w:rsid w:val="00CE3E68"/>
    <w:rsid w:val="00CF0DB0"/>
    <w:rsid w:val="00D0069B"/>
    <w:rsid w:val="00D04463"/>
    <w:rsid w:val="00D046DC"/>
    <w:rsid w:val="00D06F90"/>
    <w:rsid w:val="00D11818"/>
    <w:rsid w:val="00D120BB"/>
    <w:rsid w:val="00D12AAF"/>
    <w:rsid w:val="00D23386"/>
    <w:rsid w:val="00D4591E"/>
    <w:rsid w:val="00D50977"/>
    <w:rsid w:val="00D535A6"/>
    <w:rsid w:val="00D57A4E"/>
    <w:rsid w:val="00D66882"/>
    <w:rsid w:val="00D70F94"/>
    <w:rsid w:val="00D7602A"/>
    <w:rsid w:val="00D840A0"/>
    <w:rsid w:val="00D86A90"/>
    <w:rsid w:val="00D871E9"/>
    <w:rsid w:val="00D93565"/>
    <w:rsid w:val="00D935C3"/>
    <w:rsid w:val="00D97398"/>
    <w:rsid w:val="00DA005C"/>
    <w:rsid w:val="00DA0A4B"/>
    <w:rsid w:val="00DA6C8D"/>
    <w:rsid w:val="00DA731C"/>
    <w:rsid w:val="00DB1E27"/>
    <w:rsid w:val="00DB2638"/>
    <w:rsid w:val="00DB44ED"/>
    <w:rsid w:val="00DD61CD"/>
    <w:rsid w:val="00DE046E"/>
    <w:rsid w:val="00DE4F5B"/>
    <w:rsid w:val="00DE67F6"/>
    <w:rsid w:val="00DF0AB7"/>
    <w:rsid w:val="00DF531C"/>
    <w:rsid w:val="00E07E1E"/>
    <w:rsid w:val="00E16C84"/>
    <w:rsid w:val="00E4224A"/>
    <w:rsid w:val="00E42D8E"/>
    <w:rsid w:val="00E431DE"/>
    <w:rsid w:val="00E45C1E"/>
    <w:rsid w:val="00E55FB2"/>
    <w:rsid w:val="00E60899"/>
    <w:rsid w:val="00E66F92"/>
    <w:rsid w:val="00E834D4"/>
    <w:rsid w:val="00E83ADB"/>
    <w:rsid w:val="00E8656E"/>
    <w:rsid w:val="00E90CD3"/>
    <w:rsid w:val="00E96F2D"/>
    <w:rsid w:val="00E976CB"/>
    <w:rsid w:val="00EA1C3A"/>
    <w:rsid w:val="00EA788F"/>
    <w:rsid w:val="00EB0677"/>
    <w:rsid w:val="00EB26E7"/>
    <w:rsid w:val="00EC0700"/>
    <w:rsid w:val="00EC27D0"/>
    <w:rsid w:val="00EC331A"/>
    <w:rsid w:val="00ED3AF0"/>
    <w:rsid w:val="00ED3F52"/>
    <w:rsid w:val="00ED5891"/>
    <w:rsid w:val="00ED64D0"/>
    <w:rsid w:val="00ED72AF"/>
    <w:rsid w:val="00EE0C4F"/>
    <w:rsid w:val="00EE3BAB"/>
    <w:rsid w:val="00EE610D"/>
    <w:rsid w:val="00EE73AD"/>
    <w:rsid w:val="00EF043C"/>
    <w:rsid w:val="00EF496E"/>
    <w:rsid w:val="00F47C02"/>
    <w:rsid w:val="00F54F2D"/>
    <w:rsid w:val="00F57378"/>
    <w:rsid w:val="00F61700"/>
    <w:rsid w:val="00F640BE"/>
    <w:rsid w:val="00F6647D"/>
    <w:rsid w:val="00F66565"/>
    <w:rsid w:val="00F740DE"/>
    <w:rsid w:val="00F768B4"/>
    <w:rsid w:val="00F7781B"/>
    <w:rsid w:val="00F83613"/>
    <w:rsid w:val="00F84144"/>
    <w:rsid w:val="00F91119"/>
    <w:rsid w:val="00F92315"/>
    <w:rsid w:val="00F94ACC"/>
    <w:rsid w:val="00F96E5C"/>
    <w:rsid w:val="00FA2A82"/>
    <w:rsid w:val="00FA36C3"/>
    <w:rsid w:val="00FB356E"/>
    <w:rsid w:val="00FB3DE7"/>
    <w:rsid w:val="00FB7FB8"/>
    <w:rsid w:val="00FC0A08"/>
    <w:rsid w:val="00FE6D52"/>
    <w:rsid w:val="00FE7893"/>
    <w:rsid w:val="00FF0275"/>
    <w:rsid w:val="00FF25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1A13E0"/>
  <w15:chartTrackingRefBased/>
  <w15:docId w15:val="{859CEFD6-930C-48D5-93AD-0D86EFB88CD0}"/>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iPriority="4"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4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3BB2"/>
    <w:pPr>
      <w:spacing w:after="0" w:line="360" w:lineRule="auto"/>
      <w:ind w:firstLine="720"/>
    </w:pPr>
    <w:rPr>
      <w:rFonts w:ascii="Book Antiqua" w:hAnsi="Book Antiqua"/>
      <w:kern w:val="0"/>
      <w:sz w:val="26"/>
      <w:szCs w:val="22"/>
      <w14:ligatures w14:val="none"/>
    </w:rPr>
  </w:style>
  <w:style w:type="paragraph" w:styleId="Heading1">
    <w:name w:val="heading 1"/>
    <w:basedOn w:val="Normal"/>
    <w:next w:val="Normal"/>
    <w:link w:val="Heading1Char"/>
    <w:uiPriority w:val="4"/>
    <w:qFormat/>
    <w:rsid w:val="00AC3B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4"/>
    <w:unhideWhenUsed/>
    <w:qFormat/>
    <w:rsid w:val="00AC3B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4"/>
    <w:semiHidden/>
    <w:unhideWhenUsed/>
    <w:qFormat/>
    <w:rsid w:val="00AC3B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4"/>
    <w:semiHidden/>
    <w:unhideWhenUsed/>
    <w:qFormat/>
    <w:rsid w:val="00AC3B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4"/>
    <w:semiHidden/>
    <w:unhideWhenUsed/>
    <w:qFormat/>
    <w:rsid w:val="00AC3B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4"/>
    <w:semiHidden/>
    <w:unhideWhenUsed/>
    <w:qFormat/>
    <w:rsid w:val="00AC3BB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3BB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3BB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3BB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4"/>
    <w:rsid w:val="00AC3B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4"/>
    <w:rsid w:val="00AC3B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3B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3B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3B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3B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3B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3B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3BB2"/>
    <w:rPr>
      <w:rFonts w:eastAsiaTheme="majorEastAsia" w:cstheme="majorBidi"/>
      <w:color w:val="272727" w:themeColor="text1" w:themeTint="D8"/>
    </w:rPr>
  </w:style>
  <w:style w:type="paragraph" w:styleId="Title">
    <w:name w:val="Title"/>
    <w:basedOn w:val="Normal"/>
    <w:next w:val="Normal"/>
    <w:link w:val="TitleChar"/>
    <w:uiPriority w:val="10"/>
    <w:qFormat/>
    <w:rsid w:val="00AC3B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3B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3BB2"/>
    <w:pPr>
      <w:numPr>
        <w:ilvl w:val="1"/>
      </w:numPr>
      <w:ind w:firstLine="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3B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3BB2"/>
    <w:pPr>
      <w:spacing w:before="160"/>
      <w:jc w:val="center"/>
    </w:pPr>
    <w:rPr>
      <w:i/>
      <w:iCs/>
      <w:color w:val="404040" w:themeColor="text1" w:themeTint="BF"/>
    </w:rPr>
  </w:style>
  <w:style w:type="character" w:customStyle="1" w:styleId="QuoteChar">
    <w:name w:val="Quote Char"/>
    <w:basedOn w:val="DefaultParagraphFont"/>
    <w:link w:val="Quote"/>
    <w:uiPriority w:val="29"/>
    <w:rsid w:val="00AC3BB2"/>
    <w:rPr>
      <w:i/>
      <w:iCs/>
      <w:color w:val="404040" w:themeColor="text1" w:themeTint="BF"/>
    </w:rPr>
  </w:style>
  <w:style w:type="paragraph" w:styleId="ListParagraph">
    <w:name w:val="List Paragraph"/>
    <w:basedOn w:val="Normal"/>
    <w:uiPriority w:val="34"/>
    <w:qFormat/>
    <w:rsid w:val="00AC3BB2"/>
    <w:pPr>
      <w:ind w:left="720"/>
      <w:contextualSpacing/>
    </w:pPr>
  </w:style>
  <w:style w:type="character" w:styleId="IntenseEmphasis">
    <w:name w:val="Intense Emphasis"/>
    <w:basedOn w:val="DefaultParagraphFont"/>
    <w:uiPriority w:val="21"/>
    <w:qFormat/>
    <w:rsid w:val="00AC3BB2"/>
    <w:rPr>
      <w:i/>
      <w:iCs/>
      <w:color w:val="0F4761" w:themeColor="accent1" w:themeShade="BF"/>
    </w:rPr>
  </w:style>
  <w:style w:type="paragraph" w:styleId="IntenseQuote">
    <w:name w:val="Intense Quote"/>
    <w:basedOn w:val="Normal"/>
    <w:next w:val="Normal"/>
    <w:link w:val="IntenseQuoteChar"/>
    <w:uiPriority w:val="30"/>
    <w:qFormat/>
    <w:rsid w:val="00AC3B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3BB2"/>
    <w:rPr>
      <w:i/>
      <w:iCs/>
      <w:color w:val="0F4761" w:themeColor="accent1" w:themeShade="BF"/>
    </w:rPr>
  </w:style>
  <w:style w:type="character" w:styleId="IntenseReference">
    <w:name w:val="Intense Reference"/>
    <w:basedOn w:val="DefaultParagraphFont"/>
    <w:uiPriority w:val="32"/>
    <w:qFormat/>
    <w:rsid w:val="00AC3BB2"/>
    <w:rPr>
      <w:b/>
      <w:bCs/>
      <w:smallCaps/>
      <w:color w:val="0F4761" w:themeColor="accent1" w:themeShade="BF"/>
      <w:spacing w:val="5"/>
    </w:rPr>
  </w:style>
  <w:style w:type="character" w:customStyle="1" w:styleId="FootnoteTextChar">
    <w:name w:val="Footnote Text Char"/>
    <w:aliases w:val="Footnote Text Char Char Char1,Footnote Text Char2 Char Char,Footnote Text Char Char Char Char,Footnote Text Char2 Char Char Char Char,Footnote Text Char Char Char Char Char Char,Footnote Text Char2 Char Char Char Char1 Char Char"/>
    <w:basedOn w:val="DefaultParagraphFont"/>
    <w:link w:val="FootnoteText"/>
    <w:uiPriority w:val="40"/>
    <w:locked/>
    <w:rsid w:val="00AC3BB2"/>
    <w:rPr>
      <w:rFonts w:ascii="Book Antiqua" w:hAnsi="Book Antiqua"/>
      <w:szCs w:val="20"/>
    </w:rPr>
  </w:style>
  <w:style w:type="paragraph" w:styleId="FootnoteText">
    <w:name w:val="footnote text"/>
    <w:aliases w:val="Footnote Text Char Char,Footnote Text Char2 Char,Footnote Text Char Char Char,Footnote Text Char2 Char Char Char,Footnote Text Char Char Char Char Char,Footnote Text Char2 Char Char Char Char1 Char,fn,Footnote Text Char2,ALTS FOOTNOTE"/>
    <w:basedOn w:val="Normal"/>
    <w:link w:val="FootnoteTextChar"/>
    <w:uiPriority w:val="40"/>
    <w:unhideWhenUsed/>
    <w:qFormat/>
    <w:rsid w:val="00AC3BB2"/>
    <w:pPr>
      <w:spacing w:after="120" w:line="240" w:lineRule="auto"/>
      <w:ind w:firstLine="0"/>
    </w:pPr>
    <w:rPr>
      <w:kern w:val="2"/>
      <w:sz w:val="24"/>
      <w:szCs w:val="20"/>
      <w14:ligatures w14:val="standardContextual"/>
    </w:rPr>
  </w:style>
  <w:style w:type="character" w:customStyle="1" w:styleId="FootnoteTextChar1">
    <w:name w:val="Footnote Text Char1"/>
    <w:basedOn w:val="DefaultParagraphFont"/>
    <w:uiPriority w:val="99"/>
    <w:semiHidden/>
    <w:rsid w:val="00AC3BB2"/>
    <w:rPr>
      <w:rFonts w:ascii="Book Antiqua" w:hAnsi="Book Antiqua"/>
      <w:kern w:val="0"/>
      <w:sz w:val="20"/>
      <w:szCs w:val="20"/>
      <w14:ligatures w14:val="none"/>
    </w:rPr>
  </w:style>
  <w:style w:type="paragraph" w:customStyle="1" w:styleId="OP">
    <w:name w:val="OP"/>
    <w:basedOn w:val="Normal"/>
    <w:uiPriority w:val="8"/>
    <w:qFormat/>
    <w:rsid w:val="005D2117"/>
    <w:pPr>
      <w:numPr>
        <w:numId w:val="2"/>
      </w:numPr>
      <w:ind w:left="0"/>
    </w:pPr>
  </w:style>
  <w:style w:type="paragraph" w:customStyle="1" w:styleId="ListAlpha">
    <w:name w:val="List Alpha"/>
    <w:basedOn w:val="Normal"/>
    <w:uiPriority w:val="4"/>
    <w:qFormat/>
    <w:rsid w:val="00AC3BB2"/>
    <w:pPr>
      <w:spacing w:after="120" w:line="240" w:lineRule="auto"/>
      <w:ind w:left="1080" w:hanging="360"/>
    </w:pPr>
  </w:style>
  <w:style w:type="paragraph" w:customStyle="1" w:styleId="ListNum">
    <w:name w:val="List Num"/>
    <w:basedOn w:val="Normal"/>
    <w:uiPriority w:val="4"/>
    <w:rsid w:val="00AC3BB2"/>
    <w:pPr>
      <w:tabs>
        <w:tab w:val="num" w:pos="1080"/>
      </w:tabs>
      <w:spacing w:after="120" w:line="240" w:lineRule="auto"/>
      <w:ind w:left="1080" w:hanging="360"/>
    </w:pPr>
  </w:style>
  <w:style w:type="character" w:styleId="FootnoteReference">
    <w:name w:val="footnote reference"/>
    <w:aliases w:val="o,fr,o1,o2,o3,o4,o5,o6,o11,o21,o7,Style 12,(NECG) Footnote Reference,Appel note de bas de p,Style 124,o + Times New Roman,Style 3,Style 17,Style 20,Style 13,fr1,fr2,fr3,Style 58"/>
    <w:basedOn w:val="DefaultParagraphFont"/>
    <w:uiPriority w:val="99"/>
    <w:semiHidden/>
    <w:unhideWhenUsed/>
    <w:qFormat/>
    <w:rsid w:val="00AC3BB2"/>
    <w:rPr>
      <w:vertAlign w:val="superscript"/>
    </w:rPr>
  </w:style>
  <w:style w:type="table" w:customStyle="1" w:styleId="TableGrid1">
    <w:name w:val="Table Grid1"/>
    <w:basedOn w:val="TableNormal"/>
    <w:uiPriority w:val="39"/>
    <w:rsid w:val="00AC3BB2"/>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oFCoLOP">
    <w:name w:val="FoF/CoL/OP"/>
    <w:uiPriority w:val="99"/>
    <w:rsid w:val="00AC3BB2"/>
    <w:pPr>
      <w:numPr>
        <w:numId w:val="2"/>
      </w:numPr>
    </w:pPr>
  </w:style>
  <w:style w:type="numbering" w:customStyle="1" w:styleId="Headings">
    <w:name w:val="Headings"/>
    <w:uiPriority w:val="99"/>
    <w:rsid w:val="00AC3BB2"/>
    <w:pPr>
      <w:numPr>
        <w:numId w:val="3"/>
      </w:numPr>
    </w:pPr>
  </w:style>
  <w:style w:type="paragraph" w:customStyle="1" w:styleId="Standard">
    <w:name w:val="Standard"/>
    <w:basedOn w:val="Normal"/>
    <w:qFormat/>
    <w:rsid w:val="00AC3BB2"/>
  </w:style>
  <w:style w:type="paragraph" w:styleId="Header">
    <w:name w:val="header"/>
    <w:basedOn w:val="Normal"/>
    <w:link w:val="HeaderChar"/>
    <w:uiPriority w:val="99"/>
    <w:unhideWhenUsed/>
    <w:rsid w:val="00AC3BB2"/>
    <w:pPr>
      <w:tabs>
        <w:tab w:val="center" w:pos="4680"/>
        <w:tab w:val="right" w:pos="9360"/>
      </w:tabs>
      <w:spacing w:line="240" w:lineRule="auto"/>
    </w:pPr>
  </w:style>
  <w:style w:type="character" w:customStyle="1" w:styleId="HeaderChar">
    <w:name w:val="Header Char"/>
    <w:basedOn w:val="DefaultParagraphFont"/>
    <w:link w:val="Header"/>
    <w:uiPriority w:val="99"/>
    <w:rsid w:val="00AC3BB2"/>
    <w:rPr>
      <w:rFonts w:ascii="Book Antiqua" w:hAnsi="Book Antiqua"/>
      <w:kern w:val="0"/>
      <w:sz w:val="26"/>
      <w:szCs w:val="22"/>
      <w14:ligatures w14:val="none"/>
    </w:rPr>
  </w:style>
  <w:style w:type="paragraph" w:styleId="Footer">
    <w:name w:val="footer"/>
    <w:basedOn w:val="Normal"/>
    <w:link w:val="FooterChar"/>
    <w:uiPriority w:val="99"/>
    <w:unhideWhenUsed/>
    <w:rsid w:val="00AC3BB2"/>
    <w:pPr>
      <w:tabs>
        <w:tab w:val="center" w:pos="4680"/>
        <w:tab w:val="right" w:pos="9360"/>
      </w:tabs>
      <w:spacing w:line="240" w:lineRule="auto"/>
    </w:pPr>
  </w:style>
  <w:style w:type="character" w:customStyle="1" w:styleId="FooterChar">
    <w:name w:val="Footer Char"/>
    <w:basedOn w:val="DefaultParagraphFont"/>
    <w:link w:val="Footer"/>
    <w:uiPriority w:val="99"/>
    <w:rsid w:val="00AC3BB2"/>
    <w:rPr>
      <w:rFonts w:ascii="Book Antiqua" w:hAnsi="Book Antiqua"/>
      <w:kern w:val="0"/>
      <w:sz w:val="26"/>
      <w:szCs w:val="22"/>
      <w14:ligatures w14:val="none"/>
    </w:rPr>
  </w:style>
  <w:style w:type="character" w:styleId="Hyperlink">
    <w:name w:val="Hyperlink"/>
    <w:basedOn w:val="DefaultParagraphFont"/>
    <w:uiPriority w:val="99"/>
    <w:unhideWhenUsed/>
    <w:rsid w:val="00B104FD"/>
    <w:rPr>
      <w:color w:val="467886" w:themeColor="hyperlink"/>
      <w:u w:val="single"/>
    </w:rPr>
  </w:style>
  <w:style w:type="character" w:styleId="UnresolvedMention">
    <w:name w:val="Unresolved Mention"/>
    <w:basedOn w:val="DefaultParagraphFont"/>
    <w:uiPriority w:val="99"/>
    <w:semiHidden/>
    <w:unhideWhenUsed/>
    <w:rsid w:val="00B104FD"/>
    <w:rPr>
      <w:color w:val="605E5C"/>
      <w:shd w:val="clear" w:color="auto" w:fill="E1DFDD"/>
    </w:rPr>
  </w:style>
  <w:style w:type="character" w:styleId="FollowedHyperlink">
    <w:name w:val="FollowedHyperlink"/>
    <w:basedOn w:val="DefaultParagraphFont"/>
    <w:uiPriority w:val="99"/>
    <w:semiHidden/>
    <w:unhideWhenUsed/>
    <w:rsid w:val="00B104FD"/>
    <w:rPr>
      <w:color w:val="96607D" w:themeColor="followedHyperlink"/>
      <w:u w:val="single"/>
    </w:rPr>
  </w:style>
  <w:style w:type="table" w:styleId="TableGrid">
    <w:name w:val="Table Grid"/>
    <w:basedOn w:val="TableNormal"/>
    <w:uiPriority w:val="39"/>
    <w:rsid w:val="00132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9B67B2"/>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customStyle="1" w:styleId="normaltextrun">
    <w:name w:val="normaltextrun"/>
    <w:basedOn w:val="DefaultParagraphFont"/>
    <w:rsid w:val="009B67B2"/>
  </w:style>
  <w:style w:type="character" w:customStyle="1" w:styleId="eop">
    <w:name w:val="eop"/>
    <w:basedOn w:val="DefaultParagraphFont"/>
    <w:rsid w:val="009B67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136EF5-7C4F-453F-A5FE-425FFAD84422}">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7</ap:Pages>
  <ap:Words>1724</ap:Words>
  <ap:Characters>8949</ap:Characters>
  <ap:Application>Microsoft Office Word</ap:Application>
  <ap:DocSecurity>0</ap:DocSecurity>
  <ap:Lines>198</ap:Lines>
  <ap:Paragraphs>72</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10601</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2026-10-30T10:40:32Z</dcterms:created>
  <dcterms:modified xsi:type="dcterms:W3CDTF">2026-10-30T10:40:32Z</dcterms:modified>
</cp:coreProperties>
</file>