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F52FE9" w:rsidRDefault="00A76F4A" w14:paraId="1038F1A9" w14:textId="168A48CE">
      <w:pPr>
        <w:spacing w:before="240" w:after="0" w:line="276" w:lineRule="auto"/>
        <w:jc w:val="center"/>
        <w:rPr>
          <w:rFonts w:ascii="Helvetica" w:hAnsi="Helvetica" w:eastAsia="Times New Roman" w:cs="Times New Roman"/>
          <w:b/>
          <w:bCs/>
          <w:spacing w:val="20"/>
          <w:kern w:val="0"/>
          <w:sz w:val="26"/>
          <w:szCs w:val="26"/>
          <w14:ligatures w14:val="none"/>
        </w:rPr>
      </w:pPr>
      <w:r w:rsidRPr="00802705">
        <w:rPr>
          <w:rFonts w:ascii="Helvetica" w:hAnsi="Helvetica" w:eastAsia="Times New Roman" w:cs="Times New Roman"/>
          <w:b/>
          <w:spacing w:val="20"/>
          <w:kern w:val="0"/>
          <w:sz w:val="26"/>
          <w:szCs w:val="26"/>
          <w14:ligatures w14:val="none"/>
        </w:rPr>
        <w:t>PUBLIC UTILITIES COMMISSION OF THE STATE OF CALIFORNIA</w:t>
      </w:r>
    </w:p>
    <w:p w:rsidRPr="001942D0" w:rsidR="00A76F4A" w:rsidP="00806C6B" w:rsidRDefault="00A76F4A" w14:paraId="739BA5B3" w14:textId="77777777">
      <w:pPr>
        <w:suppressAutoHyphens/>
        <w:spacing w:after="0" w:line="240" w:lineRule="auto"/>
        <w:rPr>
          <w:rFonts w:ascii="Palatino" w:hAnsi="Palatino" w:eastAsia="Times New Roman" w:cs="Times New Roman"/>
          <w:kern w:val="0"/>
          <w:sz w:val="26"/>
          <w:szCs w:val="20"/>
          <w14:ligatures w14:val="none"/>
        </w:rPr>
      </w:pPr>
    </w:p>
    <w:p w:rsidRPr="00547641" w:rsidR="00A76F4A" w:rsidP="00F97978" w:rsidRDefault="00A76F4A" w14:paraId="2AFEBBF1" w14:textId="1E1C54B8">
      <w:pPr>
        <w:tabs>
          <w:tab w:val="right" w:pos="8820"/>
        </w:tabs>
        <w:spacing w:after="0" w:line="276" w:lineRule="auto"/>
        <w:rPr>
          <w:rFonts w:ascii="Palatino Linotype" w:hAnsi="Palatino Linotype" w:eastAsia="Times New Roman" w:cs="Times New Roman"/>
          <w:b/>
          <w:color w:val="000000" w:themeColor="text1"/>
          <w:kern w:val="0"/>
          <w14:ligatures w14:val="none"/>
        </w:rPr>
      </w:pPr>
      <w:r w:rsidRPr="001942D0">
        <w:rPr>
          <w:rFonts w:ascii="Palatino Linotype" w:hAnsi="Palatino Linotype" w:eastAsia="Times New Roman" w:cs="Times New Roman"/>
          <w:b/>
          <w:kern w:val="0"/>
          <w14:ligatures w14:val="none"/>
        </w:rPr>
        <w:tab/>
      </w:r>
      <w:r w:rsidRPr="00547641">
        <w:rPr>
          <w:rFonts w:ascii="Palatino Linotype" w:hAnsi="Palatino Linotype" w:eastAsia="Times New Roman" w:cs="Times New Roman"/>
          <w:b/>
          <w:color w:val="000000" w:themeColor="text1"/>
          <w:kern w:val="0"/>
          <w14:ligatures w14:val="none"/>
        </w:rPr>
        <w:t>Agenda ID #</w:t>
      </w:r>
      <w:r w:rsidRPr="00810822" w:rsidR="00810822">
        <w:rPr>
          <w:rFonts w:ascii="Palatino Linotype" w:hAnsi="Palatino Linotype"/>
          <w:b/>
          <w:kern w:val="0"/>
          <w14:ligatures w14:val="none"/>
        </w:rPr>
        <w:t>24616</w:t>
      </w:r>
    </w:p>
    <w:p w:rsidRPr="00547641" w:rsidR="00A76F4A" w:rsidP="00F97978" w:rsidRDefault="00204B1B" w14:paraId="097CE738" w14:textId="78C13238">
      <w:pPr>
        <w:tabs>
          <w:tab w:val="right" w:pos="8820"/>
        </w:tabs>
        <w:spacing w:after="0" w:line="276" w:lineRule="auto"/>
        <w:rPr>
          <w:rFonts w:ascii="Palatino Linotype" w:hAnsi="Palatino Linotype" w:eastAsia="Palatino Linotype" w:cs="Times New Roman"/>
          <w:b/>
          <w:color w:val="000000" w:themeColor="text1"/>
          <w:kern w:val="0"/>
          <w14:ligatures w14:val="none"/>
        </w:rPr>
      </w:pPr>
      <w:r w:rsidRPr="00547641">
        <w:rPr>
          <w:rFonts w:ascii="Palatino Linotype" w:hAnsi="Palatino Linotype" w:eastAsia="Palatino Linotype" w:cs="Times New Roman"/>
          <w:b/>
          <w:color w:val="000000" w:themeColor="text1"/>
          <w:kern w:val="0"/>
          <w14:ligatures w14:val="none"/>
        </w:rPr>
        <w:t>ENERGY DIVISION</w:t>
      </w:r>
      <w:r w:rsidRPr="00547641" w:rsidR="00A76F4A">
        <w:rPr>
          <w:rFonts w:ascii="Palatino Linotype" w:hAnsi="Palatino Linotype" w:eastAsia="Times New Roman" w:cs="Times New Roman"/>
          <w:b/>
          <w:color w:val="000000" w:themeColor="text1"/>
          <w:kern w:val="0"/>
          <w14:ligatures w14:val="none"/>
        </w:rPr>
        <w:tab/>
      </w:r>
      <w:r w:rsidRPr="00547641" w:rsidR="00A76F4A">
        <w:rPr>
          <w:rFonts w:ascii="Palatino Linotype" w:hAnsi="Palatino Linotype" w:eastAsia="Palatino Linotype" w:cs="Times New Roman"/>
          <w:b/>
          <w:color w:val="000000" w:themeColor="text1"/>
          <w:kern w:val="0"/>
          <w14:ligatures w14:val="none"/>
        </w:rPr>
        <w:t xml:space="preserve">       </w:t>
      </w:r>
      <w:r w:rsidRPr="00547641" w:rsidR="00547641">
        <w:rPr>
          <w:rFonts w:ascii="Palatino Linotype" w:hAnsi="Palatino Linotype" w:eastAsia="Palatino Linotype" w:cs="Times New Roman"/>
          <w:b/>
          <w:color w:val="000000" w:themeColor="text1"/>
          <w:kern w:val="0"/>
          <w14:ligatures w14:val="none"/>
        </w:rPr>
        <w:t xml:space="preserve"> </w:t>
      </w:r>
      <w:r w:rsidRPr="00547641" w:rsidR="00A76F4A">
        <w:rPr>
          <w:rFonts w:ascii="Palatino Linotype" w:hAnsi="Palatino Linotype" w:eastAsia="Palatino Linotype" w:cs="Times New Roman"/>
          <w:b/>
          <w:color w:val="000000" w:themeColor="text1"/>
        </w:rPr>
        <w:t xml:space="preserve">RESOLUTION </w:t>
      </w:r>
      <w:r w:rsidRPr="00547641" w:rsidR="00547641">
        <w:rPr>
          <w:rFonts w:ascii="Palatino Linotype" w:hAnsi="Palatino Linotype" w:eastAsia="Palatino Linotype" w:cs="Times New Roman"/>
          <w:b/>
          <w:color w:val="000000" w:themeColor="text1"/>
        </w:rPr>
        <w:t>G</w:t>
      </w:r>
      <w:r w:rsidR="00190664">
        <w:rPr>
          <w:rFonts w:ascii="Palatino Linotype" w:hAnsi="Palatino Linotype" w:eastAsia="Palatino Linotype" w:cs="Times New Roman"/>
          <w:b/>
          <w:color w:val="000000" w:themeColor="text1"/>
        </w:rPr>
        <w:t>-3624</w:t>
      </w:r>
    </w:p>
    <w:p w:rsidRPr="00547641" w:rsidR="00A76F4A" w:rsidP="00F97978" w:rsidRDefault="00101F10" w14:paraId="17BEFA95" w14:textId="4133B773">
      <w:pPr>
        <w:tabs>
          <w:tab w:val="right" w:pos="8820"/>
        </w:tabs>
        <w:spacing w:after="0" w:line="276" w:lineRule="auto"/>
        <w:ind w:left="5040"/>
        <w:rPr>
          <w:rFonts w:ascii="Palatino Linotype" w:hAnsi="Palatino Linotype" w:eastAsia="Times New Roman" w:cs="Times New Roman"/>
          <w:b/>
          <w:color w:val="000000" w:themeColor="text1"/>
          <w:kern w:val="0"/>
          <w14:ligatures w14:val="none"/>
        </w:rPr>
      </w:pPr>
      <w:r>
        <w:rPr>
          <w:rFonts w:ascii="Palatino Linotype" w:hAnsi="Palatino Linotype" w:eastAsia="Times New Roman" w:cs="Times New Roman"/>
          <w:b/>
          <w:color w:val="000000" w:themeColor="text1"/>
          <w:kern w:val="0"/>
          <w14:ligatures w14:val="none"/>
        </w:rPr>
        <w:tab/>
      </w:r>
      <w:r w:rsidR="00C34161">
        <w:rPr>
          <w:rFonts w:ascii="Palatino Linotype" w:hAnsi="Palatino Linotype" w:eastAsia="Times New Roman" w:cs="Times New Roman"/>
          <w:b/>
          <w:color w:val="000000" w:themeColor="text1"/>
          <w:kern w:val="0"/>
          <w14:ligatures w14:val="none"/>
        </w:rPr>
        <w:t>December 3</w:t>
      </w:r>
      <w:r w:rsidR="000F7F3B">
        <w:rPr>
          <w:rFonts w:ascii="Palatino Linotype" w:hAnsi="Palatino Linotype" w:eastAsia="Times New Roman" w:cs="Times New Roman"/>
          <w:b/>
          <w:color w:val="000000" w:themeColor="text1"/>
          <w:kern w:val="0"/>
          <w14:ligatures w14:val="none"/>
        </w:rPr>
        <w:t>, 2026</w:t>
      </w:r>
    </w:p>
    <w:p w:rsidRPr="00585305" w:rsidR="00A76F4A" w:rsidP="00806C6B" w:rsidRDefault="00A76F4A" w14:paraId="524F4DC8" w14:textId="25DF50EF">
      <w:pPr>
        <w:tabs>
          <w:tab w:val="right" w:pos="8910"/>
        </w:tabs>
        <w:spacing w:after="0" w:line="240" w:lineRule="auto"/>
        <w:ind w:left="1440" w:firstLine="720"/>
        <w:rPr>
          <w:rFonts w:ascii="Palatino Linotype" w:hAnsi="Palatino Linotype" w:eastAsia="Times New Roman" w:cs="Times New Roman"/>
          <w:b/>
          <w:kern w:val="0"/>
          <w14:ligatures w14:val="none"/>
        </w:rPr>
      </w:pPr>
      <w:r w:rsidRPr="001942D0">
        <w:rPr>
          <w:rFonts w:ascii="Palatino Linotype" w:hAnsi="Palatino Linotype" w:eastAsia="Times New Roman" w:cs="Times New Roman"/>
          <w:b/>
          <w:kern w:val="0"/>
          <w14:ligatures w14:val="none"/>
        </w:rPr>
        <w:tab/>
      </w:r>
    </w:p>
    <w:p w:rsidRPr="001942D0" w:rsidR="00A76F4A" w:rsidP="00F97978" w:rsidRDefault="00A76F4A" w14:paraId="4767E366" w14:textId="2538775D">
      <w:pPr>
        <w:keepNext/>
        <w:spacing w:after="0" w:line="276"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806C6B" w:rsidRDefault="00A76F4A" w14:paraId="778B8F8D" w14:textId="77777777">
      <w:pPr>
        <w:spacing w:after="0" w:line="240" w:lineRule="auto"/>
        <w:rPr>
          <w:rFonts w:ascii="Palatino" w:hAnsi="Palatino" w:eastAsia="Palatino Linotype" w:cs="Times New Roman"/>
          <w:kern w:val="0"/>
          <w:sz w:val="26"/>
          <w:szCs w:val="20"/>
          <w14:ligatures w14:val="none"/>
        </w:rPr>
      </w:pPr>
    </w:p>
    <w:p w:rsidRPr="00585305" w:rsidR="00A76F4A" w:rsidP="00585305" w:rsidRDefault="00A76F4A" w14:paraId="0054523B" w14:textId="3EB4D54C">
      <w:pPr>
        <w:spacing w:after="0" w:line="276" w:lineRule="auto"/>
        <w:ind w:left="720" w:right="720"/>
        <w:rPr>
          <w:rFonts w:ascii="Palatino Linotype" w:hAnsi="Palatino Linotype" w:eastAsia="Times New Roman" w:cs="Times New Roman"/>
          <w:kern w:val="0"/>
          <w14:ligatures w14:val="none"/>
        </w:rPr>
      </w:pPr>
      <w:r w:rsidRPr="001942D0">
        <w:rPr>
          <w:rFonts w:ascii="Palatino Linotype" w:hAnsi="Palatino Linotype" w:eastAsia="Times New Roman" w:cs="Times New Roman"/>
          <w:kern w:val="0"/>
          <w14:ligatures w14:val="none"/>
        </w:rPr>
        <w:t xml:space="preserve">Resolution </w:t>
      </w:r>
      <w:r w:rsidR="00B4078F">
        <w:rPr>
          <w:rFonts w:ascii="Palatino Linotype" w:hAnsi="Palatino Linotype" w:eastAsia="Times New Roman" w:cs="Times New Roman"/>
          <w:kern w:val="0"/>
          <w14:ligatures w14:val="none"/>
        </w:rPr>
        <w:t>G</w:t>
      </w:r>
      <w:r w:rsidR="00190664">
        <w:rPr>
          <w:rFonts w:ascii="Palatino Linotype" w:hAnsi="Palatino Linotype" w:eastAsia="Times New Roman" w:cs="Times New Roman"/>
          <w:kern w:val="0"/>
          <w14:ligatures w14:val="none"/>
        </w:rPr>
        <w:t>-3624</w:t>
      </w:r>
      <w:r w:rsidR="00B4078F">
        <w:rPr>
          <w:rFonts w:ascii="Palatino Linotype" w:hAnsi="Palatino Linotype" w:eastAsia="Times New Roman" w:cs="Times New Roman"/>
          <w:kern w:val="0"/>
          <w14:ligatures w14:val="none"/>
        </w:rPr>
        <w:t xml:space="preserve">. </w:t>
      </w:r>
      <w:r w:rsidR="00910599">
        <w:rPr>
          <w:rFonts w:ascii="Palatino Linotype" w:hAnsi="Palatino Linotype"/>
          <w:color w:val="000000" w:themeColor="text1"/>
        </w:rPr>
        <w:t xml:space="preserve">Southern California Gas Company’s </w:t>
      </w:r>
      <w:r w:rsidR="00E14F40">
        <w:rPr>
          <w:rFonts w:ascii="Palatino Linotype" w:hAnsi="Palatino Linotype" w:eastAsia="Times New Roman" w:cs="Times New Roman"/>
          <w:kern w:val="0"/>
          <w14:ligatures w14:val="none"/>
        </w:rPr>
        <w:t xml:space="preserve">Gas </w:t>
      </w:r>
      <w:r w:rsidR="00166F97">
        <w:rPr>
          <w:rFonts w:ascii="Palatino Linotype" w:hAnsi="Palatino Linotype" w:eastAsia="Times New Roman" w:cs="Times New Roman"/>
          <w:kern w:val="0"/>
          <w14:ligatures w14:val="none"/>
        </w:rPr>
        <w:t xml:space="preserve">Research, Development, </w:t>
      </w:r>
      <w:r w:rsidR="008A0451">
        <w:rPr>
          <w:rFonts w:ascii="Palatino Linotype" w:hAnsi="Palatino Linotype" w:eastAsia="Times New Roman" w:cs="Times New Roman"/>
          <w:kern w:val="0"/>
          <w14:ligatures w14:val="none"/>
        </w:rPr>
        <w:t>&amp;</w:t>
      </w:r>
      <w:r w:rsidR="00166F97">
        <w:rPr>
          <w:rFonts w:ascii="Palatino Linotype" w:hAnsi="Palatino Linotype" w:eastAsia="Times New Roman" w:cs="Times New Roman"/>
          <w:kern w:val="0"/>
          <w14:ligatures w14:val="none"/>
        </w:rPr>
        <w:t xml:space="preserve"> Demonstration </w:t>
      </w:r>
      <w:r w:rsidR="00DE79ED">
        <w:rPr>
          <w:rFonts w:ascii="Palatino Linotype" w:hAnsi="Palatino Linotype" w:eastAsia="Times New Roman" w:cs="Times New Roman"/>
          <w:kern w:val="0"/>
          <w14:ligatures w14:val="none"/>
        </w:rPr>
        <w:t>Plan</w:t>
      </w:r>
      <w:r w:rsidR="007B41FC">
        <w:rPr>
          <w:rFonts w:ascii="Palatino Linotype" w:hAnsi="Palatino Linotype" w:eastAsia="Times New Roman" w:cs="Times New Roman"/>
          <w:kern w:val="0"/>
          <w14:ligatures w14:val="none"/>
        </w:rPr>
        <w:t>s</w:t>
      </w:r>
      <w:r w:rsidR="00166F97">
        <w:rPr>
          <w:rFonts w:ascii="Palatino Linotype" w:hAnsi="Palatino Linotype" w:eastAsia="Times New Roman" w:cs="Times New Roman"/>
          <w:kern w:val="0"/>
          <w14:ligatures w14:val="none"/>
        </w:rPr>
        <w:t xml:space="preserve"> for </w:t>
      </w:r>
      <w:r w:rsidR="00B97DA8">
        <w:rPr>
          <w:rFonts w:ascii="Palatino Linotype" w:hAnsi="Palatino Linotype" w:eastAsia="Times New Roman" w:cs="Times New Roman"/>
          <w:kern w:val="0"/>
          <w14:ligatures w14:val="none"/>
        </w:rPr>
        <w:t>202</w:t>
      </w:r>
      <w:r w:rsidR="007B41FC">
        <w:rPr>
          <w:rFonts w:ascii="Palatino Linotype" w:hAnsi="Palatino Linotype" w:eastAsia="Times New Roman" w:cs="Times New Roman"/>
          <w:kern w:val="0"/>
          <w14:ligatures w14:val="none"/>
        </w:rPr>
        <w:t>4 (</w:t>
      </w:r>
      <w:r w:rsidR="0075188D">
        <w:rPr>
          <w:rFonts w:ascii="Palatino Linotype" w:hAnsi="Palatino Linotype" w:eastAsia="Times New Roman" w:cs="Times New Roman"/>
          <w:kern w:val="0"/>
          <w14:ligatures w14:val="none"/>
        </w:rPr>
        <w:t>AL</w:t>
      </w:r>
      <w:r w:rsidR="007B41FC">
        <w:rPr>
          <w:rFonts w:ascii="Palatino Linotype" w:hAnsi="Palatino Linotype" w:eastAsia="Times New Roman" w:cs="Times New Roman"/>
          <w:kern w:val="0"/>
          <w14:ligatures w14:val="none"/>
        </w:rPr>
        <w:t xml:space="preserve"> 6495-G-A</w:t>
      </w:r>
      <w:r w:rsidRPr="00323787" w:rsidR="007B41FC">
        <w:rPr>
          <w:rFonts w:ascii="Palatino Linotype" w:hAnsi="Palatino Linotype" w:eastAsia="Times New Roman" w:cs="Times New Roman"/>
          <w:color w:val="000000" w:themeColor="text1"/>
          <w:kern w:val="0"/>
          <w14:ligatures w14:val="none"/>
        </w:rPr>
        <w:t>)</w:t>
      </w:r>
      <w:r w:rsidRPr="00323787" w:rsidR="00FC4169">
        <w:rPr>
          <w:rFonts w:ascii="Palatino Linotype" w:hAnsi="Palatino Linotype" w:eastAsia="Times New Roman" w:cs="Times New Roman"/>
          <w:color w:val="000000" w:themeColor="text1"/>
          <w:kern w:val="0"/>
          <w14:ligatures w14:val="none"/>
        </w:rPr>
        <w:t>, 2025 (</w:t>
      </w:r>
      <w:r w:rsidR="0075188D">
        <w:rPr>
          <w:rFonts w:ascii="Palatino Linotype" w:hAnsi="Palatino Linotype" w:eastAsia="Times New Roman" w:cs="Times New Roman"/>
          <w:color w:val="000000" w:themeColor="text1"/>
          <w:kern w:val="0"/>
          <w14:ligatures w14:val="none"/>
        </w:rPr>
        <w:t>AL</w:t>
      </w:r>
      <w:r w:rsidRPr="00323787" w:rsidR="00FC4169">
        <w:rPr>
          <w:rFonts w:ascii="Palatino Linotype" w:hAnsi="Palatino Linotype" w:eastAsia="Times New Roman" w:cs="Times New Roman"/>
          <w:color w:val="000000" w:themeColor="text1"/>
          <w:kern w:val="0"/>
          <w14:ligatures w14:val="none"/>
        </w:rPr>
        <w:t xml:space="preserve"> 6496-G-A), 2026 (AL </w:t>
      </w:r>
      <w:r w:rsidRPr="00323787" w:rsidR="00323787">
        <w:rPr>
          <w:rFonts w:ascii="Palatino Linotype" w:hAnsi="Palatino Linotype" w:eastAsia="Times New Roman" w:cs="Times New Roman"/>
          <w:color w:val="000000" w:themeColor="text1"/>
          <w:kern w:val="0"/>
          <w14:ligatures w14:val="none"/>
        </w:rPr>
        <w:t>6645</w:t>
      </w:r>
      <w:r w:rsidRPr="00323787" w:rsidR="00FC4169">
        <w:rPr>
          <w:rFonts w:ascii="Palatino Linotype" w:hAnsi="Palatino Linotype" w:eastAsia="Times New Roman" w:cs="Times New Roman"/>
          <w:color w:val="000000" w:themeColor="text1"/>
          <w:kern w:val="0"/>
          <w14:ligatures w14:val="none"/>
        </w:rPr>
        <w:t xml:space="preserve">-G), and 2027 (AL </w:t>
      </w:r>
      <w:r w:rsidRPr="00323787" w:rsidR="00323787">
        <w:rPr>
          <w:rFonts w:ascii="Palatino Linotype" w:hAnsi="Palatino Linotype" w:eastAsia="Times New Roman" w:cs="Times New Roman"/>
          <w:color w:val="000000" w:themeColor="text1"/>
          <w:kern w:val="0"/>
          <w14:ligatures w14:val="none"/>
        </w:rPr>
        <w:t>6646</w:t>
      </w:r>
      <w:r w:rsidRPr="00323787" w:rsidR="00FC4169">
        <w:rPr>
          <w:rFonts w:ascii="Palatino Linotype" w:hAnsi="Palatino Linotype" w:eastAsia="Times New Roman" w:cs="Times New Roman"/>
          <w:color w:val="000000" w:themeColor="text1"/>
          <w:kern w:val="0"/>
          <w14:ligatures w14:val="none"/>
        </w:rPr>
        <w:t>-G)</w:t>
      </w:r>
      <w:r w:rsidRPr="00323787" w:rsidR="000B7CA3">
        <w:rPr>
          <w:rFonts w:ascii="Palatino Linotype" w:hAnsi="Palatino Linotype" w:eastAsia="Times New Roman" w:cs="Times New Roman"/>
          <w:color w:val="000000" w:themeColor="text1"/>
          <w:kern w:val="0"/>
          <w14:ligatures w14:val="none"/>
        </w:rPr>
        <w:t>.</w:t>
      </w:r>
    </w:p>
    <w:p w:rsidRPr="001638DC" w:rsidR="00A76F4A" w:rsidP="00585305" w:rsidRDefault="00A76F4A" w14:paraId="3DE3512A" w14:textId="77777777">
      <w:pPr>
        <w:spacing w:before="240" w:after="0" w:line="276" w:lineRule="auto"/>
        <w:ind w:left="720" w:right="720"/>
        <w:rPr>
          <w:rFonts w:ascii="Palatino Linotype" w:hAnsi="Palatino Linotype" w:eastAsia="Palatino Linotype" w:cs="Times New Roman"/>
          <w:color w:val="000000" w:themeColor="text1"/>
          <w:kern w:val="0"/>
          <w14:ligatures w14:val="none"/>
        </w:rPr>
      </w:pPr>
      <w:r w:rsidRPr="001638DC">
        <w:rPr>
          <w:rFonts w:ascii="Palatino Linotype" w:hAnsi="Palatino Linotype" w:eastAsia="Palatino Linotype" w:cs="Times New Roman"/>
          <w:color w:val="000000" w:themeColor="text1"/>
          <w:kern w:val="0"/>
          <w14:ligatures w14:val="none"/>
        </w:rPr>
        <w:t xml:space="preserve">PROPOSED OUTCOME: </w:t>
      </w:r>
    </w:p>
    <w:p w:rsidRPr="009C750F" w:rsidR="00B67951" w:rsidP="00477204" w:rsidRDefault="00E14F40" w14:paraId="5FFD8597" w14:textId="2569F6B6">
      <w:pPr>
        <w:numPr>
          <w:ilvl w:val="0"/>
          <w:numId w:val="9"/>
        </w:numPr>
        <w:spacing w:after="0" w:line="276" w:lineRule="auto"/>
        <w:ind w:right="720"/>
        <w:rPr>
          <w:rFonts w:ascii="Palatino Linotype" w:hAnsi="Palatino Linotype" w:eastAsia="Times New Roman" w:cs="Times New Roman"/>
          <w:color w:val="000000" w:themeColor="text1"/>
          <w:kern w:val="0"/>
          <w14:ligatures w14:val="none"/>
        </w:rPr>
      </w:pPr>
      <w:r w:rsidRPr="001638DC">
        <w:rPr>
          <w:rFonts w:ascii="Palatino Linotype" w:hAnsi="Palatino Linotype" w:eastAsia="Times New Roman" w:cs="Times New Roman"/>
          <w:color w:val="000000" w:themeColor="text1"/>
          <w:kern w:val="0"/>
          <w14:ligatures w14:val="none"/>
        </w:rPr>
        <w:t xml:space="preserve">Approves in part and modifies in part the </w:t>
      </w:r>
      <w:r w:rsidR="00913687">
        <w:rPr>
          <w:rFonts w:ascii="Palatino Linotype" w:hAnsi="Palatino Linotype"/>
          <w:color w:val="000000" w:themeColor="text1"/>
        </w:rPr>
        <w:t>Southern California Gas (S</w:t>
      </w:r>
      <w:r w:rsidR="001721FE">
        <w:rPr>
          <w:rFonts w:ascii="Palatino Linotype" w:hAnsi="Palatino Linotype"/>
          <w:color w:val="000000" w:themeColor="text1"/>
        </w:rPr>
        <w:t>o</w:t>
      </w:r>
      <w:r w:rsidR="00913687">
        <w:rPr>
          <w:rFonts w:ascii="Palatino Linotype" w:hAnsi="Palatino Linotype"/>
          <w:color w:val="000000" w:themeColor="text1"/>
        </w:rPr>
        <w:t>C</w:t>
      </w:r>
      <w:r w:rsidR="001721FE">
        <w:rPr>
          <w:rFonts w:ascii="Palatino Linotype" w:hAnsi="Palatino Linotype"/>
          <w:color w:val="000000" w:themeColor="text1"/>
        </w:rPr>
        <w:t>al</w:t>
      </w:r>
      <w:r w:rsidR="00913687">
        <w:rPr>
          <w:rFonts w:ascii="Palatino Linotype" w:hAnsi="Palatino Linotype"/>
          <w:color w:val="000000" w:themeColor="text1"/>
        </w:rPr>
        <w:t>G</w:t>
      </w:r>
      <w:r w:rsidR="001721FE">
        <w:rPr>
          <w:rFonts w:ascii="Palatino Linotype" w:hAnsi="Palatino Linotype"/>
          <w:color w:val="000000" w:themeColor="text1"/>
        </w:rPr>
        <w:t>as</w:t>
      </w:r>
      <w:r w:rsidR="00913687">
        <w:rPr>
          <w:rFonts w:ascii="Palatino Linotype" w:hAnsi="Palatino Linotype"/>
          <w:color w:val="000000" w:themeColor="text1"/>
        </w:rPr>
        <w:t>) Company’s</w:t>
      </w:r>
      <w:r w:rsidRPr="003F6CCF" w:rsidR="00913687">
        <w:rPr>
          <w:rFonts w:ascii="Palatino Linotype" w:hAnsi="Palatino Linotype"/>
          <w:color w:val="000000" w:themeColor="text1"/>
        </w:rPr>
        <w:t xml:space="preserve"> </w:t>
      </w:r>
      <w:r>
        <w:rPr>
          <w:rFonts w:ascii="Palatino Linotype" w:hAnsi="Palatino Linotype" w:eastAsia="Times New Roman" w:cs="Times New Roman"/>
          <w:kern w:val="0"/>
          <w14:ligatures w14:val="none"/>
        </w:rPr>
        <w:t>Gas Research, Development, and Demonstration</w:t>
      </w:r>
      <w:r w:rsidR="00F0441C">
        <w:rPr>
          <w:rFonts w:ascii="Palatino Linotype" w:hAnsi="Palatino Linotype" w:eastAsia="Times New Roman" w:cs="Times New Roman"/>
          <w:kern w:val="0"/>
          <w14:ligatures w14:val="none"/>
        </w:rPr>
        <w:t xml:space="preserve"> (RD&amp;D)</w:t>
      </w:r>
      <w:r>
        <w:rPr>
          <w:rFonts w:ascii="Palatino Linotype" w:hAnsi="Palatino Linotype" w:eastAsia="Times New Roman" w:cs="Times New Roman"/>
          <w:kern w:val="0"/>
          <w14:ligatures w14:val="none"/>
        </w:rPr>
        <w:t xml:space="preserve"> </w:t>
      </w:r>
      <w:r w:rsidR="00DE79ED">
        <w:rPr>
          <w:rFonts w:ascii="Palatino Linotype" w:hAnsi="Palatino Linotype" w:eastAsia="Times New Roman" w:cs="Times New Roman"/>
          <w:kern w:val="0"/>
          <w14:ligatures w14:val="none"/>
        </w:rPr>
        <w:t>Investment Plan</w:t>
      </w:r>
      <w:r w:rsidR="007C5528">
        <w:rPr>
          <w:rFonts w:ascii="Palatino Linotype" w:hAnsi="Palatino Linotype" w:eastAsia="Times New Roman" w:cs="Times New Roman"/>
          <w:kern w:val="0"/>
          <w14:ligatures w14:val="none"/>
        </w:rPr>
        <w:t>s</w:t>
      </w:r>
      <w:r w:rsidR="004B6D53">
        <w:rPr>
          <w:rFonts w:ascii="Palatino Linotype" w:hAnsi="Palatino Linotype" w:eastAsia="Times New Roman" w:cs="Times New Roman"/>
          <w:kern w:val="0"/>
          <w14:ligatures w14:val="none"/>
        </w:rPr>
        <w:t xml:space="preserve"> </w:t>
      </w:r>
      <w:r w:rsidR="007C5528">
        <w:rPr>
          <w:rFonts w:ascii="Palatino Linotype" w:hAnsi="Palatino Linotype" w:eastAsia="Times New Roman" w:cs="Times New Roman"/>
          <w:kern w:val="0"/>
          <w14:ligatures w14:val="none"/>
        </w:rPr>
        <w:t xml:space="preserve">with a budget of </w:t>
      </w:r>
      <w:r w:rsidRPr="00E02802" w:rsidR="00E02802">
        <w:rPr>
          <w:rFonts w:ascii="Palatino Linotype" w:hAnsi="Palatino Linotype" w:eastAsia="Times New Roman" w:cs="Times New Roman"/>
          <w:kern w:val="0"/>
          <w14:ligatures w14:val="none"/>
        </w:rPr>
        <w:t>$17,853,000</w:t>
      </w:r>
      <w:r w:rsidR="00630310">
        <w:rPr>
          <w:rFonts w:ascii="Palatino Linotype" w:hAnsi="Palatino Linotype" w:eastAsia="Times New Roman" w:cs="Times New Roman"/>
          <w:kern w:val="0"/>
          <w14:ligatures w14:val="none"/>
        </w:rPr>
        <w:t xml:space="preserve"> for 2024 (as requested in Advice Letter </w:t>
      </w:r>
      <w:r w:rsidRPr="00493DE1" w:rsidR="00630310">
        <w:rPr>
          <w:rFonts w:ascii="Palatino Linotype" w:hAnsi="Palatino Linotype" w:eastAsia="Times New Roman" w:cs="Times New Roman"/>
          <w:color w:val="000000" w:themeColor="text1"/>
          <w:kern w:val="0"/>
          <w14:ligatures w14:val="none"/>
        </w:rPr>
        <w:t>6495-G-A)</w:t>
      </w:r>
      <w:r w:rsidR="00493DE1">
        <w:rPr>
          <w:rFonts w:ascii="Palatino Linotype" w:hAnsi="Palatino Linotype" w:eastAsia="Times New Roman" w:cs="Times New Roman"/>
          <w:color w:val="000000" w:themeColor="text1"/>
          <w:kern w:val="0"/>
          <w14:ligatures w14:val="none"/>
        </w:rPr>
        <w:t xml:space="preserve">; </w:t>
      </w:r>
      <w:r w:rsidRPr="00493DE1" w:rsidR="00E852DC">
        <w:rPr>
          <w:rFonts w:ascii="Palatino Linotype" w:hAnsi="Palatino Linotype" w:eastAsia="Times New Roman" w:cs="Times New Roman"/>
          <w:color w:val="000000" w:themeColor="text1"/>
          <w:kern w:val="0"/>
          <w14:ligatures w14:val="none"/>
        </w:rPr>
        <w:t>$18,389,000 for 2025 (as requested in Advice Letter 6496-G-A)</w:t>
      </w:r>
      <w:r w:rsidR="00493DE1">
        <w:rPr>
          <w:rFonts w:ascii="Palatino Linotype" w:hAnsi="Palatino Linotype" w:eastAsia="Times New Roman" w:cs="Times New Roman"/>
          <w:color w:val="000000" w:themeColor="text1"/>
          <w:kern w:val="0"/>
          <w14:ligatures w14:val="none"/>
        </w:rPr>
        <w:t>;</w:t>
      </w:r>
      <w:r w:rsidRPr="00493DE1" w:rsidR="00E852DC">
        <w:rPr>
          <w:rFonts w:ascii="Palatino Linotype" w:hAnsi="Palatino Linotype" w:eastAsia="Times New Roman" w:cs="Times New Roman"/>
          <w:color w:val="000000" w:themeColor="text1"/>
          <w:kern w:val="0"/>
          <w14:ligatures w14:val="none"/>
        </w:rPr>
        <w:t xml:space="preserve"> $</w:t>
      </w:r>
      <w:r w:rsidRPr="00493DE1" w:rsidR="00493DE1">
        <w:rPr>
          <w:rFonts w:ascii="Palatino Linotype" w:hAnsi="Palatino Linotype" w:eastAsia="Times New Roman" w:cs="Times New Roman"/>
          <w:color w:val="000000" w:themeColor="text1"/>
          <w:kern w:val="0"/>
          <w14:ligatures w14:val="none"/>
        </w:rPr>
        <w:t>18,940,000</w:t>
      </w:r>
      <w:r w:rsidRPr="00493DE1" w:rsidR="00E852DC">
        <w:rPr>
          <w:rFonts w:ascii="Palatino Linotype" w:hAnsi="Palatino Linotype" w:eastAsia="Times New Roman" w:cs="Times New Roman"/>
          <w:color w:val="000000" w:themeColor="text1"/>
          <w:kern w:val="0"/>
          <w14:ligatures w14:val="none"/>
        </w:rPr>
        <w:t xml:space="preserve"> for 2026 (as requested in Advice Letter </w:t>
      </w:r>
      <w:r w:rsidRPr="00493DE1" w:rsidR="00684AD0">
        <w:rPr>
          <w:rFonts w:ascii="Palatino Linotype" w:hAnsi="Palatino Linotype" w:eastAsia="Times New Roman" w:cs="Times New Roman"/>
          <w:color w:val="000000" w:themeColor="text1"/>
          <w:kern w:val="0"/>
          <w14:ligatures w14:val="none"/>
        </w:rPr>
        <w:t>6645</w:t>
      </w:r>
      <w:r w:rsidRPr="00493DE1" w:rsidR="00E852DC">
        <w:rPr>
          <w:rFonts w:ascii="Palatino Linotype" w:hAnsi="Palatino Linotype" w:eastAsia="Times New Roman" w:cs="Times New Roman"/>
          <w:color w:val="000000" w:themeColor="text1"/>
          <w:kern w:val="0"/>
          <w14:ligatures w14:val="none"/>
        </w:rPr>
        <w:t>-G)</w:t>
      </w:r>
      <w:r w:rsidR="00493DE1">
        <w:rPr>
          <w:rFonts w:ascii="Palatino Linotype" w:hAnsi="Palatino Linotype" w:eastAsia="Times New Roman" w:cs="Times New Roman"/>
          <w:color w:val="000000" w:themeColor="text1"/>
          <w:kern w:val="0"/>
          <w14:ligatures w14:val="none"/>
        </w:rPr>
        <w:t>;</w:t>
      </w:r>
      <w:r w:rsidRPr="00493DE1" w:rsidR="00E852DC">
        <w:rPr>
          <w:rFonts w:ascii="Palatino Linotype" w:hAnsi="Palatino Linotype" w:eastAsia="Times New Roman" w:cs="Times New Roman"/>
          <w:color w:val="000000" w:themeColor="text1"/>
          <w:kern w:val="0"/>
          <w14:ligatures w14:val="none"/>
        </w:rPr>
        <w:t xml:space="preserve"> and </w:t>
      </w:r>
      <w:r w:rsidRPr="00493DE1" w:rsidR="00684AD0">
        <w:rPr>
          <w:rFonts w:ascii="Palatino Linotype" w:hAnsi="Palatino Linotype" w:eastAsia="Times New Roman" w:cs="Times New Roman"/>
          <w:color w:val="000000" w:themeColor="text1"/>
          <w:kern w:val="0"/>
          <w14:ligatures w14:val="none"/>
        </w:rPr>
        <w:t>$19,508,100</w:t>
      </w:r>
      <w:r w:rsidRPr="00493DE1" w:rsidR="00E852DC">
        <w:rPr>
          <w:rFonts w:ascii="Palatino Linotype" w:hAnsi="Palatino Linotype" w:eastAsia="Times New Roman" w:cs="Times New Roman"/>
          <w:color w:val="000000" w:themeColor="text1"/>
          <w:kern w:val="0"/>
          <w14:ligatures w14:val="none"/>
        </w:rPr>
        <w:t xml:space="preserve"> for 2027 (as requested in Advice Letter </w:t>
      </w:r>
      <w:r w:rsidRPr="00493DE1" w:rsidR="00684AD0">
        <w:rPr>
          <w:rFonts w:ascii="Palatino Linotype" w:hAnsi="Palatino Linotype" w:eastAsia="Times New Roman" w:cs="Times New Roman"/>
          <w:color w:val="000000" w:themeColor="text1"/>
          <w:kern w:val="0"/>
          <w14:ligatures w14:val="none"/>
        </w:rPr>
        <w:t>6646</w:t>
      </w:r>
      <w:r w:rsidRPr="00493DE1" w:rsidR="00E852DC">
        <w:rPr>
          <w:rFonts w:ascii="Palatino Linotype" w:hAnsi="Palatino Linotype" w:eastAsia="Times New Roman" w:cs="Times New Roman"/>
          <w:color w:val="000000" w:themeColor="text1"/>
          <w:kern w:val="0"/>
          <w14:ligatures w14:val="none"/>
        </w:rPr>
        <w:t xml:space="preserve">-G), </w:t>
      </w:r>
      <w:r w:rsidR="00E852DC">
        <w:rPr>
          <w:rFonts w:ascii="Palatino Linotype" w:hAnsi="Palatino Linotype" w:eastAsia="Times New Roman" w:cs="Times New Roman"/>
          <w:kern w:val="0"/>
          <w14:ligatures w14:val="none"/>
        </w:rPr>
        <w:t xml:space="preserve">pursuant to California Public Utilities Commission Decision </w:t>
      </w:r>
      <w:r w:rsidR="00604AAC">
        <w:rPr>
          <w:rFonts w:ascii="Palatino Linotype" w:hAnsi="Palatino Linotype" w:eastAsia="Times New Roman" w:cs="Times New Roman"/>
          <w:kern w:val="0"/>
          <w14:ligatures w14:val="none"/>
        </w:rPr>
        <w:br/>
      </w:r>
      <w:r w:rsidR="00E852DC">
        <w:rPr>
          <w:rFonts w:ascii="Palatino Linotype" w:hAnsi="Palatino Linotype" w:eastAsia="Times New Roman" w:cs="Times New Roman"/>
          <w:kern w:val="0"/>
          <w14:ligatures w14:val="none"/>
        </w:rPr>
        <w:t>(D.)24-12-</w:t>
      </w:r>
      <w:r w:rsidRPr="001638DC" w:rsidR="00E852DC">
        <w:rPr>
          <w:rFonts w:ascii="Palatino Linotype" w:hAnsi="Palatino Linotype" w:eastAsia="Times New Roman" w:cs="Times New Roman"/>
          <w:color w:val="000000" w:themeColor="text1"/>
          <w:kern w:val="0"/>
          <w14:ligatures w14:val="none"/>
        </w:rPr>
        <w:t xml:space="preserve">074. </w:t>
      </w:r>
      <w:proofErr w:type="gramStart"/>
      <w:r w:rsidRPr="001638DC" w:rsidR="001638DC">
        <w:rPr>
          <w:rFonts w:ascii="Palatino Linotype" w:hAnsi="Palatino Linotype" w:eastAsia="Times New Roman" w:cs="Times New Roman"/>
          <w:color w:val="000000" w:themeColor="text1"/>
          <w:kern w:val="0"/>
          <w14:ligatures w14:val="none"/>
        </w:rPr>
        <w:t>D</w:t>
      </w:r>
      <w:r w:rsidRPr="001638DC" w:rsidR="00B67951">
        <w:rPr>
          <w:rFonts w:ascii="Palatino Linotype" w:hAnsi="Palatino Linotype" w:eastAsia="Times New Roman" w:cs="Times New Roman"/>
          <w:color w:val="000000" w:themeColor="text1"/>
          <w:kern w:val="0"/>
          <w14:ligatures w14:val="none"/>
        </w:rPr>
        <w:t>irects</w:t>
      </w:r>
      <w:proofErr w:type="gramEnd"/>
      <w:r w:rsidRPr="001638DC" w:rsidR="00B67951">
        <w:rPr>
          <w:rFonts w:ascii="Palatino Linotype" w:hAnsi="Palatino Linotype" w:eastAsia="Times New Roman" w:cs="Times New Roman"/>
          <w:color w:val="000000" w:themeColor="text1"/>
          <w:kern w:val="0"/>
          <w14:ligatures w14:val="none"/>
        </w:rPr>
        <w:t xml:space="preserve"> S</w:t>
      </w:r>
      <w:r w:rsidRPr="001638DC" w:rsidR="001721FE">
        <w:rPr>
          <w:rFonts w:ascii="Palatino Linotype" w:hAnsi="Palatino Linotype" w:eastAsia="Times New Roman" w:cs="Times New Roman"/>
          <w:color w:val="000000" w:themeColor="text1"/>
          <w:kern w:val="0"/>
          <w14:ligatures w14:val="none"/>
        </w:rPr>
        <w:t>oCalGas</w:t>
      </w:r>
      <w:r w:rsidRPr="001638DC" w:rsidR="00B67951">
        <w:rPr>
          <w:rFonts w:ascii="Palatino Linotype" w:hAnsi="Palatino Linotype" w:eastAsia="Times New Roman" w:cs="Times New Roman"/>
          <w:color w:val="000000" w:themeColor="text1"/>
          <w:kern w:val="0"/>
          <w14:ligatures w14:val="none"/>
        </w:rPr>
        <w:t xml:space="preserve"> to submit r</w:t>
      </w:r>
      <w:r w:rsidRPr="009C750F" w:rsidR="00B67951">
        <w:rPr>
          <w:rFonts w:ascii="Palatino Linotype" w:hAnsi="Palatino Linotype" w:eastAsia="Times New Roman" w:cs="Times New Roman"/>
          <w:color w:val="000000" w:themeColor="text1"/>
          <w:kern w:val="0"/>
          <w14:ligatures w14:val="none"/>
        </w:rPr>
        <w:t xml:space="preserve">evised Gas RD&amp;D Investment Plans via Tier 2 Advice Letters with modifications </w:t>
      </w:r>
      <w:r w:rsidRPr="009C750F" w:rsidR="00040F36">
        <w:rPr>
          <w:rFonts w:ascii="Palatino Linotype" w:hAnsi="Palatino Linotype" w:eastAsia="Times New Roman" w:cs="Times New Roman"/>
          <w:color w:val="000000" w:themeColor="text1"/>
          <w:kern w:val="0"/>
          <w14:ligatures w14:val="none"/>
        </w:rPr>
        <w:t>described herein.</w:t>
      </w:r>
    </w:p>
    <w:p w:rsidRPr="009C750F" w:rsidR="00A76F4A" w:rsidP="00477204" w:rsidRDefault="00B67951" w14:paraId="711BBA7A" w14:textId="08204BDB">
      <w:pPr>
        <w:numPr>
          <w:ilvl w:val="0"/>
          <w:numId w:val="9"/>
        </w:numPr>
        <w:spacing w:after="0" w:line="276" w:lineRule="auto"/>
        <w:ind w:right="720"/>
        <w:rPr>
          <w:rFonts w:ascii="Palatino Linotype" w:hAnsi="Palatino Linotype" w:eastAsia="Times New Roman" w:cs="Times New Roman"/>
          <w:color w:val="000000" w:themeColor="text1"/>
          <w:kern w:val="0"/>
          <w14:ligatures w14:val="none"/>
        </w:rPr>
      </w:pPr>
      <w:r w:rsidRPr="009C750F">
        <w:rPr>
          <w:rFonts w:ascii="Palatino Linotype" w:hAnsi="Palatino Linotype" w:eastAsia="Times New Roman" w:cs="Times New Roman"/>
          <w:color w:val="000000" w:themeColor="text1"/>
          <w:kern w:val="0"/>
          <w14:ligatures w14:val="none"/>
        </w:rPr>
        <w:t>Establishes additional requirements</w:t>
      </w:r>
      <w:r w:rsidRPr="009C750F" w:rsidR="001A23DA">
        <w:rPr>
          <w:rFonts w:ascii="Palatino Linotype" w:hAnsi="Palatino Linotype" w:eastAsia="Times New Roman" w:cs="Times New Roman"/>
          <w:color w:val="000000" w:themeColor="text1"/>
          <w:kern w:val="0"/>
          <w14:ligatures w14:val="none"/>
        </w:rPr>
        <w:t xml:space="preserve"> for Commission oversight</w:t>
      </w:r>
      <w:r w:rsidRPr="009C750F">
        <w:rPr>
          <w:rFonts w:ascii="Palatino Linotype" w:hAnsi="Palatino Linotype" w:eastAsia="Times New Roman" w:cs="Times New Roman"/>
          <w:color w:val="000000" w:themeColor="text1"/>
          <w:kern w:val="0"/>
          <w14:ligatures w14:val="none"/>
        </w:rPr>
        <w:t>.</w:t>
      </w:r>
    </w:p>
    <w:p w:rsidRPr="004F3EF2" w:rsidR="00A76F4A" w:rsidP="00585305" w:rsidRDefault="00A76F4A" w14:paraId="4FCDC265" w14:textId="77777777">
      <w:pPr>
        <w:spacing w:before="240" w:after="0" w:line="276" w:lineRule="auto"/>
        <w:ind w:left="720" w:right="720"/>
        <w:rPr>
          <w:rFonts w:ascii="Palatino Linotype" w:hAnsi="Palatino Linotype" w:eastAsia="Palatino Linotype" w:cs="Times New Roman"/>
          <w:color w:val="000000" w:themeColor="text1"/>
          <w:kern w:val="0"/>
          <w14:ligatures w14:val="none"/>
        </w:rPr>
      </w:pPr>
      <w:r w:rsidRPr="004F3EF2">
        <w:rPr>
          <w:rFonts w:ascii="Palatino Linotype" w:hAnsi="Palatino Linotype" w:eastAsia="Palatino Linotype" w:cs="Times New Roman"/>
          <w:color w:val="000000" w:themeColor="text1"/>
          <w:kern w:val="0"/>
          <w14:ligatures w14:val="none"/>
        </w:rPr>
        <w:t>SAFETY CONSIDERATIONS:</w:t>
      </w:r>
    </w:p>
    <w:p w:rsidRPr="004F3EF2" w:rsidR="00A76F4A" w:rsidP="00477204" w:rsidRDefault="004F3EF2" w14:paraId="64A6B8D1" w14:textId="188B7E06">
      <w:pPr>
        <w:numPr>
          <w:ilvl w:val="0"/>
          <w:numId w:val="8"/>
        </w:numPr>
        <w:spacing w:after="0" w:line="276" w:lineRule="auto"/>
        <w:ind w:right="720"/>
        <w:rPr>
          <w:rFonts w:ascii="Palatino Linotype" w:hAnsi="Palatino Linotype" w:eastAsia="Times New Roman" w:cs="Times New Roman"/>
          <w:color w:val="000000" w:themeColor="text1"/>
          <w:kern w:val="0"/>
          <w14:ligatures w14:val="none"/>
        </w:rPr>
      </w:pPr>
      <w:r w:rsidRPr="004F3EF2">
        <w:rPr>
          <w:rFonts w:ascii="Palatino Linotype" w:hAnsi="Palatino Linotype" w:eastAsia="Times New Roman" w:cs="Times New Roman"/>
          <w:color w:val="000000" w:themeColor="text1"/>
          <w:kern w:val="0"/>
          <w14:ligatures w14:val="none"/>
        </w:rPr>
        <w:t xml:space="preserve">This Resolution approves safety-related RD&amp;D funding. </w:t>
      </w:r>
    </w:p>
    <w:p w:rsidRPr="004F3EF2" w:rsidR="00A76F4A" w:rsidP="00585305" w:rsidRDefault="00A76F4A" w14:paraId="6B0D0B8E" w14:textId="77777777">
      <w:pPr>
        <w:spacing w:before="240" w:after="0" w:line="276" w:lineRule="auto"/>
        <w:ind w:left="720" w:right="720"/>
        <w:rPr>
          <w:rFonts w:ascii="Palatino Linotype" w:hAnsi="Palatino Linotype" w:eastAsia="Palatino Linotype" w:cs="Times New Roman"/>
          <w:color w:val="000000" w:themeColor="text1"/>
          <w:kern w:val="0"/>
          <w14:ligatures w14:val="none"/>
        </w:rPr>
      </w:pPr>
      <w:r w:rsidRPr="004F3EF2">
        <w:rPr>
          <w:rFonts w:ascii="Palatino Linotype" w:hAnsi="Palatino Linotype" w:eastAsia="Palatino Linotype" w:cs="Times New Roman"/>
          <w:color w:val="000000" w:themeColor="text1"/>
          <w:kern w:val="0"/>
          <w14:ligatures w14:val="none"/>
        </w:rPr>
        <w:t xml:space="preserve">ESTIMATED COST:  </w:t>
      </w:r>
    </w:p>
    <w:p w:rsidRPr="004F3EF2" w:rsidR="00585305" w:rsidP="00477204" w:rsidRDefault="00210D1B" w14:paraId="7AEF718B" w14:textId="67A51A1B">
      <w:pPr>
        <w:numPr>
          <w:ilvl w:val="0"/>
          <w:numId w:val="8"/>
        </w:numPr>
        <w:spacing w:after="0" w:line="276" w:lineRule="auto"/>
        <w:ind w:right="720"/>
        <w:rPr>
          <w:rFonts w:ascii="Palatino Linotype" w:hAnsi="Palatino Linotype" w:eastAsia="Times New Roman" w:cs="Times New Roman"/>
          <w:color w:val="000000" w:themeColor="text1"/>
          <w:kern w:val="0"/>
          <w14:ligatures w14:val="none"/>
        </w:rPr>
      </w:pPr>
      <w:r w:rsidRPr="004F3EF2">
        <w:rPr>
          <w:rFonts w:ascii="Palatino Linotype" w:hAnsi="Palatino Linotype" w:eastAsia="Times New Roman" w:cs="Times New Roman"/>
          <w:color w:val="000000" w:themeColor="text1"/>
          <w:kern w:val="0"/>
          <w14:ligatures w14:val="none"/>
        </w:rPr>
        <w:t>Approves</w:t>
      </w:r>
      <w:r w:rsidRPr="004F3EF2" w:rsidR="00C621B3">
        <w:rPr>
          <w:rFonts w:ascii="Palatino Linotype" w:hAnsi="Palatino Linotype" w:eastAsia="Times New Roman" w:cs="Times New Roman"/>
          <w:color w:val="000000" w:themeColor="text1"/>
          <w:kern w:val="0"/>
          <w14:ligatures w14:val="none"/>
        </w:rPr>
        <w:t xml:space="preserve"> $74,690,100 </w:t>
      </w:r>
      <w:r w:rsidRPr="004F3EF2">
        <w:rPr>
          <w:rFonts w:ascii="Palatino Linotype" w:hAnsi="Palatino Linotype" w:eastAsia="Times New Roman" w:cs="Times New Roman"/>
          <w:color w:val="000000" w:themeColor="text1"/>
          <w:kern w:val="0"/>
          <w14:ligatures w14:val="none"/>
        </w:rPr>
        <w:t>in ratepayer costs</w:t>
      </w:r>
      <w:r w:rsidRPr="004F3EF2" w:rsidR="0006385F">
        <w:rPr>
          <w:rFonts w:ascii="Palatino Linotype" w:hAnsi="Palatino Linotype" w:eastAsia="Times New Roman" w:cs="Times New Roman"/>
          <w:color w:val="000000" w:themeColor="text1"/>
          <w:kern w:val="0"/>
          <w14:ligatures w14:val="none"/>
        </w:rPr>
        <w:t xml:space="preserve"> </w:t>
      </w:r>
      <w:r w:rsidRPr="004F3EF2" w:rsidR="002B3892">
        <w:rPr>
          <w:rFonts w:ascii="Palatino Linotype" w:hAnsi="Palatino Linotype" w:eastAsia="Times New Roman" w:cs="Times New Roman"/>
          <w:color w:val="000000" w:themeColor="text1"/>
          <w:kern w:val="0"/>
          <w14:ligatures w14:val="none"/>
        </w:rPr>
        <w:t xml:space="preserve">for </w:t>
      </w:r>
      <w:r w:rsidRPr="004F3EF2" w:rsidR="00BE7871">
        <w:rPr>
          <w:rFonts w:ascii="Palatino Linotype" w:hAnsi="Palatino Linotype" w:eastAsia="Times New Roman" w:cs="Times New Roman"/>
          <w:color w:val="000000" w:themeColor="text1"/>
          <w:kern w:val="0"/>
          <w14:ligatures w14:val="none"/>
        </w:rPr>
        <w:t xml:space="preserve">as previously authorized </w:t>
      </w:r>
      <w:r w:rsidRPr="004F3EF2" w:rsidR="00BE7871">
        <w:rPr>
          <w:rFonts w:ascii="Palatino Linotype" w:hAnsi="Palatino Linotype" w:eastAsia="Times New Roman" w:cs="Times New Roman"/>
          <w:kern w:val="0"/>
          <w14:ligatures w14:val="none"/>
        </w:rPr>
        <w:t>in Decision (D.)</w:t>
      </w:r>
      <w:r w:rsidR="00711B98">
        <w:rPr>
          <w:rFonts w:ascii="Palatino Linotype" w:hAnsi="Palatino Linotype" w:eastAsia="Times New Roman" w:cs="Times New Roman"/>
          <w:kern w:val="0"/>
          <w14:ligatures w14:val="none"/>
        </w:rPr>
        <w:t xml:space="preserve"> </w:t>
      </w:r>
      <w:r w:rsidRPr="004F3EF2" w:rsidR="00913687">
        <w:rPr>
          <w:rFonts w:ascii="Palatino Linotype" w:hAnsi="Palatino Linotype" w:eastAsia="Times New Roman" w:cs="Times New Roman"/>
          <w:kern w:val="0"/>
          <w14:ligatures w14:val="none"/>
        </w:rPr>
        <w:t>24-12-074.</w:t>
      </w:r>
      <w:r w:rsidRPr="004F3EF2" w:rsidR="00CA336C">
        <w:rPr>
          <w:rFonts w:ascii="Palatino Linotype" w:hAnsi="Palatino Linotype" w:eastAsia="Times New Roman" w:cs="Times New Roman"/>
          <w:kern w:val="0"/>
          <w14:ligatures w14:val="none"/>
        </w:rPr>
        <w:t xml:space="preserve"> </w:t>
      </w:r>
    </w:p>
    <w:p w:rsidRPr="00E31429" w:rsidR="00A76F4A" w:rsidP="00585305" w:rsidRDefault="00A76F4A" w14:paraId="573E1F48" w14:textId="24D68E2A">
      <w:pPr>
        <w:spacing w:before="240" w:after="0" w:line="276" w:lineRule="auto"/>
        <w:ind w:left="720" w:right="720"/>
        <w:rPr>
          <w:rFonts w:ascii="Palatino Linotype" w:hAnsi="Palatino Linotype" w:eastAsia="Palatino Linotype" w:cs="Times New Roman"/>
          <w:color w:val="000000" w:themeColor="text1"/>
          <w:kern w:val="0"/>
          <w14:ligatures w14:val="none"/>
        </w:rPr>
      </w:pPr>
      <w:r w:rsidRPr="00E31429">
        <w:rPr>
          <w:rFonts w:ascii="Palatino Linotype" w:hAnsi="Palatino Linotype" w:eastAsia="Palatino Linotype" w:cs="Times New Roman"/>
          <w:color w:val="000000" w:themeColor="text1"/>
          <w:kern w:val="0"/>
          <w14:ligatures w14:val="none"/>
        </w:rPr>
        <w:t>By Advice Letter</w:t>
      </w:r>
      <w:r w:rsidRPr="00E31429" w:rsidR="002F2667">
        <w:rPr>
          <w:rFonts w:ascii="Palatino Linotype" w:hAnsi="Palatino Linotype" w:eastAsia="Palatino Linotype" w:cs="Times New Roman"/>
          <w:color w:val="000000" w:themeColor="text1"/>
          <w:kern w:val="0"/>
          <w14:ligatures w14:val="none"/>
        </w:rPr>
        <w:t>s</w:t>
      </w:r>
      <w:r w:rsidRPr="00E31429">
        <w:rPr>
          <w:rFonts w:ascii="Palatino Linotype" w:hAnsi="Palatino Linotype" w:eastAsia="Palatino Linotype" w:cs="Times New Roman"/>
          <w:color w:val="000000" w:themeColor="text1"/>
          <w:kern w:val="0"/>
          <w14:ligatures w14:val="none"/>
        </w:rPr>
        <w:t xml:space="preserve"> </w:t>
      </w:r>
      <w:r w:rsidRPr="00E31429" w:rsidR="001D5BFD">
        <w:rPr>
          <w:rFonts w:ascii="Palatino Linotype" w:hAnsi="Palatino Linotype" w:eastAsia="Palatino Linotype" w:cs="Times New Roman"/>
          <w:color w:val="000000" w:themeColor="text1"/>
          <w:kern w:val="0"/>
          <w14:ligatures w14:val="none"/>
        </w:rPr>
        <w:t>6495</w:t>
      </w:r>
      <w:r w:rsidRPr="00E31429" w:rsidR="00DD7332">
        <w:rPr>
          <w:rFonts w:ascii="Palatino Linotype" w:hAnsi="Palatino Linotype" w:eastAsia="Palatino Linotype" w:cs="Times New Roman"/>
          <w:color w:val="000000" w:themeColor="text1"/>
          <w:kern w:val="0"/>
          <w14:ligatures w14:val="none"/>
        </w:rPr>
        <w:t>-G</w:t>
      </w:r>
      <w:r w:rsidRPr="00E31429" w:rsidR="001D5BFD">
        <w:rPr>
          <w:rFonts w:ascii="Palatino Linotype" w:hAnsi="Palatino Linotype" w:eastAsia="Palatino Linotype" w:cs="Times New Roman"/>
          <w:color w:val="000000" w:themeColor="text1"/>
          <w:kern w:val="0"/>
          <w14:ligatures w14:val="none"/>
        </w:rPr>
        <w:t>-A</w:t>
      </w:r>
      <w:r w:rsidRPr="00E31429" w:rsidR="002F2667">
        <w:rPr>
          <w:rFonts w:ascii="Palatino Linotype" w:hAnsi="Palatino Linotype" w:eastAsia="Palatino Linotype" w:cs="Times New Roman"/>
          <w:color w:val="000000" w:themeColor="text1"/>
          <w:kern w:val="0"/>
          <w14:ligatures w14:val="none"/>
        </w:rPr>
        <w:t xml:space="preserve"> for 2024 and 6496-G-A for 2025 f</w:t>
      </w:r>
      <w:r w:rsidRPr="00E31429">
        <w:rPr>
          <w:rFonts w:ascii="Palatino Linotype" w:hAnsi="Palatino Linotype" w:eastAsia="Palatino Linotype" w:cs="Times New Roman"/>
          <w:color w:val="000000" w:themeColor="text1"/>
          <w:kern w:val="0"/>
          <w14:ligatures w14:val="none"/>
        </w:rPr>
        <w:t xml:space="preserve">iled on </w:t>
      </w:r>
      <w:r w:rsidRPr="00E31429" w:rsidR="002F2667">
        <w:rPr>
          <w:rFonts w:ascii="Palatino Linotype" w:hAnsi="Palatino Linotype" w:eastAsia="Palatino Linotype" w:cs="Times New Roman"/>
          <w:color w:val="000000" w:themeColor="text1"/>
          <w:kern w:val="0"/>
          <w14:ligatures w14:val="none"/>
        </w:rPr>
        <w:t xml:space="preserve">April 3, 2026, and </w:t>
      </w:r>
      <w:r w:rsidRPr="00E31429" w:rsidR="00E31429">
        <w:rPr>
          <w:rFonts w:ascii="Palatino Linotype" w:hAnsi="Palatino Linotype" w:eastAsia="Palatino Linotype" w:cs="Times New Roman"/>
          <w:color w:val="000000" w:themeColor="text1"/>
          <w:kern w:val="0"/>
          <w14:ligatures w14:val="none"/>
        </w:rPr>
        <w:t>6645-</w:t>
      </w:r>
      <w:r w:rsidRPr="00E31429" w:rsidR="002F2667">
        <w:rPr>
          <w:rFonts w:ascii="Palatino Linotype" w:hAnsi="Palatino Linotype" w:eastAsia="Palatino Linotype" w:cs="Times New Roman"/>
          <w:color w:val="000000" w:themeColor="text1"/>
          <w:kern w:val="0"/>
          <w14:ligatures w14:val="none"/>
        </w:rPr>
        <w:t xml:space="preserve">G for 2026 and </w:t>
      </w:r>
      <w:r w:rsidRPr="00E31429" w:rsidR="00E31429">
        <w:rPr>
          <w:rFonts w:ascii="Palatino Linotype" w:hAnsi="Palatino Linotype" w:eastAsia="Palatino Linotype" w:cs="Times New Roman"/>
          <w:color w:val="000000" w:themeColor="text1"/>
          <w:kern w:val="0"/>
          <w14:ligatures w14:val="none"/>
        </w:rPr>
        <w:t>6646</w:t>
      </w:r>
      <w:r w:rsidRPr="00E31429" w:rsidR="002F2667">
        <w:rPr>
          <w:rFonts w:ascii="Palatino Linotype" w:hAnsi="Palatino Linotype" w:eastAsia="Palatino Linotype" w:cs="Times New Roman"/>
          <w:color w:val="000000" w:themeColor="text1"/>
          <w:kern w:val="0"/>
          <w14:ligatures w14:val="none"/>
        </w:rPr>
        <w:t xml:space="preserve">-G for 2027, Filed on </w:t>
      </w:r>
      <w:r w:rsidRPr="00E31429" w:rsidR="00E31429">
        <w:rPr>
          <w:rFonts w:ascii="Palatino Linotype" w:hAnsi="Palatino Linotype" w:eastAsia="Palatino Linotype" w:cs="Times New Roman"/>
          <w:color w:val="000000" w:themeColor="text1"/>
          <w:kern w:val="0"/>
          <w14:ligatures w14:val="none"/>
        </w:rPr>
        <w:t>June 1</w:t>
      </w:r>
      <w:r w:rsidRPr="00E31429" w:rsidR="002F2667">
        <w:rPr>
          <w:rFonts w:ascii="Palatino Linotype" w:hAnsi="Palatino Linotype" w:eastAsia="Palatino Linotype" w:cs="Times New Roman"/>
          <w:color w:val="000000" w:themeColor="text1"/>
          <w:kern w:val="0"/>
          <w14:ligatures w14:val="none"/>
        </w:rPr>
        <w:t>, 2026.</w:t>
      </w:r>
      <w:r w:rsidRPr="00E31429">
        <w:rPr>
          <w:rFonts w:ascii="Palatino Linotype" w:hAnsi="Palatino Linotype" w:eastAsia="Palatino Linotype" w:cs="Times New Roman"/>
          <w:color w:val="000000" w:themeColor="text1"/>
          <w:kern w:val="0"/>
          <w14:ligatures w14:val="none"/>
        </w:rPr>
        <w:t xml:space="preserve"> </w:t>
      </w:r>
    </w:p>
    <w:p w:rsidRPr="00806C6B" w:rsidR="00A76F4A" w:rsidP="00806C6B" w:rsidRDefault="00A76F4A" w14:paraId="0542E5E0" w14:textId="77777777">
      <w:pPr>
        <w:spacing w:after="0" w:line="240" w:lineRule="auto"/>
        <w:jc w:val="center"/>
        <w:rPr>
          <w:rFonts w:ascii="Palatino Linotype" w:hAnsi="Palatino Linotype" w:eastAsia="Palatino Linotype" w:cs="Times New Roman"/>
          <w:kern w:val="0"/>
          <w:sz w:val="22"/>
          <w:szCs w:val="22"/>
          <w14:ligatures w14:val="none"/>
        </w:rPr>
      </w:pPr>
      <w:r w:rsidRPr="00806C6B">
        <w:rPr>
          <w:rFonts w:ascii="Palatino Linotype" w:hAnsi="Palatino Linotype" w:eastAsia="Palatino Linotype" w:cs="Times New Roman"/>
          <w:kern w:val="0"/>
          <w:sz w:val="22"/>
          <w:szCs w:val="22"/>
          <w14:ligatures w14:val="none"/>
        </w:rPr>
        <w:t>__________________________________________________________</w:t>
      </w:r>
    </w:p>
    <w:p w:rsidRPr="001942D0" w:rsidR="00A76F4A" w:rsidP="00F97978" w:rsidRDefault="00A76F4A" w14:paraId="3906F9BB" w14:textId="77777777">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Pr="00036799" w:rsidR="00913687" w:rsidP="00036799" w:rsidRDefault="00913687" w14:paraId="05546F4C" w14:textId="6EBC80B9">
      <w:pPr>
        <w:spacing w:line="276" w:lineRule="auto"/>
        <w:rPr>
          <w:rFonts w:ascii="Palatino Linotype" w:hAnsi="Palatino Linotype" w:eastAsia="Palatino Linotype" w:cs="Times New Roman"/>
          <w:color w:val="000000" w:themeColor="text1"/>
          <w:kern w:val="0"/>
          <w14:ligatures w14:val="none"/>
        </w:rPr>
      </w:pPr>
      <w:r w:rsidRPr="007D1510">
        <w:rPr>
          <w:rFonts w:ascii="Palatino Linotype" w:hAnsi="Palatino Linotype" w:eastAsia="Palatino Linotype" w:cs="Times New Roman"/>
          <w:kern w:val="0"/>
          <w14:ligatures w14:val="none"/>
        </w:rPr>
        <w:t xml:space="preserve">This </w:t>
      </w:r>
      <w:r w:rsidRPr="001638DC">
        <w:rPr>
          <w:rFonts w:ascii="Palatino Linotype" w:hAnsi="Palatino Linotype" w:eastAsia="Palatino Linotype" w:cs="Times New Roman"/>
          <w:color w:val="000000" w:themeColor="text1"/>
          <w:kern w:val="0"/>
          <w14:ligatures w14:val="none"/>
        </w:rPr>
        <w:t xml:space="preserve">Resolution approves in part </w:t>
      </w:r>
      <w:r w:rsidRPr="001638DC" w:rsidR="001638DC">
        <w:rPr>
          <w:rFonts w:ascii="Palatino Linotype" w:hAnsi="Palatino Linotype" w:eastAsia="Palatino Linotype" w:cs="Times New Roman"/>
          <w:color w:val="000000" w:themeColor="text1"/>
          <w:kern w:val="0"/>
          <w14:ligatures w14:val="none"/>
        </w:rPr>
        <w:t xml:space="preserve">and modifies in part </w:t>
      </w:r>
      <w:r>
        <w:rPr>
          <w:rFonts w:ascii="Palatino Linotype" w:hAnsi="Palatino Linotype"/>
          <w:color w:val="000000" w:themeColor="text1"/>
        </w:rPr>
        <w:t>Southern California Gas (</w:t>
      </w:r>
      <w:r w:rsidR="00560EBB">
        <w:rPr>
          <w:rFonts w:ascii="Palatino Linotype" w:hAnsi="Palatino Linotype"/>
          <w:color w:val="000000" w:themeColor="text1"/>
        </w:rPr>
        <w:t>SoCalGas</w:t>
      </w:r>
      <w:r>
        <w:rPr>
          <w:rFonts w:ascii="Palatino Linotype" w:hAnsi="Palatino Linotype"/>
          <w:color w:val="000000" w:themeColor="text1"/>
        </w:rPr>
        <w:t>) Company’s</w:t>
      </w:r>
      <w:r w:rsidRPr="003F6CCF">
        <w:rPr>
          <w:rFonts w:ascii="Palatino Linotype" w:hAnsi="Palatino Linotype"/>
          <w:color w:val="000000" w:themeColor="text1"/>
        </w:rPr>
        <w:t xml:space="preserve"> Advice Letters (AL)</w:t>
      </w:r>
      <w:r w:rsidR="00A87ED1">
        <w:rPr>
          <w:rFonts w:ascii="Palatino Linotype" w:hAnsi="Palatino Linotype"/>
          <w:color w:val="000000" w:themeColor="text1"/>
        </w:rPr>
        <w:t xml:space="preserve"> 6495</w:t>
      </w:r>
      <w:r>
        <w:rPr>
          <w:rFonts w:ascii="Palatino Linotype" w:hAnsi="Palatino Linotype"/>
          <w:color w:val="000000" w:themeColor="text1"/>
        </w:rPr>
        <w:t>-</w:t>
      </w:r>
      <w:r w:rsidR="00A87ED1">
        <w:rPr>
          <w:rFonts w:ascii="Palatino Linotype" w:hAnsi="Palatino Linotype"/>
          <w:color w:val="000000" w:themeColor="text1"/>
        </w:rPr>
        <w:t xml:space="preserve">G-A, </w:t>
      </w:r>
      <w:r w:rsidRPr="00A87ED1" w:rsidR="00A87ED1">
        <w:rPr>
          <w:rFonts w:ascii="Palatino Linotype" w:hAnsi="Palatino Linotype"/>
          <w:color w:val="000000" w:themeColor="text1"/>
        </w:rPr>
        <w:t>6496-</w:t>
      </w:r>
      <w:r w:rsidRPr="003F6CCF">
        <w:rPr>
          <w:rFonts w:ascii="Palatino Linotype" w:hAnsi="Palatino Linotype"/>
          <w:color w:val="000000" w:themeColor="text1"/>
        </w:rPr>
        <w:t>G</w:t>
      </w:r>
      <w:r w:rsidR="00A87ED1">
        <w:rPr>
          <w:rFonts w:ascii="Palatino Linotype" w:hAnsi="Palatino Linotype"/>
          <w:color w:val="000000" w:themeColor="text1"/>
        </w:rPr>
        <w:t>-A,</w:t>
      </w:r>
      <w:r w:rsidR="00E31429">
        <w:rPr>
          <w:rFonts w:ascii="Palatino Linotype" w:hAnsi="Palatino Linotype"/>
          <w:color w:val="000000" w:themeColor="text1"/>
        </w:rPr>
        <w:t xml:space="preserve"> 6645-</w:t>
      </w:r>
      <w:r w:rsidR="00A87ED1">
        <w:rPr>
          <w:rFonts w:ascii="Palatino Linotype" w:hAnsi="Palatino Linotype"/>
          <w:color w:val="000000" w:themeColor="text1"/>
        </w:rPr>
        <w:t xml:space="preserve">G, </w:t>
      </w:r>
      <w:r w:rsidRPr="00E31429" w:rsidR="00A87ED1">
        <w:rPr>
          <w:rFonts w:ascii="Palatino Linotype" w:hAnsi="Palatino Linotype"/>
          <w:color w:val="000000" w:themeColor="text1"/>
        </w:rPr>
        <w:t xml:space="preserve">and </w:t>
      </w:r>
      <w:r w:rsidRPr="00E31429" w:rsidR="00E31429">
        <w:rPr>
          <w:rFonts w:ascii="Palatino Linotype" w:hAnsi="Palatino Linotype"/>
          <w:color w:val="000000" w:themeColor="text1"/>
        </w:rPr>
        <w:t>6646-</w:t>
      </w:r>
      <w:r w:rsidRPr="00E31429" w:rsidR="00A87ED1">
        <w:rPr>
          <w:rFonts w:ascii="Palatino Linotype" w:hAnsi="Palatino Linotype"/>
          <w:color w:val="000000" w:themeColor="text1"/>
        </w:rPr>
        <w:t>G</w:t>
      </w:r>
      <w:r w:rsidRPr="00E31429">
        <w:rPr>
          <w:rFonts w:ascii="Palatino Linotype" w:hAnsi="Palatino Linotype"/>
          <w:color w:val="000000" w:themeColor="text1"/>
        </w:rPr>
        <w:t xml:space="preserve"> </w:t>
      </w:r>
      <w:r w:rsidRPr="003F6CCF">
        <w:rPr>
          <w:rFonts w:ascii="Palatino Linotype" w:hAnsi="Palatino Linotype"/>
          <w:color w:val="000000" w:themeColor="text1"/>
        </w:rPr>
        <w:t xml:space="preserve">with proposed </w:t>
      </w:r>
      <w:r w:rsidRPr="003F6CCF">
        <w:rPr>
          <w:rFonts w:ascii="Palatino Linotype" w:hAnsi="Palatino Linotype" w:eastAsia="Times New Roman" w:cs="Times New Roman"/>
          <w:color w:val="000000" w:themeColor="text1"/>
          <w:kern w:val="0"/>
          <w14:ligatures w14:val="none"/>
        </w:rPr>
        <w:t xml:space="preserve">Gas Research, Development, and Demonstration (RD&amp;D) Investment Plans (Gas RD&amp;D Plans or Plans) for </w:t>
      </w:r>
      <w:r w:rsidRPr="00A87ED1">
        <w:rPr>
          <w:rFonts w:ascii="Palatino Linotype" w:hAnsi="Palatino Linotype" w:eastAsia="Times New Roman" w:cs="Times New Roman"/>
          <w:kern w:val="0"/>
          <w14:ligatures w14:val="none"/>
        </w:rPr>
        <w:t>2024</w:t>
      </w:r>
      <w:r w:rsidRPr="00A87ED1" w:rsidR="00A87ED1">
        <w:rPr>
          <w:rFonts w:ascii="Palatino Linotype" w:hAnsi="Palatino Linotype" w:eastAsia="Times New Roman" w:cs="Times New Roman"/>
          <w:kern w:val="0"/>
          <w14:ligatures w14:val="none"/>
        </w:rPr>
        <w:t xml:space="preserve">, </w:t>
      </w:r>
      <w:r w:rsidRPr="00A87ED1">
        <w:rPr>
          <w:rFonts w:ascii="Palatino Linotype" w:hAnsi="Palatino Linotype" w:eastAsia="Times New Roman" w:cs="Times New Roman"/>
          <w:kern w:val="0"/>
          <w14:ligatures w14:val="none"/>
        </w:rPr>
        <w:t>2025</w:t>
      </w:r>
      <w:r w:rsidRPr="00A87ED1" w:rsidR="00A87ED1">
        <w:rPr>
          <w:rFonts w:ascii="Palatino Linotype" w:hAnsi="Palatino Linotype" w:eastAsia="Times New Roman" w:cs="Times New Roman"/>
          <w:kern w:val="0"/>
          <w14:ligatures w14:val="none"/>
        </w:rPr>
        <w:t>, 2026, and 2027</w:t>
      </w:r>
      <w:r w:rsidR="001638DC">
        <w:rPr>
          <w:rFonts w:ascii="Palatino Linotype" w:hAnsi="Palatino Linotype" w:eastAsia="Times New Roman" w:cs="Times New Roman"/>
          <w:kern w:val="0"/>
          <w14:ligatures w14:val="none"/>
        </w:rPr>
        <w:t>, respectively</w:t>
      </w:r>
      <w:r w:rsidRPr="00A87ED1">
        <w:rPr>
          <w:rFonts w:ascii="Palatino Linotype" w:hAnsi="Palatino Linotype" w:eastAsia="Times New Roman" w:cs="Times New Roman"/>
          <w:kern w:val="0"/>
          <w14:ligatures w14:val="none"/>
        </w:rPr>
        <w:t xml:space="preserve">. </w:t>
      </w:r>
      <w:r w:rsidR="00560EBB">
        <w:rPr>
          <w:rFonts w:ascii="Palatino Linotype" w:hAnsi="Palatino Linotype"/>
          <w:color w:val="000000" w:themeColor="text1"/>
        </w:rPr>
        <w:t>SoCalGas’</w:t>
      </w:r>
      <w:r w:rsidRPr="003F6CCF">
        <w:rPr>
          <w:rFonts w:ascii="Palatino Linotype" w:hAnsi="Palatino Linotype" w:eastAsia="Palatino Linotype" w:cs="Times New Roman"/>
          <w:color w:val="000000" w:themeColor="text1"/>
          <w:kern w:val="0"/>
          <w14:ligatures w14:val="none"/>
        </w:rPr>
        <w:t xml:space="preserve"> Gas RD&amp;D Program was </w:t>
      </w:r>
      <w:r w:rsidRPr="008D5692">
        <w:rPr>
          <w:rFonts w:ascii="Palatino Linotype" w:hAnsi="Palatino Linotype" w:eastAsia="Palatino Linotype" w:cs="Times New Roman"/>
          <w:color w:val="000000" w:themeColor="text1"/>
          <w:kern w:val="0"/>
          <w14:ligatures w14:val="none"/>
        </w:rPr>
        <w:t xml:space="preserve">established </w:t>
      </w:r>
      <w:r w:rsidRPr="003F6CCF">
        <w:rPr>
          <w:rFonts w:ascii="Palatino Linotype" w:hAnsi="Palatino Linotype" w:eastAsia="Palatino Linotype" w:cs="Times New Roman"/>
          <w:color w:val="000000" w:themeColor="text1"/>
          <w:kern w:val="0"/>
          <w14:ligatures w14:val="none"/>
        </w:rPr>
        <w:t xml:space="preserve">pursuant to </w:t>
      </w:r>
      <w:r w:rsidR="005A7DA3">
        <w:rPr>
          <w:rFonts w:ascii="Palatino Linotype" w:hAnsi="Palatino Linotype" w:eastAsia="Palatino Linotype" w:cs="Times New Roman"/>
          <w:color w:val="000000" w:themeColor="text1"/>
          <w:kern w:val="0"/>
          <w14:ligatures w14:val="none"/>
        </w:rPr>
        <w:t xml:space="preserve">the general rate case (GRC) </w:t>
      </w:r>
      <w:r w:rsidRPr="003F6CCF">
        <w:rPr>
          <w:rFonts w:ascii="Palatino Linotype" w:hAnsi="Palatino Linotype" w:eastAsia="Palatino Linotype" w:cs="Times New Roman"/>
          <w:color w:val="000000" w:themeColor="text1"/>
          <w:kern w:val="0"/>
          <w14:ligatures w14:val="none"/>
        </w:rPr>
        <w:t>Decision (D.)</w:t>
      </w:r>
      <w:r w:rsidR="00711B98">
        <w:rPr>
          <w:rFonts w:ascii="Palatino Linotype" w:hAnsi="Palatino Linotype" w:eastAsia="Palatino Linotype" w:cs="Times New Roman"/>
          <w:color w:val="000000" w:themeColor="text1"/>
          <w:kern w:val="0"/>
          <w14:ligatures w14:val="none"/>
        </w:rPr>
        <w:t xml:space="preserve"> </w:t>
      </w:r>
      <w:r w:rsidR="00641AEB">
        <w:rPr>
          <w:rFonts w:ascii="Palatino Linotype" w:hAnsi="Palatino Linotype" w:eastAsia="Palatino Linotype" w:cs="Times New Roman"/>
          <w:color w:val="000000" w:themeColor="text1"/>
          <w:kern w:val="0"/>
          <w14:ligatures w14:val="none"/>
        </w:rPr>
        <w:t>19-09-051</w:t>
      </w:r>
      <w:r w:rsidR="00A51B14">
        <w:rPr>
          <w:rFonts w:ascii="Palatino Linotype" w:hAnsi="Palatino Linotype" w:eastAsia="Palatino Linotype" w:cs="Times New Roman"/>
          <w:color w:val="000000" w:themeColor="text1"/>
          <w:kern w:val="0"/>
          <w14:ligatures w14:val="none"/>
        </w:rPr>
        <w:t xml:space="preserve"> as upheld in </w:t>
      </w:r>
      <w:r w:rsidR="008437FA">
        <w:rPr>
          <w:rFonts w:ascii="Palatino Linotype" w:hAnsi="Palatino Linotype" w:eastAsia="Palatino Linotype" w:cs="Times New Roman"/>
          <w:color w:val="000000" w:themeColor="text1"/>
          <w:kern w:val="0"/>
          <w14:ligatures w14:val="none"/>
        </w:rPr>
        <w:t>D.24-12-074</w:t>
      </w:r>
      <w:r w:rsidRPr="00EF2825">
        <w:rPr>
          <w:rFonts w:ascii="Palatino Linotype" w:hAnsi="Palatino Linotype" w:eastAsia="Palatino Linotype" w:cs="Times New Roman"/>
          <w:color w:val="000000" w:themeColor="text1"/>
          <w:kern w:val="0"/>
          <w14:ligatures w14:val="none"/>
        </w:rPr>
        <w:t xml:space="preserve">, requiring </w:t>
      </w:r>
      <w:r w:rsidR="00560EBB">
        <w:rPr>
          <w:rFonts w:ascii="Palatino Linotype" w:hAnsi="Palatino Linotype"/>
          <w:color w:val="000000" w:themeColor="text1"/>
        </w:rPr>
        <w:t>SoCalGas</w:t>
      </w:r>
      <w:r w:rsidRPr="00EF2825">
        <w:rPr>
          <w:rFonts w:ascii="Palatino Linotype" w:hAnsi="Palatino Linotype" w:eastAsia="Palatino Linotype" w:cs="Times New Roman"/>
          <w:color w:val="000000" w:themeColor="text1"/>
          <w:kern w:val="0"/>
          <w14:ligatures w14:val="none"/>
        </w:rPr>
        <w:t xml:space="preserve"> to </w:t>
      </w:r>
      <w:r w:rsidRPr="00EF2825">
        <w:rPr>
          <w:rFonts w:ascii="Palatino Linotype" w:hAnsi="Palatino Linotype" w:eastAsia="Palatino Linotype" w:cs="Times New Roman"/>
          <w:bCs/>
          <w:color w:val="000000" w:themeColor="text1"/>
          <w:kern w:val="0"/>
          <w14:ligatures w14:val="none"/>
        </w:rPr>
        <w:t xml:space="preserve">submit, and the </w:t>
      </w:r>
      <w:r w:rsidRPr="00EF2825">
        <w:rPr>
          <w:rFonts w:ascii="Palatino Linotype" w:hAnsi="Palatino Linotype" w:eastAsia="Palatino Linotype" w:cs="Times New Roman"/>
          <w:color w:val="000000" w:themeColor="text1"/>
          <w:kern w:val="0"/>
          <w14:ligatures w14:val="none"/>
        </w:rPr>
        <w:t xml:space="preserve">Commission </w:t>
      </w:r>
      <w:r w:rsidRPr="00EF2825">
        <w:rPr>
          <w:rFonts w:ascii="Palatino Linotype" w:hAnsi="Palatino Linotype" w:eastAsia="Palatino Linotype" w:cs="Times New Roman"/>
          <w:bCs/>
          <w:color w:val="000000" w:themeColor="text1"/>
          <w:kern w:val="0"/>
          <w14:ligatures w14:val="none"/>
        </w:rPr>
        <w:t>to approve, an</w:t>
      </w:r>
      <w:r w:rsidRPr="00EF2825">
        <w:rPr>
          <w:rFonts w:ascii="Palatino Linotype" w:hAnsi="Palatino Linotype" w:eastAsia="Palatino Linotype" w:cs="Times New Roman"/>
          <w:color w:val="000000" w:themeColor="text1"/>
          <w:kern w:val="0"/>
          <w14:ligatures w14:val="none"/>
        </w:rPr>
        <w:t xml:space="preserve"> annual </w:t>
      </w:r>
      <w:r w:rsidRPr="00EF2825">
        <w:rPr>
          <w:rFonts w:ascii="Palatino Linotype" w:hAnsi="Palatino Linotype" w:eastAsia="Palatino Linotype" w:cs="Times New Roman"/>
          <w:bCs/>
          <w:color w:val="000000" w:themeColor="text1"/>
          <w:kern w:val="0"/>
          <w14:ligatures w14:val="none"/>
        </w:rPr>
        <w:t xml:space="preserve">Tier 3 </w:t>
      </w:r>
      <w:r w:rsidRPr="00EF2825">
        <w:rPr>
          <w:rFonts w:ascii="Palatino Linotype" w:hAnsi="Palatino Linotype" w:eastAsia="Palatino Linotype" w:cs="Times New Roman"/>
          <w:color w:val="000000" w:themeColor="text1"/>
          <w:kern w:val="0"/>
          <w14:ligatures w14:val="none"/>
        </w:rPr>
        <w:t>AL describing</w:t>
      </w:r>
      <w:r w:rsidRPr="00EF2825">
        <w:rPr>
          <w:rFonts w:ascii="Palatino Linotype" w:hAnsi="Palatino Linotype" w:eastAsia="Palatino Linotype" w:cs="Times New Roman"/>
          <w:bCs/>
          <w:color w:val="000000" w:themeColor="text1"/>
          <w:kern w:val="0"/>
          <w14:ligatures w14:val="none"/>
        </w:rPr>
        <w:t xml:space="preserve"> </w:t>
      </w:r>
      <w:r w:rsidR="00560EBB">
        <w:rPr>
          <w:rFonts w:ascii="Palatino Linotype" w:hAnsi="Palatino Linotype"/>
          <w:color w:val="000000" w:themeColor="text1"/>
        </w:rPr>
        <w:t>SoCalGas</w:t>
      </w:r>
      <w:r w:rsidR="0006385F">
        <w:rPr>
          <w:rFonts w:ascii="Palatino Linotype" w:hAnsi="Palatino Linotype" w:eastAsia="Palatino Linotype" w:cs="Times New Roman"/>
          <w:bCs/>
          <w:color w:val="000000" w:themeColor="text1"/>
          <w:kern w:val="0"/>
          <w14:ligatures w14:val="none"/>
        </w:rPr>
        <w:t>’</w:t>
      </w:r>
      <w:r w:rsidRPr="00EF2825">
        <w:rPr>
          <w:rFonts w:ascii="Palatino Linotype" w:hAnsi="Palatino Linotype" w:eastAsia="Palatino Linotype" w:cs="Times New Roman"/>
          <w:bCs/>
          <w:color w:val="000000" w:themeColor="text1"/>
          <w:kern w:val="0"/>
          <w14:ligatures w14:val="none"/>
        </w:rPr>
        <w:t xml:space="preserve"> proposed </w:t>
      </w:r>
      <w:r w:rsidRPr="00EF2825">
        <w:rPr>
          <w:rFonts w:ascii="Palatino Linotype" w:hAnsi="Palatino Linotype" w:eastAsia="Palatino Linotype" w:cs="Times New Roman"/>
          <w:color w:val="000000" w:themeColor="text1"/>
          <w:kern w:val="0"/>
          <w14:ligatures w14:val="none"/>
        </w:rPr>
        <w:t xml:space="preserve">Gas RD&amp;D </w:t>
      </w:r>
      <w:r w:rsidRPr="00EF2825">
        <w:rPr>
          <w:rFonts w:ascii="Palatino Linotype" w:hAnsi="Palatino Linotype" w:eastAsia="Palatino Linotype" w:cs="Times New Roman"/>
          <w:bCs/>
          <w:color w:val="000000" w:themeColor="text1"/>
          <w:kern w:val="0"/>
          <w14:ligatures w14:val="none"/>
        </w:rPr>
        <w:t>Investment Plan prior to utilizing authorized funds</w:t>
      </w:r>
      <w:r w:rsidRPr="00EF2825">
        <w:rPr>
          <w:rFonts w:ascii="Palatino Linotype" w:hAnsi="Palatino Linotype" w:eastAsia="Palatino Linotype" w:cs="Times New Roman"/>
          <w:color w:val="000000" w:themeColor="text1"/>
          <w:kern w:val="0"/>
          <w14:ligatures w14:val="none"/>
        </w:rPr>
        <w:t>.</w:t>
      </w:r>
      <w:r w:rsidRPr="00EF2825">
        <w:rPr>
          <w:rStyle w:val="FootnoteReference"/>
          <w:rFonts w:ascii="Palatino Linotype" w:hAnsi="Palatino Linotype" w:eastAsia="Palatino Linotype" w:cs="Times New Roman"/>
          <w:color w:val="000000" w:themeColor="text1"/>
          <w:kern w:val="0"/>
          <w14:ligatures w14:val="none"/>
        </w:rPr>
        <w:footnoteReference w:id="1"/>
      </w:r>
      <w:r w:rsidRPr="00EF2825">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Based on Commission review of requirements, t</w:t>
      </w:r>
      <w:r w:rsidRPr="003F6CCF">
        <w:rPr>
          <w:rFonts w:ascii="Palatino Linotype" w:hAnsi="Palatino Linotype" w:eastAsia="Palatino Linotype" w:cs="Times New Roman"/>
          <w:color w:val="000000" w:themeColor="text1"/>
          <w:kern w:val="0"/>
          <w14:ligatures w14:val="none"/>
        </w:rPr>
        <w:t xml:space="preserve">he California Public Utilities Commission (CPUC or </w:t>
      </w:r>
      <w:r w:rsidRPr="001638DC">
        <w:rPr>
          <w:rFonts w:ascii="Palatino Linotype" w:hAnsi="Palatino Linotype" w:eastAsia="Palatino Linotype" w:cs="Times New Roman"/>
          <w:color w:val="000000" w:themeColor="text1"/>
          <w:kern w:val="0"/>
          <w14:ligatures w14:val="none"/>
        </w:rPr>
        <w:t xml:space="preserve">Commission) approves in part </w:t>
      </w:r>
      <w:r w:rsidRPr="001638DC" w:rsidR="001638DC">
        <w:rPr>
          <w:rFonts w:ascii="Palatino Linotype" w:hAnsi="Palatino Linotype" w:eastAsia="Palatino Linotype" w:cs="Times New Roman"/>
          <w:color w:val="000000" w:themeColor="text1"/>
          <w:kern w:val="0"/>
          <w14:ligatures w14:val="none"/>
        </w:rPr>
        <w:t xml:space="preserve">and modifies in part </w:t>
      </w:r>
      <w:r w:rsidR="00560EBB">
        <w:rPr>
          <w:rFonts w:ascii="Palatino Linotype" w:hAnsi="Palatino Linotype"/>
          <w:color w:val="000000" w:themeColor="text1"/>
        </w:rPr>
        <w:t>SoCalGas</w:t>
      </w:r>
      <w:r w:rsidR="0056010E">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Gas RD&amp;D Plans with</w:t>
      </w:r>
      <w:r w:rsidRPr="007D1510">
        <w:rPr>
          <w:rFonts w:ascii="Palatino Linotype" w:hAnsi="Palatino Linotype" w:eastAsia="Palatino Linotype" w:cs="Times New Roman"/>
          <w:kern w:val="0"/>
          <w14:ligatures w14:val="none"/>
        </w:rPr>
        <w:t xml:space="preserve"> proposed</w:t>
      </w:r>
      <w:r>
        <w:rPr>
          <w:rFonts w:ascii="Palatino Linotype" w:hAnsi="Palatino Linotype" w:eastAsia="Palatino Linotype" w:cs="Times New Roman"/>
          <w:kern w:val="0"/>
          <w14:ligatures w14:val="none"/>
        </w:rPr>
        <w:t xml:space="preserve"> </w:t>
      </w:r>
      <w:r>
        <w:rPr>
          <w:rFonts w:ascii="Palatino Linotype" w:hAnsi="Palatino Linotype" w:eastAsia="Times New Roman" w:cs="Times New Roman"/>
          <w:kern w:val="0"/>
          <w14:ligatures w14:val="none"/>
        </w:rPr>
        <w:t xml:space="preserve">budgets of </w:t>
      </w:r>
      <w:r w:rsidRPr="00933820" w:rsidR="00933820">
        <w:rPr>
          <w:rFonts w:ascii="Palatino Linotype" w:hAnsi="Palatino Linotype" w:eastAsia="Times New Roman" w:cs="Times New Roman"/>
          <w:kern w:val="0"/>
          <w14:ligatures w14:val="none"/>
        </w:rPr>
        <w:t>$17,853,000</w:t>
      </w:r>
      <w:r w:rsidR="00933820">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for 2024</w:t>
      </w:r>
      <w:r w:rsidR="00624767">
        <w:rPr>
          <w:rFonts w:ascii="Palatino Linotype" w:hAnsi="Palatino Linotype" w:eastAsia="Times New Roman" w:cs="Times New Roman"/>
          <w:kern w:val="0"/>
          <w14:ligatures w14:val="none"/>
        </w:rPr>
        <w:t>;</w:t>
      </w:r>
      <w:r w:rsidR="00933820">
        <w:rPr>
          <w:rFonts w:ascii="Palatino Linotype" w:hAnsi="Palatino Linotype" w:eastAsia="Times New Roman" w:cs="Times New Roman"/>
          <w:kern w:val="0"/>
          <w14:ligatures w14:val="none"/>
        </w:rPr>
        <w:t xml:space="preserve"> </w:t>
      </w:r>
      <w:r w:rsidRPr="009B682B" w:rsidR="009B682B">
        <w:rPr>
          <w:rFonts w:ascii="Palatino Linotype" w:hAnsi="Palatino Linotype" w:eastAsia="Times New Roman" w:cs="Times New Roman"/>
          <w:kern w:val="0"/>
          <w14:ligatures w14:val="none"/>
        </w:rPr>
        <w:t>$18,389,000</w:t>
      </w:r>
      <w:r w:rsidR="009B682B">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for 2025</w:t>
      </w:r>
      <w:r w:rsidR="00624767">
        <w:rPr>
          <w:rFonts w:ascii="Palatino Linotype" w:hAnsi="Palatino Linotype" w:eastAsia="Times New Roman" w:cs="Times New Roman"/>
          <w:kern w:val="0"/>
          <w14:ligatures w14:val="none"/>
        </w:rPr>
        <w:t>;</w:t>
      </w:r>
      <w:r w:rsidR="009B682B">
        <w:rPr>
          <w:rFonts w:ascii="Palatino Linotype" w:hAnsi="Palatino Linotype" w:eastAsia="Times New Roman" w:cs="Times New Roman"/>
          <w:kern w:val="0"/>
          <w14:ligatures w14:val="none"/>
        </w:rPr>
        <w:t xml:space="preserve"> </w:t>
      </w:r>
      <w:r w:rsidRPr="00493DE1" w:rsidR="00E31429">
        <w:rPr>
          <w:rFonts w:ascii="Palatino Linotype" w:hAnsi="Palatino Linotype" w:eastAsia="Times New Roman" w:cs="Times New Roman"/>
          <w:color w:val="000000" w:themeColor="text1"/>
          <w:kern w:val="0"/>
          <w14:ligatures w14:val="none"/>
        </w:rPr>
        <w:t xml:space="preserve">$18,940,000 </w:t>
      </w:r>
      <w:r w:rsidR="009B682B">
        <w:rPr>
          <w:rFonts w:ascii="Palatino Linotype" w:hAnsi="Palatino Linotype" w:eastAsia="Times New Roman" w:cs="Times New Roman"/>
          <w:kern w:val="0"/>
          <w14:ligatures w14:val="none"/>
        </w:rPr>
        <w:t>for 2026</w:t>
      </w:r>
      <w:r w:rsidR="00624767">
        <w:rPr>
          <w:rFonts w:ascii="Palatino Linotype" w:hAnsi="Palatino Linotype" w:eastAsia="Times New Roman" w:cs="Times New Roman"/>
          <w:kern w:val="0"/>
          <w14:ligatures w14:val="none"/>
        </w:rPr>
        <w:t>;</w:t>
      </w:r>
      <w:r w:rsidR="009B682B">
        <w:rPr>
          <w:rFonts w:ascii="Palatino Linotype" w:hAnsi="Palatino Linotype" w:eastAsia="Times New Roman" w:cs="Times New Roman"/>
          <w:kern w:val="0"/>
          <w14:ligatures w14:val="none"/>
        </w:rPr>
        <w:t xml:space="preserve"> and </w:t>
      </w:r>
      <w:r w:rsidRPr="00493DE1" w:rsidR="00E31429">
        <w:rPr>
          <w:rFonts w:ascii="Palatino Linotype" w:hAnsi="Palatino Linotype" w:eastAsia="Times New Roman" w:cs="Times New Roman"/>
          <w:color w:val="000000" w:themeColor="text1"/>
          <w:kern w:val="0"/>
          <w14:ligatures w14:val="none"/>
        </w:rPr>
        <w:t xml:space="preserve">$19,508,100 </w:t>
      </w:r>
      <w:r w:rsidR="009B682B">
        <w:rPr>
          <w:rFonts w:ascii="Palatino Linotype" w:hAnsi="Palatino Linotype" w:eastAsia="Times New Roman" w:cs="Times New Roman"/>
          <w:kern w:val="0"/>
          <w14:ligatures w14:val="none"/>
        </w:rPr>
        <w:t>for 2027,</w:t>
      </w:r>
      <w:r>
        <w:rPr>
          <w:rFonts w:ascii="Palatino Linotype" w:hAnsi="Palatino Linotype" w:eastAsia="Times New Roman" w:cs="Times New Roman"/>
          <w:kern w:val="0"/>
          <w14:ligatures w14:val="none"/>
        </w:rPr>
        <w:t xml:space="preserve"> totaling </w:t>
      </w:r>
      <w:r w:rsidRPr="00910599" w:rsidR="0056010E">
        <w:rPr>
          <w:rFonts w:ascii="Palatino Linotype" w:hAnsi="Palatino Linotype" w:eastAsia="Times New Roman" w:cs="Times New Roman"/>
          <w:color w:val="000000" w:themeColor="text1"/>
          <w:kern w:val="0"/>
          <w14:ligatures w14:val="none"/>
        </w:rPr>
        <w:t>$</w:t>
      </w:r>
      <w:r w:rsidRPr="001638DC" w:rsidR="00F70938">
        <w:rPr>
          <w:rFonts w:ascii="Palatino Linotype" w:hAnsi="Palatino Linotype" w:eastAsia="Times New Roman" w:cs="Times New Roman"/>
          <w:color w:val="000000" w:themeColor="text1"/>
          <w:kern w:val="0"/>
          <w14:ligatures w14:val="none"/>
        </w:rPr>
        <w:t>74,690,100</w:t>
      </w:r>
      <w:r w:rsidRPr="001638DC">
        <w:rPr>
          <w:rFonts w:ascii="Palatino Linotype" w:hAnsi="Palatino Linotype" w:eastAsia="Times New Roman" w:cs="Times New Roman"/>
          <w:color w:val="000000" w:themeColor="text1"/>
          <w:kern w:val="0"/>
          <w14:ligatures w14:val="none"/>
        </w:rPr>
        <w:t>.</w:t>
      </w:r>
      <w:r w:rsidRPr="001638DC">
        <w:rPr>
          <w:rStyle w:val="FootnoteReference"/>
          <w:rFonts w:ascii="Palatino Linotype" w:hAnsi="Palatino Linotype" w:eastAsia="Times New Roman" w:cs="Times New Roman"/>
          <w:color w:val="000000" w:themeColor="text1"/>
          <w:kern w:val="0"/>
          <w14:ligatures w14:val="none"/>
        </w:rPr>
        <w:footnoteReference w:id="2"/>
      </w:r>
      <w:r w:rsidRPr="004B43F2">
        <w:rPr>
          <w:rFonts w:ascii="Palatino Linotype" w:hAnsi="Palatino Linotype" w:eastAsia="Palatino Linotype" w:cs="Times New Roman"/>
          <w:color w:val="000000" w:themeColor="text1"/>
          <w:kern w:val="0"/>
          <w14:ligatures w14:val="none"/>
        </w:rPr>
        <w:t xml:space="preserve"> </w:t>
      </w:r>
      <w:r w:rsidRPr="007D1510">
        <w:rPr>
          <w:rFonts w:ascii="Palatino Linotype" w:hAnsi="Palatino Linotype" w:eastAsia="Palatino Linotype" w:cs="Times New Roman"/>
          <w:kern w:val="0"/>
          <w14:ligatures w14:val="none"/>
        </w:rPr>
        <w:t>Th</w:t>
      </w:r>
      <w:r>
        <w:rPr>
          <w:rFonts w:ascii="Palatino Linotype" w:hAnsi="Palatino Linotype" w:eastAsia="Palatino Linotype" w:cs="Times New Roman"/>
          <w:kern w:val="0"/>
          <w14:ligatures w14:val="none"/>
        </w:rPr>
        <w:t>ese budgets</w:t>
      </w:r>
      <w:r w:rsidRPr="007D1510">
        <w:rPr>
          <w:rFonts w:ascii="Palatino Linotype" w:hAnsi="Palatino Linotype" w:eastAsia="Palatino Linotype" w:cs="Times New Roman"/>
          <w:kern w:val="0"/>
          <w14:ligatures w14:val="none"/>
        </w:rPr>
        <w:t xml:space="preserve"> include </w:t>
      </w:r>
      <w:r>
        <w:rPr>
          <w:rFonts w:ascii="Palatino Linotype" w:hAnsi="Palatino Linotype" w:eastAsia="Palatino Linotype" w:cs="Times New Roman"/>
          <w:kern w:val="0"/>
          <w14:ligatures w14:val="none"/>
        </w:rPr>
        <w:t>proposed administrative budgets of 10% for total administrative costs</w:t>
      </w:r>
      <w:r w:rsidR="00F55A6C">
        <w:rPr>
          <w:rFonts w:ascii="Palatino Linotype" w:hAnsi="Palatino Linotype" w:eastAsia="Palatino Linotype" w:cs="Times New Roman"/>
          <w:kern w:val="0"/>
          <w14:ligatures w14:val="none"/>
        </w:rPr>
        <w:t xml:space="preserve">, amounting to </w:t>
      </w:r>
      <w:r w:rsidRPr="00E74C48" w:rsidR="00E74C48">
        <w:rPr>
          <w:rFonts w:ascii="Palatino Linotype" w:hAnsi="Palatino Linotype" w:eastAsia="Palatino Linotype" w:cs="Times New Roman"/>
          <w:kern w:val="0"/>
          <w14:ligatures w14:val="none"/>
        </w:rPr>
        <w:t>$1,785,300</w:t>
      </w:r>
      <w:r>
        <w:rPr>
          <w:rFonts w:ascii="Palatino Linotype" w:hAnsi="Palatino Linotype" w:eastAsia="Palatino Linotype" w:cs="Times New Roman"/>
          <w:kern w:val="0"/>
          <w14:ligatures w14:val="none"/>
        </w:rPr>
        <w:t xml:space="preserve"> for 2024</w:t>
      </w:r>
      <w:r w:rsidR="00F55A6C">
        <w:rPr>
          <w:rFonts w:ascii="Palatino Linotype" w:hAnsi="Palatino Linotype" w:eastAsia="Palatino Linotype" w:cs="Times New Roman"/>
          <w:kern w:val="0"/>
          <w14:ligatures w14:val="none"/>
        </w:rPr>
        <w:t>;</w:t>
      </w:r>
      <w:r w:rsidR="00E75A0F">
        <w:rPr>
          <w:rFonts w:ascii="Palatino Linotype" w:hAnsi="Palatino Linotype" w:eastAsia="Palatino Linotype" w:cs="Times New Roman"/>
          <w:kern w:val="0"/>
          <w14:ligatures w14:val="none"/>
        </w:rPr>
        <w:t xml:space="preserve"> </w:t>
      </w:r>
      <w:r w:rsidRPr="00E75A0F" w:rsidR="00E75A0F">
        <w:rPr>
          <w:rFonts w:ascii="Palatino Linotype" w:hAnsi="Palatino Linotype" w:eastAsia="Palatino Linotype" w:cs="Times New Roman"/>
          <w:kern w:val="0"/>
          <w14:ligatures w14:val="none"/>
        </w:rPr>
        <w:t>$1,838,900</w:t>
      </w:r>
      <w:r w:rsidR="00910599">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for </w:t>
      </w:r>
      <w:r w:rsidRPr="009C750F">
        <w:rPr>
          <w:rFonts w:ascii="Palatino Linotype" w:hAnsi="Palatino Linotype" w:eastAsia="Palatino Linotype" w:cs="Times New Roman"/>
          <w:color w:val="000000" w:themeColor="text1"/>
          <w:kern w:val="0"/>
          <w14:ligatures w14:val="none"/>
        </w:rPr>
        <w:t>2025</w:t>
      </w:r>
      <w:r w:rsidRPr="009C750F" w:rsidR="00F55A6C">
        <w:rPr>
          <w:rFonts w:ascii="Palatino Linotype" w:hAnsi="Palatino Linotype" w:eastAsia="Palatino Linotype" w:cs="Times New Roman"/>
          <w:color w:val="000000" w:themeColor="text1"/>
          <w:kern w:val="0"/>
          <w14:ligatures w14:val="none"/>
        </w:rPr>
        <w:t>;</w:t>
      </w:r>
      <w:r w:rsidRPr="009C750F" w:rsidR="00E75A0F">
        <w:rPr>
          <w:rFonts w:ascii="Palatino Linotype" w:hAnsi="Palatino Linotype" w:eastAsia="Palatino Linotype" w:cs="Times New Roman"/>
          <w:color w:val="000000" w:themeColor="text1"/>
          <w:kern w:val="0"/>
          <w14:ligatures w14:val="none"/>
        </w:rPr>
        <w:t xml:space="preserve"> </w:t>
      </w:r>
      <w:r w:rsidRPr="009C750F" w:rsidR="00E41C6E">
        <w:rPr>
          <w:rFonts w:ascii="Palatino Linotype" w:hAnsi="Palatino Linotype" w:eastAsia="Palatino Linotype" w:cs="Times New Roman"/>
          <w:color w:val="000000" w:themeColor="text1"/>
          <w:kern w:val="0"/>
          <w14:ligatures w14:val="none"/>
        </w:rPr>
        <w:t>$1,894,000</w:t>
      </w:r>
      <w:r w:rsidRPr="009C750F" w:rsidR="00E75A0F">
        <w:rPr>
          <w:rFonts w:ascii="Palatino Linotype" w:hAnsi="Palatino Linotype" w:eastAsia="Palatino Linotype" w:cs="Times New Roman"/>
          <w:color w:val="000000" w:themeColor="text1"/>
          <w:kern w:val="0"/>
          <w14:ligatures w14:val="none"/>
        </w:rPr>
        <w:t xml:space="preserve"> for 2026</w:t>
      </w:r>
      <w:r w:rsidRPr="009C750F" w:rsidR="00F55A6C">
        <w:rPr>
          <w:rFonts w:ascii="Palatino Linotype" w:hAnsi="Palatino Linotype" w:eastAsia="Palatino Linotype" w:cs="Times New Roman"/>
          <w:color w:val="000000" w:themeColor="text1"/>
          <w:kern w:val="0"/>
          <w14:ligatures w14:val="none"/>
        </w:rPr>
        <w:t>;</w:t>
      </w:r>
      <w:r w:rsidRPr="009C750F" w:rsidR="00E75A0F">
        <w:rPr>
          <w:rFonts w:ascii="Palatino Linotype" w:hAnsi="Palatino Linotype" w:eastAsia="Palatino Linotype" w:cs="Times New Roman"/>
          <w:color w:val="000000" w:themeColor="text1"/>
          <w:kern w:val="0"/>
          <w14:ligatures w14:val="none"/>
        </w:rPr>
        <w:t xml:space="preserve"> and </w:t>
      </w:r>
      <w:r w:rsidRPr="009C750F" w:rsidR="007D49B3">
        <w:rPr>
          <w:rFonts w:ascii="Palatino Linotype" w:hAnsi="Palatino Linotype" w:eastAsia="Palatino Linotype" w:cs="Times New Roman"/>
          <w:color w:val="000000" w:themeColor="text1"/>
          <w:kern w:val="0"/>
          <w14:ligatures w14:val="none"/>
        </w:rPr>
        <w:t>$1,950,800</w:t>
      </w:r>
      <w:r w:rsidRPr="009C750F" w:rsidR="00E75A0F">
        <w:rPr>
          <w:rFonts w:ascii="Palatino Linotype" w:hAnsi="Palatino Linotype" w:eastAsia="Palatino Linotype" w:cs="Times New Roman"/>
          <w:color w:val="000000" w:themeColor="text1"/>
          <w:kern w:val="0"/>
          <w14:ligatures w14:val="none"/>
        </w:rPr>
        <w:t xml:space="preserve"> for 2027</w:t>
      </w:r>
      <w:r w:rsidRPr="009C750F">
        <w:rPr>
          <w:rFonts w:ascii="Palatino Linotype" w:hAnsi="Palatino Linotype" w:eastAsia="Palatino Linotype" w:cs="Times New Roman"/>
          <w:color w:val="000000" w:themeColor="text1"/>
          <w:kern w:val="0"/>
          <w14:ligatures w14:val="none"/>
        </w:rPr>
        <w:t xml:space="preserve">. </w:t>
      </w:r>
      <w:r w:rsidRPr="009C750F">
        <w:rPr>
          <w:rFonts w:ascii="Palatino Linotype" w:hAnsi="Palatino Linotype" w:eastAsia="Times New Roman" w:cs="Times New Roman"/>
          <w:color w:val="000000" w:themeColor="text1"/>
          <w:kern w:val="0"/>
          <w14:ligatures w14:val="none"/>
        </w:rPr>
        <w:t xml:space="preserve">The Commission directs </w:t>
      </w:r>
      <w:r w:rsidRPr="009C750F" w:rsidR="00560EBB">
        <w:rPr>
          <w:rFonts w:ascii="Palatino Linotype" w:hAnsi="Palatino Linotype"/>
          <w:color w:val="000000" w:themeColor="text1"/>
        </w:rPr>
        <w:t>SoCalGas</w:t>
      </w:r>
      <w:r w:rsidRPr="009C750F">
        <w:rPr>
          <w:rFonts w:ascii="Palatino Linotype" w:hAnsi="Palatino Linotype" w:eastAsia="Times New Roman" w:cs="Times New Roman"/>
          <w:color w:val="000000" w:themeColor="text1"/>
          <w:kern w:val="0"/>
          <w14:ligatures w14:val="none"/>
        </w:rPr>
        <w:t xml:space="preserve"> to submit revised Gas RD&amp;D Investment Plans via Tier 2 Advice Letters </w:t>
      </w:r>
      <w:r w:rsidRPr="009C750F" w:rsidR="003D4375">
        <w:rPr>
          <w:rFonts w:ascii="Palatino Linotype" w:hAnsi="Palatino Linotype" w:eastAsia="Times New Roman" w:cs="Times New Roman"/>
          <w:color w:val="000000" w:themeColor="text1"/>
          <w:kern w:val="0"/>
          <w14:ligatures w14:val="none"/>
        </w:rPr>
        <w:t xml:space="preserve">within 60 days </w:t>
      </w:r>
      <w:r w:rsidRPr="001638DC">
        <w:rPr>
          <w:rFonts w:ascii="Palatino Linotype" w:hAnsi="Palatino Linotype" w:eastAsia="Times New Roman" w:cs="Times New Roman"/>
          <w:color w:val="000000" w:themeColor="text1"/>
          <w:kern w:val="0"/>
          <w14:ligatures w14:val="none"/>
        </w:rPr>
        <w:t>with modifications described in this Resolution.</w:t>
      </w:r>
    </w:p>
    <w:p w:rsidR="001721D3" w:rsidP="00F97978" w:rsidRDefault="005E44C8" w14:paraId="5BAE927D" w14:textId="578CEBA5">
      <w:pPr>
        <w:spacing w:after="0" w:line="276" w:lineRule="auto"/>
        <w:rPr>
          <w:rFonts w:ascii="Palatino Linotype" w:hAnsi="Palatino Linotype" w:eastAsia="Palatino Linotype" w:cs="Times New Roman"/>
          <w:color w:val="000000" w:themeColor="text1"/>
          <w:kern w:val="0"/>
          <w14:ligatures w14:val="none"/>
        </w:rPr>
      </w:pPr>
      <w:r w:rsidRPr="005E44C8">
        <w:rPr>
          <w:rFonts w:ascii="Palatino Linotype" w:hAnsi="Palatino Linotype" w:eastAsia="Palatino Linotype" w:cs="Times New Roman"/>
          <w:color w:val="000000" w:themeColor="text1"/>
          <w:kern w:val="0"/>
          <w14:ligatures w14:val="none"/>
        </w:rPr>
        <w:t xml:space="preserve">This Resolution provides a consolidated list of program requirements based on prior decisions and resolutions as well as establishes new requirements for improved Commission oversight. The list of consolidated program requirements is intended to aid the efficient development and streamlined review of future proposed Gas RD&amp;D Plans. This Resolution </w:t>
      </w:r>
      <w:r w:rsidR="00410B0E">
        <w:rPr>
          <w:rFonts w:ascii="Palatino Linotype" w:hAnsi="Palatino Linotype" w:eastAsia="Palatino Linotype" w:cs="Times New Roman"/>
          <w:color w:val="000000" w:themeColor="text1"/>
          <w:kern w:val="0"/>
          <w14:ligatures w14:val="none"/>
        </w:rPr>
        <w:t xml:space="preserve">establishes an </w:t>
      </w:r>
      <w:r w:rsidR="00092108">
        <w:rPr>
          <w:rFonts w:ascii="Palatino Linotype" w:hAnsi="Palatino Linotype" w:eastAsia="Palatino Linotype" w:cs="Times New Roman"/>
          <w:color w:val="000000" w:themeColor="text1"/>
          <w:kern w:val="0"/>
          <w14:ligatures w14:val="none"/>
        </w:rPr>
        <w:t xml:space="preserve">Annual Report deadline </w:t>
      </w:r>
      <w:proofErr w:type="gramStart"/>
      <w:r w:rsidR="00092108">
        <w:rPr>
          <w:rFonts w:ascii="Palatino Linotype" w:hAnsi="Palatino Linotype" w:eastAsia="Palatino Linotype" w:cs="Times New Roman"/>
          <w:color w:val="000000" w:themeColor="text1"/>
          <w:kern w:val="0"/>
          <w14:ligatures w14:val="none"/>
        </w:rPr>
        <w:t>of</w:t>
      </w:r>
      <w:proofErr w:type="gramEnd"/>
      <w:r w:rsidR="00092108">
        <w:rPr>
          <w:rFonts w:ascii="Palatino Linotype" w:hAnsi="Palatino Linotype" w:eastAsia="Palatino Linotype" w:cs="Times New Roman"/>
          <w:color w:val="000000" w:themeColor="text1"/>
          <w:kern w:val="0"/>
          <w14:ligatures w14:val="none"/>
        </w:rPr>
        <w:t xml:space="preserve"> March 1</w:t>
      </w:r>
      <w:r w:rsidR="001721D3">
        <w:rPr>
          <w:rFonts w:ascii="Palatino Linotype" w:hAnsi="Palatino Linotype" w:eastAsia="Palatino Linotype" w:cs="Times New Roman"/>
          <w:color w:val="000000" w:themeColor="text1"/>
          <w:kern w:val="0"/>
          <w14:ligatures w14:val="none"/>
        </w:rPr>
        <w:t xml:space="preserve"> </w:t>
      </w:r>
      <w:r w:rsidRPr="005E44C8">
        <w:rPr>
          <w:rFonts w:ascii="Palatino Linotype" w:hAnsi="Palatino Linotype" w:eastAsia="Palatino Linotype" w:cs="Times New Roman"/>
          <w:color w:val="000000" w:themeColor="text1"/>
          <w:kern w:val="0"/>
          <w14:ligatures w14:val="none"/>
        </w:rPr>
        <w:t>of each year</w:t>
      </w:r>
      <w:r w:rsidR="00186B5C">
        <w:rPr>
          <w:rFonts w:ascii="Palatino Linotype" w:hAnsi="Palatino Linotype" w:eastAsia="Palatino Linotype" w:cs="Times New Roman"/>
          <w:color w:val="000000" w:themeColor="text1"/>
          <w:kern w:val="0"/>
          <w14:ligatures w14:val="none"/>
        </w:rPr>
        <w:t>.</w:t>
      </w:r>
      <w:r w:rsidRPr="001721D3" w:rsidR="007E1950">
        <w:rPr>
          <w:rStyle w:val="FootnoteReference"/>
          <w:rFonts w:ascii="Palatino Linotype" w:hAnsi="Palatino Linotype" w:eastAsia="Palatino Linotype" w:cs="Times New Roman"/>
          <w:color w:val="000000" w:themeColor="text1"/>
          <w:kern w:val="0"/>
          <w14:ligatures w14:val="none"/>
        </w:rPr>
        <w:footnoteReference w:id="3"/>
      </w:r>
    </w:p>
    <w:p w:rsidRPr="001721D3" w:rsidR="001721D3" w:rsidP="00F97978" w:rsidRDefault="001721D3" w14:paraId="2FBABDAC" w14:textId="77777777">
      <w:pPr>
        <w:spacing w:after="0" w:line="276" w:lineRule="auto"/>
        <w:rPr>
          <w:rFonts w:ascii="Palatino Linotype" w:hAnsi="Palatino Linotype" w:eastAsia="Palatino Linotype" w:cs="Times New Roman"/>
          <w:color w:val="000000" w:themeColor="text1"/>
          <w:kern w:val="0"/>
          <w14:ligatures w14:val="none"/>
        </w:rPr>
      </w:pPr>
    </w:p>
    <w:p w:rsidRPr="001942D0" w:rsidR="00A76F4A" w:rsidP="00F97978" w:rsidRDefault="00A76F4A" w14:paraId="3CCFFB44" w14:textId="77777777">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Pr="00D90BB4" w:rsidR="00895CB9" w:rsidP="00F97978" w:rsidRDefault="002F1121" w14:paraId="1491E8DB" w14:textId="7182F3EF">
      <w:pPr>
        <w:keepNext/>
        <w:spacing w:after="0" w:line="276" w:lineRule="auto"/>
        <w:rPr>
          <w:rFonts w:ascii="Palatino Linotype" w:hAnsi="Palatino Linotype"/>
          <w:color w:val="000000" w:themeColor="text1"/>
          <w:szCs w:val="16"/>
        </w:rPr>
      </w:pPr>
      <w:r w:rsidRPr="008B7257">
        <w:rPr>
          <w:rFonts w:ascii="Palatino Linotype" w:hAnsi="Palatino Linotype" w:eastAsia="Palatino Linotype" w:cs="Times New Roman"/>
          <w:color w:val="000000" w:themeColor="text1"/>
          <w:kern w:val="0"/>
          <w14:ligatures w14:val="none"/>
        </w:rPr>
        <w:t xml:space="preserve">Commission requirements for developing, reviewing, and approving </w:t>
      </w:r>
      <w:r>
        <w:rPr>
          <w:rFonts w:ascii="Palatino Linotype" w:hAnsi="Palatino Linotype"/>
          <w:color w:val="000000" w:themeColor="text1"/>
        </w:rPr>
        <w:t>SoCalGas</w:t>
      </w:r>
      <w:r>
        <w:rPr>
          <w:rFonts w:ascii="Palatino Linotype" w:hAnsi="Palatino Linotype" w:eastAsia="Palatino Linotype" w:cs="Times New Roman"/>
          <w:color w:val="000000" w:themeColor="text1"/>
          <w:kern w:val="0"/>
          <w14:ligatures w14:val="none"/>
        </w:rPr>
        <w:t>’</w:t>
      </w:r>
      <w:r w:rsidRPr="008B7257">
        <w:rPr>
          <w:rFonts w:ascii="Palatino Linotype" w:hAnsi="Palatino Linotype" w:eastAsia="Palatino Linotype" w:cs="Times New Roman"/>
          <w:color w:val="000000" w:themeColor="text1"/>
          <w:kern w:val="0"/>
          <w14:ligatures w14:val="none"/>
        </w:rPr>
        <w:t xml:space="preserve"> Annual Gas RD&amp;D Investment Plans </w:t>
      </w:r>
      <w:r>
        <w:rPr>
          <w:rFonts w:ascii="Palatino Linotype" w:hAnsi="Palatino Linotype" w:eastAsia="Palatino Linotype" w:cs="Times New Roman"/>
          <w:color w:val="000000" w:themeColor="text1"/>
          <w:kern w:val="0"/>
          <w14:ligatures w14:val="none"/>
        </w:rPr>
        <w:t xml:space="preserve">are detailed in </w:t>
      </w:r>
      <w:r w:rsidRPr="008B7257" w:rsidR="00895CB9">
        <w:rPr>
          <w:rFonts w:ascii="Palatino Linotype" w:hAnsi="Palatino Linotype" w:eastAsia="Palatino Linotype" w:cs="Times New Roman"/>
          <w:color w:val="000000" w:themeColor="text1"/>
          <w:kern w:val="0"/>
          <w14:ligatures w14:val="none"/>
        </w:rPr>
        <w:t>Public Utilities Code Section 740.1</w:t>
      </w:r>
      <w:r w:rsidR="00404FEF">
        <w:rPr>
          <w:rFonts w:ascii="Palatino Linotype" w:hAnsi="Palatino Linotype" w:eastAsia="Palatino Linotype" w:cs="Times New Roman"/>
          <w:color w:val="000000" w:themeColor="text1"/>
          <w:kern w:val="0"/>
          <w14:ligatures w14:val="none"/>
        </w:rPr>
        <w:t>;</w:t>
      </w:r>
      <w:r w:rsidR="009076D8">
        <w:rPr>
          <w:rFonts w:ascii="Palatino Linotype" w:hAnsi="Palatino Linotype" w:eastAsia="Palatino Linotype" w:cs="Times New Roman"/>
          <w:color w:val="000000" w:themeColor="text1"/>
          <w:kern w:val="0"/>
          <w14:ligatures w14:val="none"/>
        </w:rPr>
        <w:t xml:space="preserve"> </w:t>
      </w:r>
      <w:r w:rsidR="009D7CEC">
        <w:rPr>
          <w:rFonts w:ascii="Palatino Linotype" w:hAnsi="Palatino Linotype" w:eastAsia="Palatino Linotype" w:cs="Times New Roman"/>
          <w:color w:val="000000" w:themeColor="text1"/>
          <w:kern w:val="0"/>
          <w14:ligatures w14:val="none"/>
        </w:rPr>
        <w:br/>
      </w:r>
      <w:r w:rsidR="009076D8">
        <w:rPr>
          <w:rFonts w:ascii="Palatino Linotype" w:hAnsi="Palatino Linotype" w:eastAsia="Palatino Linotype" w:cs="Times New Roman"/>
          <w:color w:val="000000" w:themeColor="text1"/>
          <w:kern w:val="0"/>
          <w14:ligatures w14:val="none"/>
        </w:rPr>
        <w:t xml:space="preserve">D.19-09-051 establishing </w:t>
      </w:r>
      <w:r w:rsidR="00560EBB">
        <w:rPr>
          <w:rFonts w:ascii="Palatino Linotype" w:hAnsi="Palatino Linotype"/>
          <w:color w:val="000000" w:themeColor="text1"/>
        </w:rPr>
        <w:t>SoCalGas</w:t>
      </w:r>
      <w:r w:rsidR="009076D8">
        <w:rPr>
          <w:rFonts w:ascii="Palatino Linotype" w:hAnsi="Palatino Linotype" w:eastAsia="Palatino Linotype" w:cs="Times New Roman"/>
          <w:color w:val="000000" w:themeColor="text1"/>
          <w:kern w:val="0"/>
          <w14:ligatures w14:val="none"/>
        </w:rPr>
        <w:t>’ Gas RD&amp;D Program</w:t>
      </w:r>
      <w:r w:rsidR="00616765">
        <w:rPr>
          <w:rFonts w:ascii="Palatino Linotype" w:hAnsi="Palatino Linotype" w:eastAsia="Palatino Linotype" w:cs="Times New Roman"/>
          <w:color w:val="000000" w:themeColor="text1"/>
          <w:kern w:val="0"/>
          <w14:ligatures w14:val="none"/>
        </w:rPr>
        <w:t xml:space="preserve"> and adopting </w:t>
      </w:r>
      <w:r w:rsidR="00560EBB">
        <w:rPr>
          <w:rFonts w:ascii="Palatino Linotype" w:hAnsi="Palatino Linotype"/>
          <w:color w:val="000000" w:themeColor="text1"/>
        </w:rPr>
        <w:t>SoCalGas</w:t>
      </w:r>
      <w:r w:rsidR="00616765">
        <w:rPr>
          <w:rFonts w:ascii="Palatino Linotype" w:hAnsi="Palatino Linotype" w:eastAsia="Palatino Linotype" w:cs="Times New Roman"/>
          <w:color w:val="000000" w:themeColor="text1"/>
          <w:kern w:val="0"/>
          <w14:ligatures w14:val="none"/>
        </w:rPr>
        <w:t xml:space="preserve">’ </w:t>
      </w:r>
      <w:r w:rsidRPr="008B7257" w:rsidR="00A46930">
        <w:rPr>
          <w:rFonts w:ascii="Palatino Linotype" w:hAnsi="Palatino Linotype"/>
          <w:color w:val="000000" w:themeColor="text1"/>
          <w:szCs w:val="16"/>
        </w:rPr>
        <w:t xml:space="preserve">Test Year </w:t>
      </w:r>
      <w:r w:rsidR="00A46930">
        <w:rPr>
          <w:rFonts w:ascii="Palatino Linotype" w:hAnsi="Palatino Linotype"/>
          <w:color w:val="000000" w:themeColor="text1"/>
          <w:szCs w:val="16"/>
        </w:rPr>
        <w:t>(TY) 2019 GRC</w:t>
      </w:r>
      <w:r w:rsidR="00404FEF">
        <w:rPr>
          <w:rFonts w:ascii="Palatino Linotype" w:hAnsi="Palatino Linotype" w:eastAsia="Palatino Linotype" w:cs="Times New Roman"/>
          <w:color w:val="000000" w:themeColor="text1"/>
          <w:kern w:val="0"/>
          <w14:ligatures w14:val="none"/>
        </w:rPr>
        <w:t>;</w:t>
      </w:r>
      <w:r w:rsidR="009076D8">
        <w:rPr>
          <w:rFonts w:ascii="Palatino Linotype" w:hAnsi="Palatino Linotype" w:eastAsia="Palatino Linotype" w:cs="Times New Roman"/>
          <w:color w:val="000000" w:themeColor="text1"/>
          <w:kern w:val="0"/>
          <w14:ligatures w14:val="none"/>
        </w:rPr>
        <w:t xml:space="preserve"> </w:t>
      </w:r>
      <w:r w:rsidRPr="008B7257" w:rsidR="00895CB9">
        <w:rPr>
          <w:rFonts w:ascii="Palatino Linotype" w:hAnsi="Palatino Linotype" w:eastAsia="Palatino Linotype" w:cs="Times New Roman"/>
          <w:color w:val="000000" w:themeColor="text1"/>
          <w:kern w:val="0"/>
          <w14:ligatures w14:val="none"/>
        </w:rPr>
        <w:t>D.2</w:t>
      </w:r>
      <w:r w:rsidR="00895CB9">
        <w:rPr>
          <w:rFonts w:ascii="Palatino Linotype" w:hAnsi="Palatino Linotype" w:eastAsia="Palatino Linotype" w:cs="Times New Roman"/>
          <w:color w:val="000000" w:themeColor="text1"/>
          <w:kern w:val="0"/>
          <w14:ligatures w14:val="none"/>
        </w:rPr>
        <w:t>4-12-074</w:t>
      </w:r>
      <w:r w:rsidRPr="008B7257" w:rsidR="00895CB9">
        <w:rPr>
          <w:rFonts w:ascii="Palatino Linotype" w:hAnsi="Palatino Linotype" w:eastAsia="Palatino Linotype" w:cs="Times New Roman"/>
          <w:color w:val="000000" w:themeColor="text1"/>
          <w:kern w:val="0"/>
          <w14:ligatures w14:val="none"/>
        </w:rPr>
        <w:t xml:space="preserve"> </w:t>
      </w:r>
      <w:r w:rsidRPr="008B7257" w:rsidR="00895CB9">
        <w:rPr>
          <w:rFonts w:ascii="Palatino Linotype" w:hAnsi="Palatino Linotype"/>
          <w:color w:val="000000" w:themeColor="text1"/>
          <w:szCs w:val="16"/>
        </w:rPr>
        <w:t xml:space="preserve">adopting </w:t>
      </w:r>
      <w:r w:rsidR="00560EBB">
        <w:rPr>
          <w:rFonts w:ascii="Palatino Linotype" w:hAnsi="Palatino Linotype"/>
          <w:color w:val="000000" w:themeColor="text1"/>
        </w:rPr>
        <w:t>SoCalGas</w:t>
      </w:r>
      <w:r w:rsidR="00895CB9">
        <w:rPr>
          <w:rFonts w:ascii="Palatino Linotype" w:hAnsi="Palatino Linotype"/>
          <w:color w:val="000000" w:themeColor="text1"/>
          <w:szCs w:val="16"/>
        </w:rPr>
        <w:t>’</w:t>
      </w:r>
      <w:r w:rsidRPr="008B7257" w:rsidR="00895CB9">
        <w:rPr>
          <w:rFonts w:ascii="Palatino Linotype" w:hAnsi="Palatino Linotype"/>
          <w:color w:val="000000" w:themeColor="text1"/>
          <w:szCs w:val="16"/>
        </w:rPr>
        <w:t xml:space="preserve"> </w:t>
      </w:r>
      <w:r w:rsidR="00A46930">
        <w:rPr>
          <w:rFonts w:ascii="Palatino Linotype" w:hAnsi="Palatino Linotype"/>
          <w:color w:val="000000" w:themeColor="text1"/>
          <w:szCs w:val="16"/>
        </w:rPr>
        <w:t xml:space="preserve">TY </w:t>
      </w:r>
      <w:r w:rsidRPr="008B7257" w:rsidR="00895CB9">
        <w:rPr>
          <w:rFonts w:ascii="Palatino Linotype" w:hAnsi="Palatino Linotype"/>
          <w:color w:val="000000" w:themeColor="text1"/>
          <w:szCs w:val="16"/>
        </w:rPr>
        <w:t>202</w:t>
      </w:r>
      <w:r w:rsidR="00895CB9">
        <w:rPr>
          <w:rFonts w:ascii="Palatino Linotype" w:hAnsi="Palatino Linotype"/>
          <w:color w:val="000000" w:themeColor="text1"/>
          <w:szCs w:val="16"/>
        </w:rPr>
        <w:t>4</w:t>
      </w:r>
      <w:r w:rsidRPr="008B7257" w:rsidR="00895CB9">
        <w:rPr>
          <w:rFonts w:ascii="Palatino Linotype" w:hAnsi="Palatino Linotype"/>
          <w:color w:val="000000" w:themeColor="text1"/>
          <w:szCs w:val="16"/>
        </w:rPr>
        <w:t xml:space="preserve"> </w:t>
      </w:r>
      <w:r w:rsidR="00A46930">
        <w:rPr>
          <w:rFonts w:ascii="Palatino Linotype" w:hAnsi="Palatino Linotype"/>
          <w:color w:val="000000" w:themeColor="text1"/>
          <w:szCs w:val="16"/>
        </w:rPr>
        <w:t>GRC</w:t>
      </w:r>
      <w:r w:rsidR="00404FEF">
        <w:rPr>
          <w:rFonts w:ascii="Palatino Linotype" w:hAnsi="Palatino Linotype"/>
          <w:color w:val="000000" w:themeColor="text1"/>
          <w:szCs w:val="16"/>
        </w:rPr>
        <w:t>;</w:t>
      </w:r>
      <w:r w:rsidR="00A46930">
        <w:rPr>
          <w:rFonts w:ascii="Palatino Linotype" w:hAnsi="Palatino Linotype"/>
          <w:color w:val="000000" w:themeColor="text1"/>
          <w:szCs w:val="16"/>
        </w:rPr>
        <w:t xml:space="preserve"> Resolution</w:t>
      </w:r>
      <w:r w:rsidR="004A1FD6">
        <w:rPr>
          <w:rFonts w:ascii="Palatino Linotype" w:hAnsi="Palatino Linotype"/>
          <w:color w:val="000000" w:themeColor="text1"/>
          <w:szCs w:val="16"/>
        </w:rPr>
        <w:t xml:space="preserve"> G-3573 </w:t>
      </w:r>
      <w:r w:rsidR="004A1FD6">
        <w:rPr>
          <w:rFonts w:ascii="Palatino Linotype" w:hAnsi="Palatino Linotype"/>
          <w:color w:val="000000" w:themeColor="text1"/>
          <w:szCs w:val="16"/>
        </w:rPr>
        <w:lastRenderedPageBreak/>
        <w:t xml:space="preserve">approving </w:t>
      </w:r>
      <w:r w:rsidR="00560EBB">
        <w:rPr>
          <w:rFonts w:ascii="Palatino Linotype" w:hAnsi="Palatino Linotype"/>
          <w:color w:val="000000" w:themeColor="text1"/>
        </w:rPr>
        <w:t>SoCalGas</w:t>
      </w:r>
      <w:r w:rsidR="004A1FD6">
        <w:rPr>
          <w:rFonts w:ascii="Palatino Linotype" w:hAnsi="Palatino Linotype"/>
          <w:color w:val="000000" w:themeColor="text1"/>
          <w:szCs w:val="16"/>
        </w:rPr>
        <w:t>’ 2021 Gas RD&amp;D Plan</w:t>
      </w:r>
      <w:r w:rsidR="00404FEF">
        <w:rPr>
          <w:rFonts w:ascii="Palatino Linotype" w:hAnsi="Palatino Linotype"/>
          <w:color w:val="000000" w:themeColor="text1"/>
          <w:szCs w:val="16"/>
        </w:rPr>
        <w:t>;</w:t>
      </w:r>
      <w:r w:rsidR="004A1FD6">
        <w:rPr>
          <w:rFonts w:ascii="Palatino Linotype" w:hAnsi="Palatino Linotype"/>
          <w:color w:val="000000" w:themeColor="text1"/>
          <w:szCs w:val="16"/>
        </w:rPr>
        <w:t xml:space="preserve"> Resolution G</w:t>
      </w:r>
      <w:r w:rsidR="00D90BB4">
        <w:rPr>
          <w:rFonts w:ascii="Palatino Linotype" w:hAnsi="Palatino Linotype"/>
          <w:color w:val="000000" w:themeColor="text1"/>
          <w:szCs w:val="16"/>
        </w:rPr>
        <w:t>-3586 approving S</w:t>
      </w:r>
      <w:r w:rsidR="0091576A">
        <w:rPr>
          <w:rFonts w:ascii="Palatino Linotype" w:hAnsi="Palatino Linotype"/>
          <w:color w:val="000000" w:themeColor="text1"/>
          <w:szCs w:val="16"/>
        </w:rPr>
        <w:t>oCalGas</w:t>
      </w:r>
      <w:r w:rsidR="00D90BB4">
        <w:rPr>
          <w:rFonts w:ascii="Palatino Linotype" w:hAnsi="Palatino Linotype"/>
          <w:color w:val="000000" w:themeColor="text1"/>
          <w:szCs w:val="16"/>
        </w:rPr>
        <w:t>’ 2022 Gas RD&amp;D Plan</w:t>
      </w:r>
      <w:r w:rsidR="00404FEF">
        <w:rPr>
          <w:rFonts w:ascii="Palatino Linotype" w:hAnsi="Palatino Linotype"/>
          <w:color w:val="000000" w:themeColor="text1"/>
          <w:szCs w:val="16"/>
        </w:rPr>
        <w:t>;</w:t>
      </w:r>
      <w:r w:rsidR="00D90BB4">
        <w:rPr>
          <w:rFonts w:ascii="Palatino Linotype" w:hAnsi="Palatino Linotype"/>
          <w:color w:val="000000" w:themeColor="text1"/>
          <w:szCs w:val="16"/>
        </w:rPr>
        <w:t xml:space="preserve"> and Resolution G-3601 approving </w:t>
      </w:r>
      <w:r w:rsidR="00560EBB">
        <w:rPr>
          <w:rFonts w:ascii="Palatino Linotype" w:hAnsi="Palatino Linotype"/>
          <w:color w:val="000000" w:themeColor="text1"/>
        </w:rPr>
        <w:t>SoCalGas</w:t>
      </w:r>
      <w:r w:rsidR="00D90BB4">
        <w:rPr>
          <w:rFonts w:ascii="Palatino Linotype" w:hAnsi="Palatino Linotype"/>
          <w:color w:val="000000" w:themeColor="text1"/>
          <w:szCs w:val="16"/>
        </w:rPr>
        <w:t>’ 2023 Gas RD&amp;D Plan</w:t>
      </w:r>
      <w:r>
        <w:rPr>
          <w:rFonts w:ascii="Palatino Linotype" w:hAnsi="Palatino Linotype"/>
          <w:color w:val="000000" w:themeColor="text1"/>
          <w:szCs w:val="16"/>
        </w:rPr>
        <w:t>.</w:t>
      </w:r>
    </w:p>
    <w:p w:rsidR="00895CB9" w:rsidP="00F97978" w:rsidRDefault="00895CB9" w14:paraId="3C9ED56D" w14:textId="77777777">
      <w:pPr>
        <w:keepNext/>
        <w:spacing w:after="0" w:line="276" w:lineRule="auto"/>
        <w:rPr>
          <w:rFonts w:ascii="Palatino Linotype" w:hAnsi="Palatino Linotype" w:eastAsia="Palatino Linotype" w:cs="Times New Roman"/>
          <w:bCs/>
          <w:color w:val="000000" w:themeColor="text1"/>
          <w:kern w:val="0"/>
          <w14:ligatures w14:val="none"/>
        </w:rPr>
      </w:pPr>
    </w:p>
    <w:p w:rsidRPr="00325A59" w:rsidR="00895CB9" w:rsidP="00F97978" w:rsidRDefault="00895CB9" w14:paraId="346E9575" w14:textId="77777777">
      <w:pPr>
        <w:keepNext/>
        <w:spacing w:after="120" w:line="276" w:lineRule="auto"/>
        <w:rPr>
          <w:rFonts w:ascii="Palatino Linotype" w:hAnsi="Palatino Linotype" w:eastAsia="Palatino Linotype" w:cs="Times New Roman"/>
          <w:b/>
          <w:color w:val="000000" w:themeColor="text1"/>
          <w:kern w:val="0"/>
          <w14:ligatures w14:val="none"/>
        </w:rPr>
      </w:pPr>
      <w:r w:rsidRPr="00325A59">
        <w:rPr>
          <w:rFonts w:ascii="Palatino Linotype" w:hAnsi="Palatino Linotype" w:eastAsia="Palatino Linotype" w:cs="Times New Roman"/>
          <w:b/>
          <w:color w:val="000000" w:themeColor="text1"/>
          <w:kern w:val="0"/>
          <w14:ligatures w14:val="none"/>
        </w:rPr>
        <w:t>Public Utilities Code Section 740.1</w:t>
      </w:r>
    </w:p>
    <w:p w:rsidR="00895CB9" w:rsidP="00F97978" w:rsidRDefault="00895CB9" w14:paraId="116881B3" w14:textId="77777777">
      <w:pPr>
        <w:keepNext/>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bCs/>
          <w:color w:val="000000" w:themeColor="text1"/>
          <w:kern w:val="0"/>
          <w14:ligatures w14:val="none"/>
        </w:rPr>
        <w:t>Public Utilities Code Section 740.1</w:t>
      </w:r>
      <w:r>
        <w:rPr>
          <w:rStyle w:val="FootnoteReference"/>
          <w:rFonts w:ascii="Palatino Linotype" w:hAnsi="Palatino Linotype" w:eastAsia="Palatino Linotype" w:cs="Times New Roman"/>
          <w:bCs/>
          <w:color w:val="000000" w:themeColor="text1"/>
          <w:kern w:val="0"/>
          <w14:ligatures w14:val="none"/>
        </w:rPr>
        <w:footnoteReference w:id="4"/>
      </w:r>
      <w:r>
        <w:rPr>
          <w:rFonts w:ascii="Palatino Linotype" w:hAnsi="Palatino Linotype" w:eastAsia="Palatino Linotype" w:cs="Times New Roman"/>
          <w:bCs/>
          <w:color w:val="000000" w:themeColor="text1"/>
          <w:kern w:val="0"/>
          <w14:ligatures w14:val="none"/>
        </w:rPr>
        <w:t xml:space="preserve"> directs the Commission to consider the following guidelines in evaluating proposed Gas RD&amp;D investments: </w:t>
      </w:r>
    </w:p>
    <w:p w:rsidRPr="00036799" w:rsidR="00895CB9" w:rsidP="00477204" w:rsidRDefault="00895CB9" w14:paraId="71445B7C" w14:textId="4460575B">
      <w:pPr>
        <w:pStyle w:val="ListParagraph"/>
        <w:numPr>
          <w:ilvl w:val="0"/>
          <w:numId w:val="13"/>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Projects should offer a reasonable probability of providing benefits to ratepayers.</w:t>
      </w:r>
    </w:p>
    <w:p w:rsidRPr="00036799" w:rsidR="00895CB9" w:rsidP="00477204" w:rsidRDefault="00895CB9" w14:paraId="66768B5F" w14:textId="77777777">
      <w:pPr>
        <w:pStyle w:val="ListParagraph"/>
        <w:numPr>
          <w:ilvl w:val="0"/>
          <w:numId w:val="13"/>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 xml:space="preserve">Expenditures on projects which have a low probability </w:t>
      </w:r>
      <w:proofErr w:type="gramStart"/>
      <w:r w:rsidRPr="00036799">
        <w:rPr>
          <w:rFonts w:ascii="Palatino Linotype" w:hAnsi="Palatino Linotype" w:eastAsia="Palatino Linotype" w:cs="Times New Roman"/>
          <w:bCs/>
          <w:i/>
          <w:iCs/>
          <w:color w:val="000000" w:themeColor="text1"/>
          <w:kern w:val="0"/>
          <w14:ligatures w14:val="none"/>
        </w:rPr>
        <w:t>for</w:t>
      </w:r>
      <w:proofErr w:type="gramEnd"/>
      <w:r w:rsidRPr="00036799">
        <w:rPr>
          <w:rFonts w:ascii="Palatino Linotype" w:hAnsi="Palatino Linotype" w:eastAsia="Palatino Linotype" w:cs="Times New Roman"/>
          <w:bCs/>
          <w:i/>
          <w:iCs/>
          <w:color w:val="000000" w:themeColor="text1"/>
          <w:kern w:val="0"/>
          <w14:ligatures w14:val="none"/>
        </w:rPr>
        <w:t xml:space="preserve"> success should be minimized.</w:t>
      </w:r>
    </w:p>
    <w:p w:rsidRPr="006832B6" w:rsidR="00895CB9" w:rsidP="00477204" w:rsidRDefault="00895CB9" w14:paraId="6CCDA7EE" w14:textId="69306928">
      <w:pPr>
        <w:pStyle w:val="ListParagraph"/>
        <w:numPr>
          <w:ilvl w:val="0"/>
          <w:numId w:val="13"/>
        </w:numPr>
        <w:spacing w:after="0" w:line="276" w:lineRule="auto"/>
        <w:rPr>
          <w:rFonts w:ascii="Palatino Linotype" w:hAnsi="Palatino Linotype" w:eastAsia="Palatino Linotype" w:cs="Times New Roman"/>
          <w:bCs/>
          <w:i/>
          <w:iCs/>
          <w:color w:val="000000" w:themeColor="text1"/>
          <w:kern w:val="0"/>
          <w14:ligatures w14:val="none"/>
        </w:rPr>
      </w:pPr>
      <w:r w:rsidRPr="006832B6">
        <w:rPr>
          <w:rFonts w:ascii="Palatino Linotype" w:hAnsi="Palatino Linotype" w:eastAsia="Palatino Linotype" w:cs="Times New Roman"/>
          <w:bCs/>
          <w:i/>
          <w:iCs/>
          <w:color w:val="000000" w:themeColor="text1"/>
          <w:kern w:val="0"/>
          <w14:ligatures w14:val="none"/>
        </w:rPr>
        <w:t>Projects should be consistent with the corporation's resource plan.</w:t>
      </w:r>
    </w:p>
    <w:p w:rsidRPr="006832B6" w:rsidR="00895CB9" w:rsidP="00477204" w:rsidRDefault="00895CB9" w14:paraId="28B04F4C" w14:textId="77777777">
      <w:pPr>
        <w:pStyle w:val="ListParagraph"/>
        <w:numPr>
          <w:ilvl w:val="0"/>
          <w:numId w:val="13"/>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6832B6">
        <w:rPr>
          <w:rFonts w:ascii="Palatino Linotype" w:hAnsi="Palatino Linotype" w:eastAsia="Palatino Linotype" w:cs="Times New Roman"/>
          <w:bCs/>
          <w:i/>
          <w:iCs/>
          <w:color w:val="000000" w:themeColor="text1"/>
          <w:kern w:val="0"/>
          <w14:ligatures w14:val="none"/>
        </w:rPr>
        <w:t>Projects should not unnecessarily duplicate research currently, previously, or imminently undertaken by other electrical or gas corporations or research organizations.</w:t>
      </w:r>
      <w:r w:rsidRPr="006832B6">
        <w:rPr>
          <w:rStyle w:val="FootnoteReference"/>
          <w:rFonts w:ascii="Palatino Linotype" w:hAnsi="Palatino Linotype" w:eastAsia="Palatino Linotype" w:cs="Times New Roman"/>
          <w:bCs/>
          <w:i/>
          <w:iCs/>
          <w:color w:val="000000" w:themeColor="text1"/>
          <w:kern w:val="0"/>
          <w14:ligatures w14:val="none"/>
        </w:rPr>
        <w:footnoteReference w:id="5"/>
      </w:r>
    </w:p>
    <w:p w:rsidRPr="00036799" w:rsidR="00895CB9" w:rsidP="00477204" w:rsidRDefault="00895CB9" w14:paraId="0EDED793" w14:textId="77777777">
      <w:pPr>
        <w:pStyle w:val="ListParagraph"/>
        <w:numPr>
          <w:ilvl w:val="0"/>
          <w:numId w:val="13"/>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Each project should also support one or more of the following objectives:</w:t>
      </w:r>
    </w:p>
    <w:p w:rsidRPr="00036799" w:rsidR="00895CB9" w:rsidP="00477204" w:rsidRDefault="00895CB9" w14:paraId="1600E863" w14:textId="77777777">
      <w:pPr>
        <w:pStyle w:val="ListParagraph"/>
        <w:numPr>
          <w:ilvl w:val="0"/>
          <w:numId w:val="14"/>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Environmental improvement.</w:t>
      </w:r>
    </w:p>
    <w:p w:rsidRPr="00036799" w:rsidR="00895CB9" w:rsidP="00477204" w:rsidRDefault="00895CB9" w14:paraId="3BDFEA78" w14:textId="77777777">
      <w:pPr>
        <w:pStyle w:val="ListParagraph"/>
        <w:numPr>
          <w:ilvl w:val="0"/>
          <w:numId w:val="14"/>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Public and employee safety.</w:t>
      </w:r>
    </w:p>
    <w:p w:rsidRPr="00036799" w:rsidR="00895CB9" w:rsidP="00477204" w:rsidRDefault="00895CB9" w14:paraId="1832C288" w14:textId="77777777">
      <w:pPr>
        <w:pStyle w:val="ListParagraph"/>
        <w:numPr>
          <w:ilvl w:val="0"/>
          <w:numId w:val="14"/>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Conservation by efficient resource use or by reducing or shifting system load.</w:t>
      </w:r>
    </w:p>
    <w:p w:rsidRPr="00036799" w:rsidR="00895CB9" w:rsidP="00477204" w:rsidRDefault="00895CB9" w14:paraId="6E5D9313" w14:textId="77777777">
      <w:pPr>
        <w:pStyle w:val="ListParagraph"/>
        <w:numPr>
          <w:ilvl w:val="0"/>
          <w:numId w:val="14"/>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Development of new resources and processes, particularly renewable resources and processes which further supply technologies.</w:t>
      </w:r>
    </w:p>
    <w:p w:rsidRPr="00036799" w:rsidR="00895CB9" w:rsidP="00477204" w:rsidRDefault="00895CB9" w14:paraId="16E03E89" w14:textId="77777777">
      <w:pPr>
        <w:pStyle w:val="ListParagraph"/>
        <w:numPr>
          <w:ilvl w:val="0"/>
          <w:numId w:val="14"/>
        </w:numPr>
        <w:spacing w:after="0" w:line="276" w:lineRule="auto"/>
        <w:contextualSpacing w:val="0"/>
        <w:rPr>
          <w:rFonts w:ascii="Palatino Linotype" w:hAnsi="Palatino Linotype" w:eastAsia="Palatino Linotype" w:cs="Times New Roman"/>
          <w:bCs/>
          <w:i/>
          <w:iCs/>
          <w:color w:val="000000" w:themeColor="text1"/>
          <w:kern w:val="0"/>
          <w14:ligatures w14:val="none"/>
        </w:rPr>
      </w:pPr>
      <w:r w:rsidRPr="00036799">
        <w:rPr>
          <w:rFonts w:ascii="Palatino Linotype" w:hAnsi="Palatino Linotype" w:eastAsia="Palatino Linotype" w:cs="Times New Roman"/>
          <w:bCs/>
          <w:i/>
          <w:iCs/>
          <w:color w:val="000000" w:themeColor="text1"/>
          <w:kern w:val="0"/>
          <w14:ligatures w14:val="none"/>
        </w:rPr>
        <w:t>Improve operating efficiency and reliability or otherwise reduce operating costs.</w:t>
      </w:r>
      <w:r w:rsidRPr="00036799">
        <w:rPr>
          <w:rStyle w:val="FootnoteReference"/>
          <w:rFonts w:ascii="Palatino Linotype" w:hAnsi="Palatino Linotype" w:eastAsia="Palatino Linotype" w:cs="Times New Roman"/>
          <w:bCs/>
          <w:i/>
          <w:iCs/>
          <w:color w:val="000000" w:themeColor="text1"/>
          <w:kern w:val="0"/>
          <w14:ligatures w14:val="none"/>
        </w:rPr>
        <w:footnoteReference w:id="6"/>
      </w:r>
    </w:p>
    <w:p w:rsidR="00F97978" w:rsidP="00F97978" w:rsidRDefault="00F97978" w14:paraId="3722B845" w14:textId="77777777">
      <w:pPr>
        <w:spacing w:after="0" w:line="276" w:lineRule="auto"/>
        <w:rPr>
          <w:rFonts w:ascii="Palatino Linotype" w:hAnsi="Palatino Linotype"/>
          <w:color w:val="A6A6A6" w:themeColor="background1" w:themeShade="A6"/>
        </w:rPr>
      </w:pPr>
    </w:p>
    <w:p w:rsidRPr="00BC4F99" w:rsidR="002435C3" w:rsidP="00BC4F99" w:rsidRDefault="00966C85" w14:paraId="0450EA34" w14:textId="087BDDF4">
      <w:pPr>
        <w:spacing w:line="276" w:lineRule="auto"/>
        <w:rPr>
          <w:rFonts w:ascii="Palatino Linotype" w:hAnsi="Palatino Linotype"/>
          <w:b/>
          <w:bCs/>
          <w:color w:val="000000" w:themeColor="text1"/>
        </w:rPr>
      </w:pPr>
      <w:r>
        <w:rPr>
          <w:rFonts w:ascii="Palatino Linotype" w:hAnsi="Palatino Linotype"/>
          <w:b/>
          <w:bCs/>
          <w:color w:val="000000" w:themeColor="text1"/>
        </w:rPr>
        <w:t>D.</w:t>
      </w:r>
      <w:r w:rsidRPr="0224C827" w:rsidR="002127D0">
        <w:rPr>
          <w:rFonts w:ascii="Palatino Linotype" w:hAnsi="Palatino Linotype"/>
          <w:b/>
          <w:bCs/>
          <w:color w:val="000000" w:themeColor="text1"/>
        </w:rPr>
        <w:t>19-09-051 Adopt</w:t>
      </w:r>
      <w:r w:rsidR="00DB0530">
        <w:rPr>
          <w:rFonts w:ascii="Palatino Linotype" w:hAnsi="Palatino Linotype"/>
          <w:b/>
          <w:bCs/>
          <w:color w:val="000000" w:themeColor="text1"/>
        </w:rPr>
        <w:t>ed</w:t>
      </w:r>
      <w:r w:rsidRPr="0224C827" w:rsidR="002127D0">
        <w:rPr>
          <w:rFonts w:ascii="Palatino Linotype" w:hAnsi="Palatino Linotype"/>
          <w:b/>
          <w:bCs/>
          <w:color w:val="000000" w:themeColor="text1"/>
        </w:rPr>
        <w:t xml:space="preserve"> S</w:t>
      </w:r>
      <w:r w:rsidR="001721FE">
        <w:rPr>
          <w:rFonts w:ascii="Palatino Linotype" w:hAnsi="Palatino Linotype"/>
          <w:b/>
          <w:bCs/>
          <w:color w:val="000000" w:themeColor="text1"/>
        </w:rPr>
        <w:t xml:space="preserve">oCalGas’ </w:t>
      </w:r>
      <w:r w:rsidRPr="0224C827" w:rsidR="002127D0">
        <w:rPr>
          <w:rFonts w:ascii="Palatino Linotype" w:hAnsi="Palatino Linotype"/>
          <w:b/>
          <w:bCs/>
          <w:color w:val="000000" w:themeColor="text1"/>
        </w:rPr>
        <w:t>2019 Revenue Requirement in S</w:t>
      </w:r>
      <w:r w:rsidR="001721FE">
        <w:rPr>
          <w:rFonts w:ascii="Palatino Linotype" w:hAnsi="Palatino Linotype"/>
          <w:b/>
          <w:bCs/>
          <w:color w:val="000000" w:themeColor="text1"/>
        </w:rPr>
        <w:t xml:space="preserve">oCalGas’ </w:t>
      </w:r>
      <w:r w:rsidRPr="0224C827" w:rsidR="002127D0">
        <w:rPr>
          <w:rFonts w:ascii="Palatino Linotype" w:hAnsi="Palatino Linotype"/>
          <w:b/>
          <w:bCs/>
          <w:color w:val="000000" w:themeColor="text1"/>
        </w:rPr>
        <w:t>General Rate Case and Gas RD&amp;D Investment Plan Funds Upon Approval of a Tier 3 Advice Letter</w:t>
      </w:r>
    </w:p>
    <w:p w:rsidRPr="0077687F" w:rsidR="005714AF" w:rsidP="005714AF" w:rsidRDefault="005714AF" w14:paraId="675C49C1" w14:textId="68E76EE7">
      <w:pPr>
        <w:spacing w:after="0" w:line="276" w:lineRule="auto"/>
        <w:rPr>
          <w:rFonts w:ascii="Palatino Linotype" w:hAnsi="Palatino Linotype"/>
          <w:color w:val="000000" w:themeColor="text1"/>
        </w:rPr>
      </w:pPr>
      <w:r>
        <w:rPr>
          <w:rFonts w:ascii="Palatino Linotype" w:hAnsi="Palatino Linotype" w:eastAsia="Palatino Linotype" w:cs="Times New Roman"/>
          <w:kern w:val="0"/>
          <w14:ligatures w14:val="none"/>
        </w:rPr>
        <w:t>The Commission approved a TY 20</w:t>
      </w:r>
      <w:r w:rsidR="00EB70C7">
        <w:rPr>
          <w:rFonts w:ascii="Palatino Linotype" w:hAnsi="Palatino Linotype" w:eastAsia="Palatino Linotype" w:cs="Times New Roman"/>
          <w:kern w:val="0"/>
          <w14:ligatures w14:val="none"/>
        </w:rPr>
        <w:t>19</w:t>
      </w:r>
      <w:r>
        <w:rPr>
          <w:rFonts w:ascii="Palatino Linotype" w:hAnsi="Palatino Linotype" w:eastAsia="Palatino Linotype" w:cs="Times New Roman"/>
          <w:kern w:val="0"/>
          <w14:ligatures w14:val="none"/>
        </w:rPr>
        <w:t xml:space="preserve"> Gas RD&amp;D budget forecast </w:t>
      </w:r>
      <w:r w:rsidRPr="00166C92">
        <w:rPr>
          <w:rFonts w:ascii="Palatino Linotype" w:hAnsi="Palatino Linotype" w:eastAsia="Palatino Linotype" w:cs="Times New Roman"/>
          <w:color w:val="000000" w:themeColor="text1"/>
          <w:kern w:val="0"/>
          <w14:ligatures w14:val="none"/>
        </w:rPr>
        <w:t>of $</w:t>
      </w:r>
      <w:r w:rsidRPr="00166C92" w:rsidR="00B769DD">
        <w:rPr>
          <w:rFonts w:ascii="Palatino Linotype" w:hAnsi="Palatino Linotype" w:eastAsia="Palatino Linotype" w:cs="Times New Roman"/>
          <w:color w:val="000000" w:themeColor="text1"/>
          <w:kern w:val="0"/>
          <w14:ligatures w14:val="none"/>
        </w:rPr>
        <w:t>1</w:t>
      </w:r>
      <w:r w:rsidRPr="00166C92" w:rsidR="00166C92">
        <w:rPr>
          <w:rFonts w:ascii="Palatino Linotype" w:hAnsi="Palatino Linotype" w:eastAsia="Palatino Linotype" w:cs="Times New Roman"/>
          <w:color w:val="000000" w:themeColor="text1"/>
          <w:kern w:val="0"/>
          <w14:ligatures w14:val="none"/>
        </w:rPr>
        <w:t>4.329</w:t>
      </w:r>
      <w:r w:rsidRPr="00166C92">
        <w:rPr>
          <w:rFonts w:ascii="Palatino Linotype" w:hAnsi="Palatino Linotype" w:eastAsia="Palatino Linotype" w:cs="Times New Roman"/>
          <w:color w:val="000000" w:themeColor="text1"/>
          <w:kern w:val="0"/>
          <w14:ligatures w14:val="none"/>
        </w:rPr>
        <w:t xml:space="preserve"> </w:t>
      </w:r>
      <w:r w:rsidR="00F5366F">
        <w:rPr>
          <w:rFonts w:ascii="Palatino Linotype" w:hAnsi="Palatino Linotype" w:eastAsia="Palatino Linotype" w:cs="Times New Roman"/>
          <w:color w:val="000000" w:themeColor="text1"/>
          <w:kern w:val="0"/>
          <w14:ligatures w14:val="none"/>
        </w:rPr>
        <w:t xml:space="preserve">million </w:t>
      </w:r>
      <w:r>
        <w:rPr>
          <w:rFonts w:ascii="Palatino Linotype" w:hAnsi="Palatino Linotype" w:eastAsia="Palatino Linotype" w:cs="Times New Roman"/>
          <w:kern w:val="0"/>
          <w14:ligatures w14:val="none"/>
        </w:rPr>
        <w:t xml:space="preserve">in </w:t>
      </w:r>
      <w:r w:rsidR="00053872">
        <w:rPr>
          <w:rFonts w:ascii="Palatino Linotype" w:hAnsi="Palatino Linotype"/>
          <w:color w:val="000000" w:themeColor="text1"/>
        </w:rPr>
        <w:t>SoCalGas</w:t>
      </w:r>
      <w:r>
        <w:rPr>
          <w:rFonts w:ascii="Palatino Linotype" w:hAnsi="Palatino Linotype" w:eastAsia="Palatino Linotype" w:cs="Times New Roman"/>
          <w:kern w:val="0"/>
          <w14:ligatures w14:val="none"/>
        </w:rPr>
        <w:t>’ 20</w:t>
      </w:r>
      <w:r w:rsidR="00166C92">
        <w:rPr>
          <w:rFonts w:ascii="Palatino Linotype" w:hAnsi="Palatino Linotype" w:eastAsia="Palatino Linotype" w:cs="Times New Roman"/>
          <w:kern w:val="0"/>
          <w14:ligatures w14:val="none"/>
        </w:rPr>
        <w:t>19</w:t>
      </w:r>
      <w:r>
        <w:rPr>
          <w:rFonts w:ascii="Palatino Linotype" w:hAnsi="Palatino Linotype" w:eastAsia="Palatino Linotype" w:cs="Times New Roman"/>
          <w:kern w:val="0"/>
          <w14:ligatures w14:val="none"/>
        </w:rPr>
        <w:t xml:space="preserve"> GRC </w:t>
      </w:r>
      <w:r w:rsidR="00966C85">
        <w:rPr>
          <w:rFonts w:ascii="Palatino Linotype" w:hAnsi="Palatino Linotype" w:eastAsia="Palatino Linotype" w:cs="Times New Roman"/>
          <w:kern w:val="0"/>
          <w14:ligatures w14:val="none"/>
        </w:rPr>
        <w:t xml:space="preserve">decision, </w:t>
      </w:r>
      <w:r>
        <w:rPr>
          <w:rFonts w:ascii="Palatino Linotype" w:hAnsi="Palatino Linotype" w:eastAsia="Palatino Linotype" w:cs="Times New Roman"/>
          <w:kern w:val="0"/>
          <w14:ligatures w14:val="none"/>
        </w:rPr>
        <w:t>D.</w:t>
      </w:r>
      <w:r w:rsidR="00166C92">
        <w:rPr>
          <w:rFonts w:ascii="Palatino Linotype" w:hAnsi="Palatino Linotype" w:eastAsia="Palatino Linotype" w:cs="Times New Roman"/>
          <w:kern w:val="0"/>
          <w14:ligatures w14:val="none"/>
        </w:rPr>
        <w:t>19-09-051</w:t>
      </w:r>
      <w:r w:rsidR="00966C85">
        <w:rPr>
          <w:rFonts w:ascii="Palatino Linotype" w:hAnsi="Palatino Linotype" w:eastAsia="Palatino Linotype" w:cs="Times New Roman"/>
          <w:kern w:val="0"/>
          <w14:ligatures w14:val="none"/>
        </w:rPr>
        <w:t>,</w:t>
      </w:r>
      <w:r w:rsidR="006B127A">
        <w:rPr>
          <w:rFonts w:ascii="Palatino Linotype" w:hAnsi="Palatino Linotype" w:eastAsia="Palatino Linotype" w:cs="Times New Roman"/>
          <w:kern w:val="0"/>
          <w14:ligatures w14:val="none"/>
        </w:rPr>
        <w:t xml:space="preserve"> using a zero-based methodology</w:t>
      </w:r>
      <w:r w:rsidR="007F2FB3">
        <w:rPr>
          <w:rFonts w:ascii="Palatino Linotype" w:hAnsi="Palatino Linotype" w:eastAsia="Palatino Linotype" w:cs="Times New Roman"/>
          <w:kern w:val="0"/>
          <w14:ligatures w14:val="none"/>
        </w:rPr>
        <w:t>.</w:t>
      </w:r>
      <w:r w:rsidR="007F2FB3">
        <w:rPr>
          <w:rStyle w:val="FootnoteReference"/>
          <w:rFonts w:ascii="Palatino Linotype" w:hAnsi="Palatino Linotype" w:eastAsia="Palatino Linotype" w:cs="Times New Roman"/>
          <w:kern w:val="0"/>
          <w14:ligatures w14:val="none"/>
        </w:rPr>
        <w:footnoteReference w:id="7"/>
      </w:r>
      <w:r w:rsidR="0096512D">
        <w:rPr>
          <w:rFonts w:ascii="Palatino Linotype" w:hAnsi="Palatino Linotype" w:eastAsia="Palatino Linotype" w:cs="Times New Roman"/>
          <w:kern w:val="0"/>
          <w14:ligatures w14:val="none"/>
        </w:rPr>
        <w:t xml:space="preserve"> </w:t>
      </w:r>
      <w:r w:rsidR="009C34DB">
        <w:rPr>
          <w:rFonts w:ascii="Palatino Linotype" w:hAnsi="Palatino Linotype" w:eastAsia="Palatino Linotype" w:cs="Times New Roman"/>
          <w:kern w:val="0"/>
          <w14:ligatures w14:val="none"/>
        </w:rPr>
        <w:br/>
      </w:r>
      <w:r w:rsidR="0096512D">
        <w:rPr>
          <w:rFonts w:ascii="Palatino Linotype" w:hAnsi="Palatino Linotype" w:eastAsia="Palatino Linotype" w:cs="Times New Roman"/>
          <w:kern w:val="0"/>
          <w14:ligatures w14:val="none"/>
        </w:rPr>
        <w:t>D</w:t>
      </w:r>
      <w:r w:rsidRPr="004C4E7D" w:rsidR="0096512D">
        <w:rPr>
          <w:rFonts w:ascii="Palatino Linotype" w:hAnsi="Palatino Linotype" w:eastAsia="Palatino Linotype" w:cs="Times New Roman"/>
          <w:color w:val="000000" w:themeColor="text1"/>
          <w:kern w:val="0"/>
          <w14:ligatures w14:val="none"/>
        </w:rPr>
        <w:t>.19-09-051 require</w:t>
      </w:r>
      <w:r w:rsidR="000973FF">
        <w:rPr>
          <w:rFonts w:ascii="Palatino Linotype" w:hAnsi="Palatino Linotype" w:eastAsia="Palatino Linotype" w:cs="Times New Roman"/>
          <w:color w:val="000000" w:themeColor="text1"/>
          <w:kern w:val="0"/>
          <w14:ligatures w14:val="none"/>
        </w:rPr>
        <w:t>d</w:t>
      </w:r>
      <w:r w:rsidRPr="004C4E7D" w:rsidR="0096512D">
        <w:rPr>
          <w:rFonts w:ascii="Palatino Linotype" w:hAnsi="Palatino Linotype" w:eastAsia="Palatino Linotype" w:cs="Times New Roman"/>
          <w:color w:val="000000" w:themeColor="text1"/>
          <w:kern w:val="0"/>
          <w14:ligatures w14:val="none"/>
        </w:rPr>
        <w:t xml:space="preserve"> </w:t>
      </w:r>
      <w:r w:rsidR="00053872">
        <w:rPr>
          <w:rFonts w:ascii="Palatino Linotype" w:hAnsi="Palatino Linotype"/>
          <w:color w:val="000000" w:themeColor="text1"/>
        </w:rPr>
        <w:t>SoCalGas</w:t>
      </w:r>
      <w:r w:rsidRPr="004C4E7D" w:rsidR="0096512D">
        <w:rPr>
          <w:rFonts w:ascii="Palatino Linotype" w:hAnsi="Palatino Linotype" w:eastAsia="Palatino Linotype" w:cs="Times New Roman"/>
          <w:color w:val="000000" w:themeColor="text1"/>
          <w:kern w:val="0"/>
          <w14:ligatures w14:val="none"/>
        </w:rPr>
        <w:t xml:space="preserve"> </w:t>
      </w:r>
      <w:r w:rsidRPr="0224C827">
        <w:rPr>
          <w:rFonts w:ascii="Palatino Linotype" w:hAnsi="Palatino Linotype" w:eastAsia="Palatino Linotype" w:cs="Times New Roman"/>
          <w:color w:val="000000" w:themeColor="text1"/>
          <w:kern w:val="0"/>
          <w14:ligatures w14:val="none"/>
        </w:rPr>
        <w:t xml:space="preserve">to submit, and the Commission to approve, an annual Tier 3 </w:t>
      </w:r>
      <w:r w:rsidRPr="004C4E7D">
        <w:rPr>
          <w:rFonts w:ascii="Palatino Linotype" w:hAnsi="Palatino Linotype" w:eastAsia="Palatino Linotype" w:cs="Times New Roman"/>
          <w:color w:val="000000" w:themeColor="text1"/>
          <w:kern w:val="0"/>
          <w14:ligatures w14:val="none"/>
        </w:rPr>
        <w:t>AL describing</w:t>
      </w:r>
      <w:r w:rsidRPr="0224C827">
        <w:rPr>
          <w:rFonts w:ascii="Palatino Linotype" w:hAnsi="Palatino Linotype" w:eastAsia="Palatino Linotype" w:cs="Times New Roman"/>
          <w:color w:val="000000" w:themeColor="text1"/>
          <w:kern w:val="0"/>
          <w14:ligatures w14:val="none"/>
        </w:rPr>
        <w:t xml:space="preserve"> </w:t>
      </w:r>
      <w:r w:rsidR="00404FEF">
        <w:rPr>
          <w:rFonts w:ascii="Palatino Linotype" w:hAnsi="Palatino Linotype"/>
          <w:color w:val="000000" w:themeColor="text1"/>
        </w:rPr>
        <w:t>SoCalGas</w:t>
      </w:r>
      <w:r w:rsidRPr="0224C827" w:rsidR="004C4E7D">
        <w:rPr>
          <w:rFonts w:ascii="Palatino Linotype" w:hAnsi="Palatino Linotype" w:eastAsia="Palatino Linotype" w:cs="Times New Roman"/>
          <w:color w:val="000000" w:themeColor="text1"/>
          <w:kern w:val="0"/>
          <w14:ligatures w14:val="none"/>
        </w:rPr>
        <w:t>’</w:t>
      </w:r>
      <w:r w:rsidRPr="0224C827">
        <w:rPr>
          <w:rFonts w:ascii="Palatino Linotype" w:hAnsi="Palatino Linotype" w:eastAsia="Palatino Linotype" w:cs="Times New Roman"/>
          <w:color w:val="000000" w:themeColor="text1"/>
          <w:kern w:val="0"/>
          <w14:ligatures w14:val="none"/>
        </w:rPr>
        <w:t xml:space="preserve"> proposed Gas RD&amp;D Investment Plan. Upon Commission approval of the Plan, </w:t>
      </w:r>
      <w:r w:rsidR="00053872">
        <w:rPr>
          <w:rFonts w:ascii="Palatino Linotype" w:hAnsi="Palatino Linotype"/>
          <w:color w:val="000000" w:themeColor="text1"/>
        </w:rPr>
        <w:t>SoCalGas</w:t>
      </w:r>
      <w:r w:rsidRPr="0224C827">
        <w:rPr>
          <w:rFonts w:ascii="Palatino Linotype" w:hAnsi="Palatino Linotype" w:eastAsia="Palatino Linotype" w:cs="Times New Roman"/>
          <w:color w:val="000000" w:themeColor="text1"/>
          <w:kern w:val="0"/>
          <w14:ligatures w14:val="none"/>
        </w:rPr>
        <w:t xml:space="preserve"> may record Gas RD&amp;D program expenses </w:t>
      </w:r>
      <w:r w:rsidRPr="0224C827">
        <w:rPr>
          <w:rFonts w:ascii="Palatino Linotype" w:hAnsi="Palatino Linotype" w:eastAsia="Palatino Linotype" w:cs="Times New Roman"/>
          <w:color w:val="000000" w:themeColor="text1"/>
          <w:kern w:val="0"/>
          <w14:ligatures w14:val="none"/>
        </w:rPr>
        <w:lastRenderedPageBreak/>
        <w:t>in a one-way balancing account.</w:t>
      </w:r>
      <w:r w:rsidRPr="004C4E7D">
        <w:rPr>
          <w:rFonts w:ascii="Palatino Linotype" w:hAnsi="Palatino Linotype"/>
          <w:color w:val="000000" w:themeColor="text1"/>
        </w:rPr>
        <w:t xml:space="preserve"> </w:t>
      </w:r>
      <w:r w:rsidR="00053872">
        <w:rPr>
          <w:rFonts w:ascii="Palatino Linotype" w:hAnsi="Palatino Linotype"/>
          <w:color w:val="000000" w:themeColor="text1"/>
        </w:rPr>
        <w:t>SoCalGas</w:t>
      </w:r>
      <w:r w:rsidRPr="004C4E7D">
        <w:rPr>
          <w:rFonts w:ascii="Palatino Linotype" w:hAnsi="Palatino Linotype"/>
          <w:color w:val="000000" w:themeColor="text1"/>
        </w:rPr>
        <w:t xml:space="preserve"> shall not record any Gas RD&amp;D program expenses in a one-way balancing account until an annual Tier 3 Advice Letter outlining its Gas RD&amp;D Budget Plan is approved</w:t>
      </w:r>
      <w:r w:rsidR="00647B62">
        <w:rPr>
          <w:rFonts w:ascii="Palatino Linotype" w:hAnsi="Palatino Linotype"/>
          <w:color w:val="000000" w:themeColor="text1"/>
        </w:rPr>
        <w:t xml:space="preserve">, and unspent </w:t>
      </w:r>
      <w:r w:rsidR="00EA3092">
        <w:rPr>
          <w:rFonts w:ascii="Palatino Linotype" w:hAnsi="Palatino Linotype"/>
          <w:color w:val="000000" w:themeColor="text1"/>
        </w:rPr>
        <w:t>funds must be returned to ratepayers at the end of each GRC cycle.</w:t>
      </w:r>
      <w:r w:rsidRPr="004C4E7D" w:rsidR="00EA3092">
        <w:rPr>
          <w:rStyle w:val="FootnoteReference"/>
          <w:rFonts w:ascii="Palatino Linotype" w:hAnsi="Palatino Linotype"/>
          <w:color w:val="000000" w:themeColor="text1"/>
        </w:rPr>
        <w:footnoteReference w:id="8"/>
      </w:r>
      <w:r w:rsidR="00C5008C">
        <w:rPr>
          <w:rFonts w:ascii="Palatino Linotype" w:hAnsi="Palatino Linotype"/>
          <w:color w:val="000000" w:themeColor="text1"/>
        </w:rPr>
        <w:t xml:space="preserve"> D.19-09-051 also require</w:t>
      </w:r>
      <w:r w:rsidR="009340E3">
        <w:rPr>
          <w:rFonts w:ascii="Palatino Linotype" w:hAnsi="Palatino Linotype"/>
          <w:color w:val="000000" w:themeColor="text1"/>
        </w:rPr>
        <w:t>d</w:t>
      </w:r>
      <w:r w:rsidR="00C5008C">
        <w:rPr>
          <w:rFonts w:ascii="Palatino Linotype" w:hAnsi="Palatino Linotype"/>
          <w:color w:val="000000" w:themeColor="text1"/>
        </w:rPr>
        <w:t xml:space="preserve"> </w:t>
      </w:r>
      <w:r w:rsidR="00053872">
        <w:rPr>
          <w:rFonts w:ascii="Palatino Linotype" w:hAnsi="Palatino Linotype"/>
          <w:color w:val="000000" w:themeColor="text1"/>
        </w:rPr>
        <w:t>SoCalGas</w:t>
      </w:r>
      <w:r w:rsidR="00C5008C">
        <w:rPr>
          <w:rFonts w:ascii="Palatino Linotype" w:hAnsi="Palatino Linotype"/>
          <w:color w:val="000000" w:themeColor="text1"/>
        </w:rPr>
        <w:t xml:space="preserve"> </w:t>
      </w:r>
      <w:r w:rsidR="00372102">
        <w:rPr>
          <w:rFonts w:ascii="Palatino Linotype" w:hAnsi="Palatino Linotype"/>
          <w:color w:val="000000" w:themeColor="text1"/>
        </w:rPr>
        <w:t xml:space="preserve">to </w:t>
      </w:r>
      <w:r w:rsidR="0077687F">
        <w:rPr>
          <w:rFonts w:ascii="Palatino Linotype" w:hAnsi="Palatino Linotype"/>
          <w:color w:val="000000" w:themeColor="text1"/>
        </w:rPr>
        <w:t xml:space="preserve">host an annual public workshop, submit an Annual Report to Energy Division, and, </w:t>
      </w:r>
      <w:r w:rsidR="00C5008C">
        <w:rPr>
          <w:rFonts w:ascii="Palatino Linotype" w:hAnsi="Palatino Linotype"/>
          <w:color w:val="000000" w:themeColor="text1"/>
        </w:rPr>
        <w:t>in its Gas RD&amp;D Plans</w:t>
      </w:r>
      <w:r w:rsidR="0077687F">
        <w:rPr>
          <w:rFonts w:ascii="Palatino Linotype" w:hAnsi="Palatino Linotype"/>
          <w:color w:val="000000" w:themeColor="text1"/>
        </w:rPr>
        <w:t>,</w:t>
      </w:r>
      <w:r w:rsidR="00C5008C">
        <w:rPr>
          <w:rFonts w:ascii="Palatino Linotype" w:hAnsi="Palatino Linotype"/>
          <w:color w:val="000000" w:themeColor="text1"/>
        </w:rPr>
        <w:t xml:space="preserve"> </w:t>
      </w:r>
      <w:r w:rsidRPr="00C5008C" w:rsidR="00C5008C">
        <w:rPr>
          <w:rFonts w:ascii="Palatino Linotype" w:hAnsi="Palatino Linotype"/>
          <w:color w:val="000000" w:themeColor="text1"/>
        </w:rPr>
        <w:t xml:space="preserve">(1) </w:t>
      </w:r>
      <w:r w:rsidRPr="0079363D" w:rsidR="00C5008C">
        <w:rPr>
          <w:rFonts w:ascii="Palatino Linotype" w:hAnsi="Palatino Linotype"/>
          <w:color w:val="000000" w:themeColor="text1"/>
        </w:rPr>
        <w:t>detail budgets broken down by research sub-program area, (2) explain how the projects help improve reliability, safety, environmental benefits, or operational efficiencies</w:t>
      </w:r>
      <w:r w:rsidR="00212911">
        <w:rPr>
          <w:rStyle w:val="FootnoteReference"/>
          <w:rFonts w:ascii="Palatino Linotype" w:hAnsi="Palatino Linotype"/>
          <w:color w:val="000000" w:themeColor="text1"/>
        </w:rPr>
        <w:footnoteReference w:id="9"/>
      </w:r>
      <w:r w:rsidRPr="0079363D" w:rsidR="00C5008C">
        <w:rPr>
          <w:rFonts w:ascii="Palatino Linotype" w:hAnsi="Palatino Linotype"/>
          <w:color w:val="000000" w:themeColor="text1"/>
        </w:rPr>
        <w:t xml:space="preserve"> and (3) discuss how </w:t>
      </w:r>
      <w:r w:rsidR="00053872">
        <w:rPr>
          <w:rFonts w:ascii="Palatino Linotype" w:hAnsi="Palatino Linotype"/>
          <w:color w:val="000000" w:themeColor="text1"/>
        </w:rPr>
        <w:t>SoCalGas</w:t>
      </w:r>
      <w:r w:rsidRPr="0079363D" w:rsidR="00C5008C">
        <w:rPr>
          <w:rFonts w:ascii="Palatino Linotype" w:hAnsi="Palatino Linotype"/>
          <w:color w:val="000000" w:themeColor="text1"/>
        </w:rPr>
        <w:t xml:space="preserve"> incorporated feedback from workshop stakeholders and Commission staff.</w:t>
      </w:r>
      <w:r w:rsidRPr="00BA2AD7" w:rsidR="00C5008C">
        <w:rPr>
          <w:rStyle w:val="FootnoteReference"/>
          <w:rFonts w:ascii="Palatino Linotype" w:hAnsi="Palatino Linotype"/>
          <w:color w:val="000000" w:themeColor="text1"/>
        </w:rPr>
        <w:footnoteReference w:id="10"/>
      </w:r>
    </w:p>
    <w:p w:rsidR="002127D0" w:rsidP="00F97978" w:rsidRDefault="002127D0" w14:paraId="6EFC07F9" w14:textId="77777777">
      <w:pPr>
        <w:spacing w:after="0" w:line="276" w:lineRule="auto"/>
        <w:rPr>
          <w:rFonts w:ascii="Palatino Linotype" w:hAnsi="Palatino Linotype"/>
          <w:b/>
          <w:bCs/>
          <w:color w:val="000000" w:themeColor="text1"/>
        </w:rPr>
      </w:pPr>
    </w:p>
    <w:p w:rsidRPr="00650AE2" w:rsidR="00F97978" w:rsidP="00BC4F99" w:rsidRDefault="00B42BF5" w14:paraId="14D7007C" w14:textId="4391893F">
      <w:pPr>
        <w:spacing w:line="276" w:lineRule="auto"/>
        <w:rPr>
          <w:rFonts w:ascii="Palatino Linotype" w:hAnsi="Palatino Linotype"/>
          <w:b/>
          <w:bCs/>
          <w:color w:val="000000" w:themeColor="text1"/>
        </w:rPr>
      </w:pPr>
      <w:r>
        <w:rPr>
          <w:rFonts w:ascii="Palatino Linotype" w:hAnsi="Palatino Linotype"/>
          <w:b/>
          <w:bCs/>
          <w:color w:val="000000" w:themeColor="text1"/>
        </w:rPr>
        <w:t>D.</w:t>
      </w:r>
      <w:r w:rsidRPr="00650AE2" w:rsidR="00F97978">
        <w:rPr>
          <w:rFonts w:ascii="Palatino Linotype" w:hAnsi="Palatino Linotype"/>
          <w:b/>
          <w:bCs/>
          <w:color w:val="000000" w:themeColor="text1"/>
        </w:rPr>
        <w:t>24-12-074 Adoptin</w:t>
      </w:r>
      <w:r w:rsidRPr="00053872" w:rsidR="00F97978">
        <w:rPr>
          <w:rFonts w:ascii="Palatino Linotype" w:hAnsi="Palatino Linotype"/>
          <w:b/>
          <w:bCs/>
          <w:color w:val="000000" w:themeColor="text1"/>
        </w:rPr>
        <w:t xml:space="preserve">g </w:t>
      </w:r>
      <w:r w:rsidRPr="00053872" w:rsidR="00053872">
        <w:rPr>
          <w:rFonts w:ascii="Palatino Linotype" w:hAnsi="Palatino Linotype"/>
          <w:b/>
          <w:bCs/>
          <w:color w:val="000000" w:themeColor="text1"/>
        </w:rPr>
        <w:t>SoCalGas</w:t>
      </w:r>
      <w:r w:rsidRPr="00053872" w:rsidR="00F97978">
        <w:rPr>
          <w:rFonts w:ascii="Palatino Linotype" w:hAnsi="Palatino Linotype"/>
          <w:b/>
          <w:bCs/>
          <w:color w:val="000000" w:themeColor="text1"/>
        </w:rPr>
        <w:t>’</w:t>
      </w:r>
      <w:r w:rsidRPr="00650AE2" w:rsidR="00F97978">
        <w:rPr>
          <w:rFonts w:ascii="Palatino Linotype" w:hAnsi="Palatino Linotype"/>
          <w:b/>
          <w:bCs/>
          <w:color w:val="000000" w:themeColor="text1"/>
        </w:rPr>
        <w:t xml:space="preserve"> 2024 Revenue Requirement in </w:t>
      </w:r>
      <w:r w:rsidRPr="00053872" w:rsidR="00053872">
        <w:rPr>
          <w:rFonts w:ascii="Palatino Linotype" w:hAnsi="Palatino Linotype"/>
          <w:b/>
          <w:bCs/>
          <w:color w:val="000000" w:themeColor="text1"/>
        </w:rPr>
        <w:t>SoCalGas</w:t>
      </w:r>
      <w:r w:rsidRPr="00650AE2" w:rsidR="00F97978">
        <w:rPr>
          <w:rFonts w:ascii="Palatino Linotype" w:hAnsi="Palatino Linotype"/>
          <w:b/>
          <w:bCs/>
          <w:color w:val="000000" w:themeColor="text1"/>
        </w:rPr>
        <w:t xml:space="preserve">’ General Rate </w:t>
      </w:r>
      <w:r w:rsidR="002127D0">
        <w:rPr>
          <w:rFonts w:ascii="Palatino Linotype" w:hAnsi="Palatino Linotype"/>
          <w:b/>
          <w:bCs/>
          <w:color w:val="000000" w:themeColor="text1"/>
        </w:rPr>
        <w:t>Case</w:t>
      </w:r>
      <w:r w:rsidR="00107C04">
        <w:rPr>
          <w:rFonts w:ascii="Palatino Linotype" w:hAnsi="Palatino Linotype"/>
          <w:b/>
          <w:bCs/>
          <w:color w:val="000000" w:themeColor="text1"/>
        </w:rPr>
        <w:t xml:space="preserve"> and Upholding D.19-09-051 Gas RD&amp;D Program Practices</w:t>
      </w:r>
    </w:p>
    <w:p w:rsidR="002435C3" w:rsidP="00753409" w:rsidRDefault="00DA7F60" w14:paraId="6EF6F56B" w14:textId="1196867D">
      <w:p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kern w:val="0"/>
          <w14:ligatures w14:val="none"/>
        </w:rPr>
        <w:t xml:space="preserve">D.24-12-074 upholds the </w:t>
      </w:r>
      <w:r w:rsidR="00053872">
        <w:rPr>
          <w:rFonts w:ascii="Palatino Linotype" w:hAnsi="Palatino Linotype"/>
          <w:color w:val="000000" w:themeColor="text1"/>
        </w:rPr>
        <w:t>SoCalGas</w:t>
      </w:r>
      <w:r>
        <w:rPr>
          <w:rFonts w:ascii="Palatino Linotype" w:hAnsi="Palatino Linotype" w:eastAsia="Palatino Linotype" w:cs="Times New Roman"/>
          <w:kern w:val="0"/>
          <w14:ligatures w14:val="none"/>
        </w:rPr>
        <w:t xml:space="preserve"> Gas RD&amp;D Program requirements set in D.19-09-051, including those to file a Tier 3 AL, funding the program subject to a one-way balancing account, and returning unspent funds to ratepayers at the end of each GRC cycle</w:t>
      </w:r>
      <w:r w:rsidRPr="007E6333">
        <w:rPr>
          <w:rFonts w:ascii="Palatino Linotype" w:hAnsi="Palatino Linotype" w:eastAsia="Palatino Linotype" w:cs="Times New Roman"/>
          <w:color w:val="000000" w:themeColor="text1"/>
          <w:kern w:val="0"/>
          <w14:ligatures w14:val="none"/>
        </w:rPr>
        <w:t>.</w:t>
      </w:r>
      <w:r w:rsidRPr="007E6333">
        <w:rPr>
          <w:rStyle w:val="FootnoteReference"/>
          <w:rFonts w:ascii="Palatino Linotype" w:hAnsi="Palatino Linotype" w:eastAsia="Palatino Linotype" w:cs="Times New Roman"/>
          <w:color w:val="000000" w:themeColor="text1"/>
          <w:kern w:val="0"/>
          <w14:ligatures w14:val="none"/>
        </w:rPr>
        <w:footnoteReference w:id="11"/>
      </w:r>
      <w:r w:rsidRPr="007E6333">
        <w:rPr>
          <w:rFonts w:ascii="Palatino Linotype" w:hAnsi="Palatino Linotype" w:eastAsia="Palatino Linotype" w:cs="Times New Roman"/>
          <w:color w:val="000000" w:themeColor="text1"/>
          <w:kern w:val="0"/>
          <w14:ligatures w14:val="none"/>
        </w:rPr>
        <w:t xml:space="preserve"> </w:t>
      </w:r>
      <w:r w:rsidRPr="00753409" w:rsidR="004346B7">
        <w:rPr>
          <w:rFonts w:ascii="Palatino Linotype" w:hAnsi="Palatino Linotype" w:eastAsia="Palatino Linotype" w:cs="Times New Roman"/>
          <w:kern w:val="0"/>
          <w14:ligatures w14:val="none"/>
        </w:rPr>
        <w:t xml:space="preserve">In </w:t>
      </w:r>
      <w:r w:rsidR="00053872">
        <w:rPr>
          <w:rFonts w:ascii="Palatino Linotype" w:hAnsi="Palatino Linotype"/>
          <w:color w:val="000000" w:themeColor="text1"/>
        </w:rPr>
        <w:t>SoCalGas</w:t>
      </w:r>
      <w:r w:rsidRPr="00753409" w:rsidR="004346B7">
        <w:rPr>
          <w:rFonts w:ascii="Palatino Linotype" w:hAnsi="Palatino Linotype" w:eastAsia="Palatino Linotype" w:cs="Times New Roman"/>
          <w:kern w:val="0"/>
          <w14:ligatures w14:val="none"/>
        </w:rPr>
        <w:t>’ 2024 GRC D.24-12-074, t</w:t>
      </w:r>
      <w:r w:rsidRPr="00753409" w:rsidR="00BC4F99">
        <w:rPr>
          <w:rFonts w:ascii="Palatino Linotype" w:hAnsi="Palatino Linotype" w:eastAsia="Palatino Linotype" w:cs="Times New Roman"/>
          <w:kern w:val="0"/>
          <w14:ligatures w14:val="none"/>
        </w:rPr>
        <w:t>he Commission approved a TY 2024 Gas RD&amp;D budget forecast of $15</w:t>
      </w:r>
      <w:r w:rsidRPr="00753409" w:rsidR="00F5366F">
        <w:rPr>
          <w:rFonts w:ascii="Palatino Linotype" w:hAnsi="Palatino Linotype" w:eastAsia="Palatino Linotype" w:cs="Times New Roman"/>
          <w:kern w:val="0"/>
          <w14:ligatures w14:val="none"/>
        </w:rPr>
        <w:t xml:space="preserve">.915 million </w:t>
      </w:r>
      <w:r w:rsidRPr="00753409" w:rsidR="00BD3320">
        <w:rPr>
          <w:rFonts w:ascii="Palatino Linotype" w:hAnsi="Palatino Linotype" w:eastAsia="Palatino Linotype" w:cs="Times New Roman"/>
          <w:kern w:val="0"/>
          <w14:ligatures w14:val="none"/>
        </w:rPr>
        <w:t>in constant dollars</w:t>
      </w:r>
      <w:r w:rsidRPr="00753409" w:rsidR="00F5366F">
        <w:rPr>
          <w:rFonts w:ascii="Palatino Linotype" w:hAnsi="Palatino Linotype" w:eastAsia="Palatino Linotype" w:cs="Times New Roman"/>
          <w:kern w:val="0"/>
          <w14:ligatures w14:val="none"/>
        </w:rPr>
        <w:t xml:space="preserve"> based on the average trend of incurred costs authorized in recent years</w:t>
      </w:r>
      <w:r w:rsidRPr="00753409" w:rsidR="00C73E2D">
        <w:rPr>
          <w:rFonts w:ascii="Palatino Linotype" w:hAnsi="Palatino Linotype" w:eastAsia="Palatino Linotype" w:cs="Times New Roman"/>
          <w:kern w:val="0"/>
          <w14:ligatures w14:val="none"/>
        </w:rPr>
        <w:t xml:space="preserve">, to include </w:t>
      </w:r>
      <w:r w:rsidRPr="00753409" w:rsidR="00273770">
        <w:rPr>
          <w:rFonts w:ascii="Palatino Linotype" w:hAnsi="Palatino Linotype" w:eastAsia="Palatino Linotype" w:cs="Times New Roman"/>
          <w:kern w:val="0"/>
          <w14:ligatures w14:val="none"/>
        </w:rPr>
        <w:t>the 10 percent administrative cost budget.</w:t>
      </w:r>
      <w:r w:rsidR="00C73E2D">
        <w:rPr>
          <w:rStyle w:val="FootnoteReference"/>
          <w:rFonts w:ascii="Palatino Linotype" w:hAnsi="Palatino Linotype" w:eastAsia="Palatino Linotype" w:cs="Times New Roman"/>
          <w:kern w:val="0"/>
          <w14:ligatures w14:val="none"/>
        </w:rPr>
        <w:footnoteReference w:id="12"/>
      </w:r>
      <w:r w:rsidRPr="00753409" w:rsidR="00273770">
        <w:rPr>
          <w:rFonts w:ascii="Palatino Linotype" w:hAnsi="Palatino Linotype" w:eastAsia="Palatino Linotype" w:cs="Times New Roman"/>
          <w:kern w:val="0"/>
          <w14:ligatures w14:val="none"/>
        </w:rPr>
        <w:t xml:space="preserve"> </w:t>
      </w:r>
      <w:r w:rsidRPr="00753409" w:rsidR="00A83415">
        <w:rPr>
          <w:rFonts w:ascii="Palatino Linotype" w:hAnsi="Palatino Linotype" w:eastAsia="Palatino Linotype" w:cs="Times New Roman"/>
          <w:kern w:val="0"/>
          <w14:ligatures w14:val="none"/>
        </w:rPr>
        <w:t>This translates to</w:t>
      </w:r>
      <w:r w:rsidRPr="00753409" w:rsidR="00492E20">
        <w:rPr>
          <w:rFonts w:ascii="Palatino Linotype" w:hAnsi="Palatino Linotype" w:eastAsia="Palatino Linotype" w:cs="Times New Roman"/>
          <w:kern w:val="0"/>
          <w14:ligatures w14:val="none"/>
        </w:rPr>
        <w:t xml:space="preserve"> a</w:t>
      </w:r>
      <w:r w:rsidRPr="00753409" w:rsidR="00753409">
        <w:rPr>
          <w:rFonts w:ascii="Palatino Linotype" w:hAnsi="Palatino Linotype" w:eastAsia="Palatino Linotype" w:cs="Times New Roman"/>
          <w:kern w:val="0"/>
          <w14:ligatures w14:val="none"/>
        </w:rPr>
        <w:t>n annual budget of</w:t>
      </w:r>
      <w:r w:rsidRPr="00753409" w:rsidR="00A83415">
        <w:rPr>
          <w:rFonts w:ascii="Palatino Linotype" w:hAnsi="Palatino Linotype" w:eastAsia="Palatino Linotype" w:cs="Times New Roman"/>
          <w:kern w:val="0"/>
          <w14:ligatures w14:val="none"/>
        </w:rPr>
        <w:t xml:space="preserve"> </w:t>
      </w:r>
      <w:r w:rsidRPr="00753409" w:rsidR="00BD3320">
        <w:rPr>
          <w:rFonts w:ascii="Palatino Linotype" w:hAnsi="Palatino Linotype" w:eastAsia="Palatino Linotype" w:cs="Times New Roman"/>
          <w:kern w:val="0"/>
          <w14:ligatures w14:val="none"/>
        </w:rPr>
        <w:t>$17</w:t>
      </w:r>
      <w:r w:rsidR="00845C74">
        <w:rPr>
          <w:rFonts w:ascii="Palatino Linotype" w:hAnsi="Palatino Linotype" w:eastAsia="Palatino Linotype" w:cs="Times New Roman"/>
          <w:kern w:val="0"/>
          <w14:ligatures w14:val="none"/>
        </w:rPr>
        <w:t>.</w:t>
      </w:r>
      <w:r w:rsidRPr="00753409" w:rsidR="00BD3320">
        <w:rPr>
          <w:rFonts w:ascii="Palatino Linotype" w:hAnsi="Palatino Linotype" w:eastAsia="Palatino Linotype" w:cs="Times New Roman"/>
          <w:kern w:val="0"/>
          <w14:ligatures w14:val="none"/>
        </w:rPr>
        <w:t>8</w:t>
      </w:r>
      <w:r w:rsidR="00CD618D">
        <w:rPr>
          <w:rFonts w:ascii="Palatino Linotype" w:hAnsi="Palatino Linotype" w:eastAsia="Palatino Linotype" w:cs="Times New Roman"/>
          <w:kern w:val="0"/>
          <w14:ligatures w14:val="none"/>
        </w:rPr>
        <w:t>53</w:t>
      </w:r>
      <w:r w:rsidRPr="00753409" w:rsidR="00BD3320">
        <w:rPr>
          <w:rFonts w:ascii="Palatino Linotype" w:hAnsi="Palatino Linotype" w:eastAsia="Palatino Linotype" w:cs="Times New Roman"/>
          <w:kern w:val="0"/>
          <w14:ligatures w14:val="none"/>
        </w:rPr>
        <w:t>M in</w:t>
      </w:r>
      <w:r w:rsidRPr="00753409" w:rsidR="002060E2">
        <w:rPr>
          <w:rFonts w:ascii="Palatino Linotype" w:hAnsi="Palatino Linotype" w:eastAsia="Palatino Linotype" w:cs="Times New Roman"/>
          <w:kern w:val="0"/>
          <w14:ligatures w14:val="none"/>
        </w:rPr>
        <w:t xml:space="preserve"> nominal dollars</w:t>
      </w:r>
      <w:r w:rsidR="002060E2">
        <w:rPr>
          <w:rStyle w:val="FootnoteReference"/>
          <w:rFonts w:ascii="Palatino Linotype" w:hAnsi="Palatino Linotype" w:eastAsia="Palatino Linotype" w:cs="Times New Roman"/>
          <w:kern w:val="0"/>
          <w14:ligatures w14:val="none"/>
        </w:rPr>
        <w:footnoteReference w:id="13"/>
      </w:r>
      <w:r w:rsidRPr="00753409" w:rsidR="00753409">
        <w:rPr>
          <w:rFonts w:ascii="Palatino Linotype" w:hAnsi="Palatino Linotype" w:eastAsia="Palatino Linotype" w:cs="Times New Roman"/>
          <w:kern w:val="0"/>
          <w14:ligatures w14:val="none"/>
        </w:rPr>
        <w:t xml:space="preserve"> for </w:t>
      </w:r>
      <w:r w:rsidR="00053872">
        <w:rPr>
          <w:rFonts w:ascii="Palatino Linotype" w:hAnsi="Palatino Linotype"/>
          <w:color w:val="000000" w:themeColor="text1"/>
        </w:rPr>
        <w:t>SoCalGas</w:t>
      </w:r>
      <w:r w:rsidRPr="00753409" w:rsidR="00753409">
        <w:rPr>
          <w:rFonts w:ascii="Palatino Linotype" w:hAnsi="Palatino Linotype" w:eastAsia="Palatino Linotype" w:cs="Times New Roman"/>
          <w:color w:val="000000" w:themeColor="text1"/>
        </w:rPr>
        <w:t xml:space="preserve">’ 2024 Plan, escalated to </w:t>
      </w:r>
      <w:r w:rsidR="008A4280">
        <w:rPr>
          <w:rFonts w:ascii="Palatino Linotype" w:hAnsi="Palatino Linotype" w:eastAsia="Palatino Linotype" w:cs="Times New Roman"/>
          <w:color w:val="000000" w:themeColor="text1"/>
        </w:rPr>
        <w:t>annual budgets of</w:t>
      </w:r>
      <w:r w:rsidRPr="00753409" w:rsidR="00753409">
        <w:rPr>
          <w:rFonts w:ascii="Palatino Linotype" w:hAnsi="Palatino Linotype" w:eastAsia="Palatino Linotype" w:cs="Times New Roman"/>
          <w:color w:val="000000" w:themeColor="text1"/>
        </w:rPr>
        <w:t xml:space="preserve"> $18</w:t>
      </w:r>
      <w:r w:rsidR="00845C74">
        <w:rPr>
          <w:rFonts w:ascii="Palatino Linotype" w:hAnsi="Palatino Linotype" w:eastAsia="Palatino Linotype" w:cs="Times New Roman"/>
          <w:color w:val="000000" w:themeColor="text1"/>
        </w:rPr>
        <w:t>.</w:t>
      </w:r>
      <w:r w:rsidRPr="00753409" w:rsidR="00753409">
        <w:rPr>
          <w:rFonts w:ascii="Palatino Linotype" w:hAnsi="Palatino Linotype" w:eastAsia="Palatino Linotype" w:cs="Times New Roman"/>
          <w:color w:val="000000" w:themeColor="text1"/>
        </w:rPr>
        <w:t>389</w:t>
      </w:r>
      <w:r w:rsidR="00845C74">
        <w:rPr>
          <w:rFonts w:ascii="Palatino Linotype" w:hAnsi="Palatino Linotype" w:eastAsia="Palatino Linotype" w:cs="Times New Roman"/>
          <w:color w:val="000000" w:themeColor="text1"/>
        </w:rPr>
        <w:t>M</w:t>
      </w:r>
      <w:r w:rsidRPr="00753409" w:rsidR="00753409">
        <w:rPr>
          <w:rFonts w:ascii="Palatino Linotype" w:hAnsi="Palatino Linotype" w:eastAsia="Palatino Linotype" w:cs="Times New Roman"/>
          <w:color w:val="000000" w:themeColor="text1"/>
        </w:rPr>
        <w:t xml:space="preserve"> for </w:t>
      </w:r>
      <w:r w:rsidR="00053872">
        <w:rPr>
          <w:rFonts w:ascii="Palatino Linotype" w:hAnsi="Palatino Linotype"/>
          <w:color w:val="000000" w:themeColor="text1"/>
        </w:rPr>
        <w:t>SoCalGas</w:t>
      </w:r>
      <w:r w:rsidRPr="00753409" w:rsidR="00753409">
        <w:rPr>
          <w:rFonts w:ascii="Palatino Linotype" w:hAnsi="Palatino Linotype" w:eastAsia="Palatino Linotype" w:cs="Times New Roman"/>
          <w:color w:val="000000" w:themeColor="text1"/>
        </w:rPr>
        <w:t>’ 2025 Plan</w:t>
      </w:r>
      <w:r w:rsidR="008A4280">
        <w:rPr>
          <w:rFonts w:ascii="Palatino Linotype" w:hAnsi="Palatino Linotype" w:eastAsia="Palatino Linotype" w:cs="Times New Roman"/>
          <w:color w:val="000000" w:themeColor="text1"/>
        </w:rPr>
        <w:t xml:space="preserve">; </w:t>
      </w:r>
      <w:r w:rsidRPr="00493DE1" w:rsidR="008A4280">
        <w:rPr>
          <w:rFonts w:ascii="Palatino Linotype" w:hAnsi="Palatino Linotype" w:eastAsia="Times New Roman" w:cs="Times New Roman"/>
          <w:color w:val="000000" w:themeColor="text1"/>
          <w:kern w:val="0"/>
          <w14:ligatures w14:val="none"/>
        </w:rPr>
        <w:t>$18</w:t>
      </w:r>
      <w:r w:rsidR="00845C74">
        <w:rPr>
          <w:rFonts w:ascii="Palatino Linotype" w:hAnsi="Palatino Linotype" w:eastAsia="Times New Roman" w:cs="Times New Roman"/>
          <w:color w:val="000000" w:themeColor="text1"/>
          <w:kern w:val="0"/>
          <w14:ligatures w14:val="none"/>
        </w:rPr>
        <w:t>.</w:t>
      </w:r>
      <w:r w:rsidRPr="00493DE1" w:rsidR="008A4280">
        <w:rPr>
          <w:rFonts w:ascii="Palatino Linotype" w:hAnsi="Palatino Linotype" w:eastAsia="Times New Roman" w:cs="Times New Roman"/>
          <w:color w:val="000000" w:themeColor="text1"/>
          <w:kern w:val="0"/>
          <w14:ligatures w14:val="none"/>
        </w:rPr>
        <w:t>94</w:t>
      </w:r>
      <w:r w:rsidR="00845C74">
        <w:rPr>
          <w:rFonts w:ascii="Palatino Linotype" w:hAnsi="Palatino Linotype" w:eastAsia="Times New Roman" w:cs="Times New Roman"/>
          <w:color w:val="000000" w:themeColor="text1"/>
          <w:kern w:val="0"/>
          <w14:ligatures w14:val="none"/>
        </w:rPr>
        <w:t>M</w:t>
      </w:r>
      <w:r w:rsidRPr="00493DE1" w:rsidR="008A4280">
        <w:rPr>
          <w:rFonts w:ascii="Palatino Linotype" w:hAnsi="Palatino Linotype" w:eastAsia="Times New Roman" w:cs="Times New Roman"/>
          <w:color w:val="000000" w:themeColor="text1"/>
          <w:kern w:val="0"/>
          <w14:ligatures w14:val="none"/>
        </w:rPr>
        <w:t xml:space="preserve"> </w:t>
      </w:r>
      <w:r w:rsidR="008A4280">
        <w:rPr>
          <w:rFonts w:ascii="Palatino Linotype" w:hAnsi="Palatino Linotype" w:eastAsia="Times New Roman" w:cs="Times New Roman"/>
          <w:kern w:val="0"/>
          <w14:ligatures w14:val="none"/>
        </w:rPr>
        <w:t xml:space="preserve">for </w:t>
      </w:r>
      <w:r w:rsidR="008A4280">
        <w:rPr>
          <w:rFonts w:ascii="Palatino Linotype" w:hAnsi="Palatino Linotype"/>
          <w:color w:val="000000" w:themeColor="text1"/>
        </w:rPr>
        <w:t>SoCalGas</w:t>
      </w:r>
      <w:r w:rsidRPr="00753409" w:rsidR="008A4280">
        <w:rPr>
          <w:rFonts w:ascii="Palatino Linotype" w:hAnsi="Palatino Linotype" w:eastAsia="Palatino Linotype" w:cs="Times New Roman"/>
          <w:color w:val="000000" w:themeColor="text1"/>
        </w:rPr>
        <w:t xml:space="preserve">’ </w:t>
      </w:r>
      <w:r w:rsidR="008A4280">
        <w:rPr>
          <w:rFonts w:ascii="Palatino Linotype" w:hAnsi="Palatino Linotype" w:eastAsia="Times New Roman" w:cs="Times New Roman"/>
          <w:kern w:val="0"/>
          <w14:ligatures w14:val="none"/>
        </w:rPr>
        <w:t xml:space="preserve">2026 Plan; and </w:t>
      </w:r>
      <w:r w:rsidRPr="00493DE1" w:rsidR="008A4280">
        <w:rPr>
          <w:rFonts w:ascii="Palatino Linotype" w:hAnsi="Palatino Linotype" w:eastAsia="Times New Roman" w:cs="Times New Roman"/>
          <w:color w:val="000000" w:themeColor="text1"/>
          <w:kern w:val="0"/>
          <w14:ligatures w14:val="none"/>
        </w:rPr>
        <w:t>$19</w:t>
      </w:r>
      <w:r w:rsidR="00845C74">
        <w:rPr>
          <w:rFonts w:ascii="Palatino Linotype" w:hAnsi="Palatino Linotype" w:eastAsia="Times New Roman" w:cs="Times New Roman"/>
          <w:color w:val="000000" w:themeColor="text1"/>
          <w:kern w:val="0"/>
          <w14:ligatures w14:val="none"/>
        </w:rPr>
        <w:t>.</w:t>
      </w:r>
      <w:r w:rsidRPr="00493DE1" w:rsidR="008A4280">
        <w:rPr>
          <w:rFonts w:ascii="Palatino Linotype" w:hAnsi="Palatino Linotype" w:eastAsia="Times New Roman" w:cs="Times New Roman"/>
          <w:color w:val="000000" w:themeColor="text1"/>
          <w:kern w:val="0"/>
          <w14:ligatures w14:val="none"/>
        </w:rPr>
        <w:t>508</w:t>
      </w:r>
      <w:r w:rsidR="00845C74">
        <w:rPr>
          <w:rFonts w:ascii="Palatino Linotype" w:hAnsi="Palatino Linotype" w:eastAsia="Times New Roman" w:cs="Times New Roman"/>
          <w:color w:val="000000" w:themeColor="text1"/>
          <w:kern w:val="0"/>
          <w14:ligatures w14:val="none"/>
        </w:rPr>
        <w:t xml:space="preserve">M </w:t>
      </w:r>
      <w:r w:rsidR="008A4280">
        <w:rPr>
          <w:rFonts w:ascii="Palatino Linotype" w:hAnsi="Palatino Linotype" w:eastAsia="Times New Roman" w:cs="Times New Roman"/>
          <w:kern w:val="0"/>
          <w14:ligatures w14:val="none"/>
        </w:rPr>
        <w:t xml:space="preserve">for </w:t>
      </w:r>
      <w:r w:rsidR="008A4280">
        <w:rPr>
          <w:rFonts w:ascii="Palatino Linotype" w:hAnsi="Palatino Linotype"/>
          <w:color w:val="000000" w:themeColor="text1"/>
        </w:rPr>
        <w:t>SoCalGas</w:t>
      </w:r>
      <w:r w:rsidRPr="00753409" w:rsidR="008A4280">
        <w:rPr>
          <w:rFonts w:ascii="Palatino Linotype" w:hAnsi="Palatino Linotype" w:eastAsia="Palatino Linotype" w:cs="Times New Roman"/>
          <w:color w:val="000000" w:themeColor="text1"/>
        </w:rPr>
        <w:t xml:space="preserve">’ </w:t>
      </w:r>
      <w:r w:rsidR="008A4280">
        <w:rPr>
          <w:rFonts w:ascii="Palatino Linotype" w:hAnsi="Palatino Linotype" w:eastAsia="Times New Roman" w:cs="Times New Roman"/>
          <w:kern w:val="0"/>
          <w14:ligatures w14:val="none"/>
        </w:rPr>
        <w:t>2027 Plan</w:t>
      </w:r>
      <w:r w:rsidRPr="00753409" w:rsidR="00753409">
        <w:rPr>
          <w:rFonts w:ascii="Palatino Linotype" w:hAnsi="Palatino Linotype" w:eastAsia="Palatino Linotype" w:cs="Times New Roman"/>
          <w:color w:val="000000" w:themeColor="text1"/>
        </w:rPr>
        <w:t xml:space="preserve"> using the </w:t>
      </w:r>
      <w:r w:rsidR="009C34DB">
        <w:rPr>
          <w:rFonts w:ascii="Palatino Linotype" w:hAnsi="Palatino Linotype" w:eastAsia="Palatino Linotype" w:cs="Times New Roman"/>
          <w:color w:val="000000" w:themeColor="text1"/>
        </w:rPr>
        <w:br/>
      </w:r>
      <w:r w:rsidRPr="7C129E91" w:rsidR="003D3EEF">
        <w:rPr>
          <w:rFonts w:ascii="Palatino Linotype" w:hAnsi="Palatino Linotype" w:eastAsia="Palatino Linotype" w:cs="Times New Roman"/>
          <w:color w:val="000000" w:themeColor="text1"/>
        </w:rPr>
        <w:t xml:space="preserve">3% </w:t>
      </w:r>
      <w:r w:rsidRPr="7C129E91" w:rsidR="0096512D">
        <w:rPr>
          <w:rFonts w:ascii="Palatino Linotype" w:hAnsi="Palatino Linotype" w:eastAsia="Palatino Linotype" w:cs="Times New Roman"/>
          <w:color w:val="000000" w:themeColor="text1"/>
        </w:rPr>
        <w:t>escalation factor</w:t>
      </w:r>
      <w:r w:rsidRPr="7C129E91" w:rsidR="00753409">
        <w:rPr>
          <w:rFonts w:ascii="Palatino Linotype" w:hAnsi="Palatino Linotype" w:eastAsia="Palatino Linotype" w:cs="Times New Roman"/>
          <w:color w:val="000000" w:themeColor="text1"/>
        </w:rPr>
        <w:t>.</w:t>
      </w:r>
      <w:r w:rsidRPr="7C129E91" w:rsidR="003D3EEF">
        <w:rPr>
          <w:rStyle w:val="FootnoteReference"/>
          <w:rFonts w:ascii="Palatino Linotype" w:hAnsi="Palatino Linotype" w:eastAsia="Palatino Linotype" w:cs="Times New Roman"/>
          <w:color w:val="000000" w:themeColor="text1"/>
        </w:rPr>
        <w:footnoteReference w:id="14"/>
      </w:r>
    </w:p>
    <w:p w:rsidRPr="009625E1" w:rsidR="009625E1" w:rsidP="00845C74" w:rsidRDefault="009625E1" w14:paraId="536A63D1" w14:textId="77777777">
      <w:pPr>
        <w:spacing w:line="276" w:lineRule="auto"/>
        <w:rPr>
          <w:rFonts w:ascii="Palatino Linotype" w:hAnsi="Palatino Linotype" w:eastAsia="Palatino Linotype" w:cs="Times New Roman"/>
          <w:b/>
          <w:bCs/>
          <w:color w:val="000000" w:themeColor="text1"/>
          <w:kern w:val="0"/>
          <w14:ligatures w14:val="none"/>
        </w:rPr>
      </w:pPr>
    </w:p>
    <w:p w:rsidRPr="009625E1" w:rsidR="009625E1" w:rsidP="009A5EBF" w:rsidRDefault="009625E1" w14:paraId="6EFD0D75" w14:textId="1958C4E1">
      <w:pPr>
        <w:keepNext/>
        <w:spacing w:after="0" w:line="276" w:lineRule="auto"/>
        <w:rPr>
          <w:rFonts w:ascii="Palatino Linotype" w:hAnsi="Palatino Linotype" w:eastAsia="Palatino Linotype" w:cs="Times New Roman"/>
          <w:b/>
          <w:bCs/>
          <w:color w:val="000000" w:themeColor="text1"/>
          <w:kern w:val="0"/>
          <w14:ligatures w14:val="none"/>
        </w:rPr>
      </w:pPr>
      <w:r w:rsidRPr="009625E1">
        <w:rPr>
          <w:rFonts w:ascii="Palatino Linotype" w:hAnsi="Palatino Linotype" w:eastAsia="Palatino Linotype" w:cs="Times New Roman"/>
          <w:b/>
          <w:bCs/>
          <w:color w:val="000000" w:themeColor="text1"/>
          <w:kern w:val="0"/>
          <w14:ligatures w14:val="none"/>
        </w:rPr>
        <w:lastRenderedPageBreak/>
        <w:t xml:space="preserve">CPUC Gas RD&amp;D Program Requirements from Prior </w:t>
      </w:r>
      <w:r>
        <w:rPr>
          <w:rFonts w:ascii="Palatino Linotype" w:hAnsi="Palatino Linotype" w:eastAsia="Palatino Linotype" w:cs="Times New Roman"/>
          <w:b/>
          <w:bCs/>
          <w:color w:val="000000" w:themeColor="text1"/>
          <w:kern w:val="0"/>
          <w14:ligatures w14:val="none"/>
        </w:rPr>
        <w:t xml:space="preserve">SoCalGas </w:t>
      </w:r>
      <w:r w:rsidRPr="009625E1">
        <w:rPr>
          <w:rFonts w:ascii="Palatino Linotype" w:hAnsi="Palatino Linotype" w:eastAsia="Palatino Linotype" w:cs="Times New Roman"/>
          <w:b/>
          <w:bCs/>
          <w:color w:val="000000" w:themeColor="text1"/>
          <w:kern w:val="0"/>
          <w14:ligatures w14:val="none"/>
        </w:rPr>
        <w:t xml:space="preserve">Resolutions </w:t>
      </w:r>
    </w:p>
    <w:p w:rsidRPr="008A4280" w:rsidR="009625E1" w:rsidP="009A5EBF" w:rsidRDefault="009625E1" w14:paraId="3637039C" w14:textId="025E70EA">
      <w:pPr>
        <w:keepNext/>
        <w:spacing w:before="240" w:after="0" w:line="276" w:lineRule="auto"/>
        <w:rPr>
          <w:rFonts w:ascii="Palatino Linotype" w:hAnsi="Palatino Linotype" w:eastAsia="Palatino Linotype" w:cs="Times New Roman"/>
          <w:color w:val="000000" w:themeColor="text1"/>
          <w:kern w:val="0"/>
          <w14:ligatures w14:val="none"/>
        </w:rPr>
      </w:pPr>
      <w:r w:rsidRPr="009625E1">
        <w:rPr>
          <w:rFonts w:ascii="Palatino Linotype" w:hAnsi="Palatino Linotype" w:eastAsia="Palatino Linotype" w:cs="Times New Roman"/>
          <w:color w:val="000000" w:themeColor="text1"/>
          <w:kern w:val="0"/>
          <w14:ligatures w14:val="none"/>
        </w:rPr>
        <w:t>The Commission has also set requirements for</w:t>
      </w:r>
      <w:r>
        <w:rPr>
          <w:rFonts w:ascii="Palatino Linotype" w:hAnsi="Palatino Linotype" w:eastAsia="Palatino Linotype" w:cs="Times New Roman"/>
          <w:color w:val="000000" w:themeColor="text1"/>
          <w:kern w:val="0"/>
          <w14:ligatures w14:val="none"/>
        </w:rPr>
        <w:t xml:space="preserve"> SoCalGas’</w:t>
      </w:r>
      <w:r w:rsidRPr="009625E1">
        <w:rPr>
          <w:rFonts w:ascii="Palatino Linotype" w:hAnsi="Palatino Linotype" w:eastAsia="Palatino Linotype" w:cs="Times New Roman"/>
          <w:color w:val="000000" w:themeColor="text1"/>
          <w:kern w:val="0"/>
          <w14:ligatures w14:val="none"/>
        </w:rPr>
        <w:t xml:space="preserve"> Gas RD&amp;D Program via resolutions approving </w:t>
      </w:r>
      <w:r>
        <w:rPr>
          <w:rFonts w:ascii="Palatino Linotype" w:hAnsi="Palatino Linotype" w:eastAsia="Palatino Linotype" w:cs="Times New Roman"/>
          <w:color w:val="000000" w:themeColor="text1"/>
          <w:kern w:val="0"/>
          <w14:ligatures w14:val="none"/>
        </w:rPr>
        <w:t>SoCalGas’</w:t>
      </w:r>
      <w:r w:rsidRPr="009625E1">
        <w:rPr>
          <w:rFonts w:ascii="Palatino Linotype" w:hAnsi="Palatino Linotype" w:eastAsia="Palatino Linotype" w:cs="Times New Roman"/>
          <w:color w:val="000000" w:themeColor="text1"/>
          <w:kern w:val="0"/>
          <w14:ligatures w14:val="none"/>
        </w:rPr>
        <w:t xml:space="preserve"> Gas RD&amp;D Plans</w:t>
      </w:r>
      <w:r>
        <w:rPr>
          <w:rFonts w:ascii="Palatino Linotype" w:hAnsi="Palatino Linotype" w:eastAsia="Palatino Linotype" w:cs="Times New Roman"/>
          <w:color w:val="000000" w:themeColor="text1"/>
          <w:kern w:val="0"/>
          <w14:ligatures w14:val="none"/>
        </w:rPr>
        <w:t>.</w:t>
      </w:r>
      <w:r w:rsidRPr="009625E1">
        <w:rPr>
          <w:rFonts w:ascii="Palatino Linotype" w:hAnsi="Palatino Linotype" w:eastAsia="Palatino Linotype" w:cs="Times New Roman"/>
          <w:color w:val="000000" w:themeColor="text1"/>
          <w:kern w:val="0"/>
          <w14:ligatures w14:val="none"/>
        </w:rPr>
        <w:t xml:space="preserve"> All applicable</w:t>
      </w:r>
      <w:r w:rsidR="00DD277B">
        <w:rPr>
          <w:rFonts w:ascii="Palatino Linotype" w:hAnsi="Palatino Linotype" w:eastAsia="Palatino Linotype" w:cs="Times New Roman"/>
          <w:color w:val="000000" w:themeColor="text1"/>
          <w:kern w:val="0"/>
          <w14:ligatures w14:val="none"/>
        </w:rPr>
        <w:t xml:space="preserve"> </w:t>
      </w:r>
      <w:r w:rsidRPr="00DD277B" w:rsidR="00DD277B">
        <w:rPr>
          <w:rFonts w:ascii="Palatino Linotype" w:hAnsi="Palatino Linotype" w:eastAsia="Palatino Linotype" w:cs="Times New Roman"/>
          <w:color w:val="000000" w:themeColor="text1"/>
          <w:kern w:val="0"/>
          <w14:ligatures w14:val="none"/>
        </w:rPr>
        <w:t xml:space="preserve">Commission requirements set via resolution were rigorously reviewed to identify key orders for the Commission’s evaluation of </w:t>
      </w:r>
      <w:r w:rsidR="00DD277B">
        <w:rPr>
          <w:rFonts w:ascii="Palatino Linotype" w:hAnsi="Palatino Linotype" w:eastAsia="Palatino Linotype" w:cs="Times New Roman"/>
          <w:color w:val="000000" w:themeColor="text1"/>
          <w:kern w:val="0"/>
          <w14:ligatures w14:val="none"/>
        </w:rPr>
        <w:t>SoCalGas’</w:t>
      </w:r>
      <w:r w:rsidRPr="00DD277B" w:rsidR="00DD277B">
        <w:rPr>
          <w:rFonts w:ascii="Palatino Linotype" w:hAnsi="Palatino Linotype" w:eastAsia="Palatino Linotype" w:cs="Times New Roman"/>
          <w:color w:val="000000" w:themeColor="text1"/>
          <w:kern w:val="0"/>
          <w14:ligatures w14:val="none"/>
        </w:rPr>
        <w:t xml:space="preserve"> proposed Plans, detailed in Appendix </w:t>
      </w:r>
      <w:r w:rsidR="001B1BF1">
        <w:rPr>
          <w:rFonts w:ascii="Palatino Linotype" w:hAnsi="Palatino Linotype" w:eastAsia="Palatino Linotype" w:cs="Times New Roman"/>
          <w:color w:val="000000" w:themeColor="text1"/>
          <w:kern w:val="0"/>
          <w14:ligatures w14:val="none"/>
        </w:rPr>
        <w:t>B</w:t>
      </w:r>
      <w:r w:rsidRPr="00DD277B" w:rsidR="00DD277B">
        <w:rPr>
          <w:rFonts w:ascii="Palatino Linotype" w:hAnsi="Palatino Linotype" w:eastAsia="Palatino Linotype" w:cs="Times New Roman"/>
          <w:color w:val="000000" w:themeColor="text1"/>
          <w:kern w:val="0"/>
          <w14:ligatures w14:val="none"/>
        </w:rPr>
        <w:t>: Key CPUC Gas RD&amp;D Resolution Requirements.</w:t>
      </w:r>
    </w:p>
    <w:p w:rsidR="00082CF9" w:rsidP="001B1BF1" w:rsidRDefault="00082CF9" w14:paraId="21E0C84C" w14:textId="77777777">
      <w:pPr>
        <w:spacing w:line="276" w:lineRule="auto"/>
        <w:rPr>
          <w:rFonts w:ascii="Palatino Linotype" w:hAnsi="Palatino Linotype" w:eastAsia="Palatino Linotype" w:cs="Times New Roman"/>
          <w:b/>
          <w:color w:val="000000" w:themeColor="text1"/>
          <w:kern w:val="0"/>
          <w14:ligatures w14:val="none"/>
        </w:rPr>
      </w:pPr>
    </w:p>
    <w:p w:rsidRPr="00403D2A" w:rsidR="00650AE2" w:rsidP="00403D2A" w:rsidRDefault="00650AE2" w14:paraId="53504D5F" w14:textId="386719D2">
      <w:pPr>
        <w:spacing w:line="276" w:lineRule="auto"/>
        <w:rPr>
          <w:rFonts w:ascii="Palatino Linotype" w:hAnsi="Palatino Linotype" w:eastAsia="Palatino Linotype" w:cs="Times New Roman"/>
          <w:b/>
          <w:color w:val="000000" w:themeColor="text1"/>
          <w:kern w:val="0"/>
          <w14:ligatures w14:val="none"/>
        </w:rPr>
      </w:pPr>
      <w:r w:rsidRPr="00650AE2">
        <w:rPr>
          <w:rFonts w:ascii="Palatino Linotype" w:hAnsi="Palatino Linotype" w:eastAsia="Palatino Linotype" w:cs="Times New Roman"/>
          <w:b/>
          <w:color w:val="000000" w:themeColor="text1"/>
          <w:kern w:val="0"/>
          <w14:ligatures w14:val="none"/>
        </w:rPr>
        <w:t>Summary of</w:t>
      </w:r>
      <w:r w:rsidRPr="004C5DEA">
        <w:rPr>
          <w:rFonts w:ascii="Palatino Linotype" w:hAnsi="Palatino Linotype" w:eastAsia="Palatino Linotype" w:cs="Times New Roman"/>
          <w:b/>
          <w:color w:val="000000" w:themeColor="text1"/>
          <w:kern w:val="0"/>
          <w14:ligatures w14:val="none"/>
        </w:rPr>
        <w:t xml:space="preserve"> </w:t>
      </w:r>
      <w:r w:rsidRPr="004C5DEA" w:rsidR="004C5DEA">
        <w:rPr>
          <w:rFonts w:ascii="Palatino Linotype" w:hAnsi="Palatino Linotype"/>
          <w:b/>
          <w:color w:val="000000" w:themeColor="text1"/>
        </w:rPr>
        <w:t>SoCalGas</w:t>
      </w:r>
      <w:r w:rsidRPr="004C5DEA">
        <w:rPr>
          <w:rFonts w:ascii="Palatino Linotype" w:hAnsi="Palatino Linotype" w:eastAsia="Palatino Linotype" w:cs="Times New Roman"/>
          <w:b/>
          <w:color w:val="000000" w:themeColor="text1"/>
          <w:kern w:val="0"/>
          <w14:ligatures w14:val="none"/>
        </w:rPr>
        <w:t>’</w:t>
      </w:r>
      <w:r w:rsidRPr="00650AE2">
        <w:rPr>
          <w:rFonts w:ascii="Palatino Linotype" w:hAnsi="Palatino Linotype" w:eastAsia="Palatino Linotype" w:cs="Times New Roman"/>
          <w:b/>
          <w:color w:val="000000" w:themeColor="text1"/>
          <w:kern w:val="0"/>
          <w14:ligatures w14:val="none"/>
        </w:rPr>
        <w:t xml:space="preserve"> Advice Letter</w:t>
      </w:r>
      <w:r w:rsidR="003D4D9E">
        <w:rPr>
          <w:rFonts w:ascii="Palatino Linotype" w:hAnsi="Palatino Linotype" w:eastAsia="Palatino Linotype" w:cs="Times New Roman"/>
          <w:b/>
          <w:color w:val="000000" w:themeColor="text1"/>
          <w:kern w:val="0"/>
          <w14:ligatures w14:val="none"/>
        </w:rPr>
        <w:t xml:space="preserve"> 649</w:t>
      </w:r>
      <w:r w:rsidR="00403D2A">
        <w:rPr>
          <w:rFonts w:ascii="Palatino Linotype" w:hAnsi="Palatino Linotype" w:eastAsia="Palatino Linotype" w:cs="Times New Roman"/>
          <w:b/>
          <w:color w:val="000000" w:themeColor="text1"/>
          <w:kern w:val="0"/>
          <w14:ligatures w14:val="none"/>
        </w:rPr>
        <w:t>5</w:t>
      </w:r>
      <w:r w:rsidR="003D4D9E">
        <w:rPr>
          <w:rFonts w:ascii="Palatino Linotype" w:hAnsi="Palatino Linotype" w:eastAsia="Palatino Linotype" w:cs="Times New Roman"/>
          <w:b/>
          <w:color w:val="000000" w:themeColor="text1"/>
          <w:kern w:val="0"/>
          <w14:ligatures w14:val="none"/>
        </w:rPr>
        <w:t>-</w:t>
      </w:r>
      <w:r w:rsidRPr="00650AE2">
        <w:rPr>
          <w:rFonts w:ascii="Palatino Linotype" w:hAnsi="Palatino Linotype" w:eastAsia="Palatino Linotype" w:cs="Times New Roman"/>
          <w:b/>
          <w:color w:val="000000" w:themeColor="text1"/>
          <w:kern w:val="0"/>
          <w14:ligatures w14:val="none"/>
        </w:rPr>
        <w:t>G</w:t>
      </w:r>
      <w:r w:rsidR="003D4D9E">
        <w:rPr>
          <w:rFonts w:ascii="Palatino Linotype" w:hAnsi="Palatino Linotype" w:eastAsia="Palatino Linotype" w:cs="Times New Roman"/>
          <w:b/>
          <w:color w:val="000000" w:themeColor="text1"/>
          <w:kern w:val="0"/>
          <w14:ligatures w14:val="none"/>
        </w:rPr>
        <w:t>-A</w:t>
      </w:r>
      <w:r w:rsidRPr="00650AE2">
        <w:rPr>
          <w:rFonts w:ascii="Palatino Linotype" w:hAnsi="Palatino Linotype" w:eastAsia="Palatino Linotype" w:cs="Times New Roman"/>
          <w:b/>
          <w:color w:val="000000" w:themeColor="text1"/>
          <w:kern w:val="0"/>
          <w14:ligatures w14:val="none"/>
        </w:rPr>
        <w:t>: 2024 Gas RD&amp;D Plan</w:t>
      </w:r>
    </w:p>
    <w:p w:rsidR="008756FF" w:rsidP="00F97978" w:rsidRDefault="004C5DEA" w14:paraId="585E823E" w14:textId="177B6C2E">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008756FF">
        <w:rPr>
          <w:rFonts w:ascii="Palatino Linotype" w:hAnsi="Palatino Linotype" w:eastAsia="Palatino Linotype" w:cs="Times New Roman"/>
          <w:bCs/>
          <w:color w:val="000000" w:themeColor="text1"/>
          <w:kern w:val="0"/>
          <w14:ligatures w14:val="none"/>
        </w:rPr>
        <w:t xml:space="preserve"> submitted its proposed 2024 Plan via Tier 3 AL </w:t>
      </w:r>
      <w:r w:rsidR="00A155F8">
        <w:rPr>
          <w:rFonts w:ascii="Palatino Linotype" w:hAnsi="Palatino Linotype" w:eastAsia="Palatino Linotype" w:cs="Times New Roman"/>
          <w:bCs/>
          <w:color w:val="000000" w:themeColor="text1"/>
          <w:kern w:val="0"/>
          <w14:ligatures w14:val="none"/>
        </w:rPr>
        <w:t>6182-G</w:t>
      </w:r>
      <w:r w:rsidR="008756FF">
        <w:rPr>
          <w:rFonts w:ascii="Palatino Linotype" w:hAnsi="Palatino Linotype" w:eastAsia="Palatino Linotype" w:cs="Times New Roman"/>
          <w:bCs/>
          <w:color w:val="000000" w:themeColor="text1"/>
          <w:kern w:val="0"/>
          <w14:ligatures w14:val="none"/>
        </w:rPr>
        <w:t xml:space="preserve"> on </w:t>
      </w:r>
      <w:r w:rsidR="00A155F8">
        <w:rPr>
          <w:rFonts w:ascii="Palatino Linotype" w:hAnsi="Palatino Linotype" w:eastAsia="Palatino Linotype" w:cs="Times New Roman"/>
          <w:bCs/>
          <w:color w:val="000000" w:themeColor="text1"/>
          <w:kern w:val="0"/>
          <w14:ligatures w14:val="none"/>
        </w:rPr>
        <w:t>August 30, 2023</w:t>
      </w:r>
      <w:r w:rsidR="008756FF">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008756FF">
        <w:rPr>
          <w:rFonts w:ascii="Palatino Linotype" w:hAnsi="Palatino Linotype" w:eastAsia="Palatino Linotype" w:cs="Times New Roman"/>
          <w:bCs/>
          <w:color w:val="000000" w:themeColor="text1"/>
          <w:kern w:val="0"/>
          <w14:ligatures w14:val="none"/>
        </w:rPr>
        <w:t xml:space="preserve"> later withdrew AL </w:t>
      </w:r>
      <w:r w:rsidR="00A155F8">
        <w:rPr>
          <w:rFonts w:ascii="Palatino Linotype" w:hAnsi="Palatino Linotype" w:eastAsia="Palatino Linotype" w:cs="Times New Roman"/>
          <w:bCs/>
          <w:color w:val="000000" w:themeColor="text1"/>
          <w:kern w:val="0"/>
          <w14:ligatures w14:val="none"/>
        </w:rPr>
        <w:t>6182-G</w:t>
      </w:r>
      <w:r w:rsidR="008756FF">
        <w:rPr>
          <w:rFonts w:ascii="Palatino Linotype" w:hAnsi="Palatino Linotype" w:eastAsia="Palatino Linotype" w:cs="Times New Roman"/>
          <w:bCs/>
          <w:color w:val="000000" w:themeColor="text1"/>
          <w:kern w:val="0"/>
          <w14:ligatures w14:val="none"/>
        </w:rPr>
        <w:t xml:space="preserve"> on </w:t>
      </w:r>
      <w:r w:rsidR="00A155F8">
        <w:rPr>
          <w:rFonts w:ascii="Palatino Linotype" w:hAnsi="Palatino Linotype" w:eastAsia="Palatino Linotype" w:cs="Times New Roman"/>
          <w:bCs/>
          <w:color w:val="000000" w:themeColor="text1"/>
          <w:kern w:val="0"/>
          <w14:ligatures w14:val="none"/>
        </w:rPr>
        <w:t>May 24, 2024</w:t>
      </w:r>
      <w:r w:rsidR="008756FF">
        <w:rPr>
          <w:rFonts w:ascii="Palatino Linotype" w:hAnsi="Palatino Linotype" w:eastAsia="Palatino Linotype" w:cs="Times New Roman"/>
          <w:bCs/>
          <w:color w:val="000000" w:themeColor="text1"/>
          <w:kern w:val="0"/>
          <w14:ligatures w14:val="none"/>
        </w:rPr>
        <w:t xml:space="preserve">, after consultation with CPUC staff. </w:t>
      </w:r>
      <w:r>
        <w:rPr>
          <w:rFonts w:ascii="Palatino Linotype" w:hAnsi="Palatino Linotype"/>
          <w:color w:val="000000" w:themeColor="text1"/>
        </w:rPr>
        <w:t>SoCalGas</w:t>
      </w:r>
      <w:r w:rsidR="008756FF">
        <w:rPr>
          <w:rFonts w:ascii="Palatino Linotype" w:hAnsi="Palatino Linotype" w:eastAsia="Palatino Linotype" w:cs="Times New Roman"/>
          <w:bCs/>
          <w:color w:val="000000" w:themeColor="text1"/>
          <w:kern w:val="0"/>
          <w14:ligatures w14:val="none"/>
        </w:rPr>
        <w:t xml:space="preserve"> resubmitted its 2024 Plan (AL 6495-G) on </w:t>
      </w:r>
      <w:r w:rsidR="00A82818">
        <w:rPr>
          <w:rFonts w:ascii="Palatino Linotype" w:hAnsi="Palatino Linotype" w:eastAsia="Palatino Linotype" w:cs="Times New Roman"/>
          <w:bCs/>
          <w:color w:val="000000" w:themeColor="text1"/>
          <w:kern w:val="0"/>
          <w14:ligatures w14:val="none"/>
        </w:rPr>
        <w:t>June 27, 2025</w:t>
      </w:r>
      <w:r w:rsidR="008756FF">
        <w:rPr>
          <w:rFonts w:ascii="Palatino Linotype" w:hAnsi="Palatino Linotype" w:eastAsia="Palatino Linotype" w:cs="Times New Roman"/>
          <w:bCs/>
          <w:color w:val="000000" w:themeColor="text1"/>
          <w:kern w:val="0"/>
          <w14:ligatures w14:val="none"/>
        </w:rPr>
        <w:t xml:space="preserve">, and subsequently submitted its modified 2024 Plan via supplemental AL 6495-G-A on </w:t>
      </w:r>
      <w:r w:rsidR="009A5EBF">
        <w:rPr>
          <w:rFonts w:ascii="Palatino Linotype" w:hAnsi="Palatino Linotype" w:eastAsia="Palatino Linotype" w:cs="Times New Roman"/>
          <w:bCs/>
          <w:color w:val="000000" w:themeColor="text1"/>
          <w:kern w:val="0"/>
          <w14:ligatures w14:val="none"/>
        </w:rPr>
        <w:br/>
      </w:r>
      <w:r w:rsidR="008756FF">
        <w:rPr>
          <w:rFonts w:ascii="Palatino Linotype" w:hAnsi="Palatino Linotype" w:eastAsia="Palatino Linotype" w:cs="Times New Roman"/>
          <w:bCs/>
          <w:color w:val="000000" w:themeColor="text1"/>
          <w:kern w:val="0"/>
          <w14:ligatures w14:val="none"/>
        </w:rPr>
        <w:t>April 3, 2026.</w:t>
      </w:r>
    </w:p>
    <w:p w:rsidR="008756FF" w:rsidP="00F97978" w:rsidRDefault="008756FF" w14:paraId="170992F5" w14:textId="77777777">
      <w:pPr>
        <w:spacing w:after="0" w:line="276" w:lineRule="auto"/>
        <w:rPr>
          <w:rFonts w:ascii="Palatino Linotype" w:hAnsi="Palatino Linotype" w:eastAsia="Palatino Linotype" w:cs="Times New Roman"/>
          <w:bCs/>
          <w:color w:val="000000" w:themeColor="text1"/>
          <w:kern w:val="0"/>
          <w14:ligatures w14:val="none"/>
        </w:rPr>
      </w:pPr>
    </w:p>
    <w:p w:rsidR="008F07F4" w:rsidP="00403D2A" w:rsidRDefault="008F07F4" w14:paraId="658B439F" w14:textId="74F1D828">
      <w:pPr>
        <w:spacing w:line="276" w:lineRule="auto"/>
        <w:rPr>
          <w:rFonts w:ascii="Palatino Linotype" w:hAnsi="Palatino Linotype" w:eastAsia="Palatino Linotype" w:cs="Times New Roman"/>
          <w:bCs/>
          <w:color w:val="000000" w:themeColor="text1"/>
          <w:kern w:val="0"/>
          <w:u w:val="single"/>
          <w14:ligatures w14:val="none"/>
        </w:rPr>
      </w:pPr>
      <w:r>
        <w:rPr>
          <w:rFonts w:ascii="Palatino Linotype" w:hAnsi="Palatino Linotype" w:eastAsia="Palatino Linotype" w:cs="Times New Roman"/>
          <w:bCs/>
          <w:color w:val="000000" w:themeColor="text1"/>
          <w:kern w:val="0"/>
          <w:u w:val="single"/>
          <w14:ligatures w14:val="none"/>
        </w:rPr>
        <w:t>Summary of</w:t>
      </w:r>
      <w:r w:rsidR="00D97301">
        <w:rPr>
          <w:rFonts w:ascii="Palatino Linotype" w:hAnsi="Palatino Linotype" w:eastAsia="Palatino Linotype" w:cs="Times New Roman"/>
          <w:bCs/>
          <w:color w:val="000000" w:themeColor="text1"/>
          <w:kern w:val="0"/>
          <w:u w:val="single"/>
          <w14:ligatures w14:val="none"/>
        </w:rPr>
        <w:t xml:space="preserve"> Modifications to </w:t>
      </w:r>
      <w:r w:rsidRPr="004C5DEA" w:rsidR="004C5DEA">
        <w:rPr>
          <w:rFonts w:ascii="Palatino Linotype" w:hAnsi="Palatino Linotype"/>
          <w:color w:val="000000" w:themeColor="text1"/>
          <w:u w:val="single"/>
        </w:rPr>
        <w:t>SoCalGas</w:t>
      </w:r>
      <w:r w:rsidR="00D97301">
        <w:rPr>
          <w:rFonts w:ascii="Palatino Linotype" w:hAnsi="Palatino Linotype" w:eastAsia="Palatino Linotype" w:cs="Times New Roman"/>
          <w:bCs/>
          <w:color w:val="000000" w:themeColor="text1"/>
          <w:kern w:val="0"/>
          <w:u w:val="single"/>
          <w14:ligatures w14:val="none"/>
        </w:rPr>
        <w:t>’ 2024 Gas RD&amp;D Plan via Supplement</w:t>
      </w:r>
      <w:r w:rsidR="00EE3288">
        <w:rPr>
          <w:rFonts w:ascii="Palatino Linotype" w:hAnsi="Palatino Linotype" w:eastAsia="Palatino Linotype" w:cs="Times New Roman"/>
          <w:bCs/>
          <w:color w:val="000000" w:themeColor="text1"/>
          <w:kern w:val="0"/>
          <w:u w:val="single"/>
          <w14:ligatures w14:val="none"/>
        </w:rPr>
        <w:t xml:space="preserve"> </w:t>
      </w:r>
      <w:r w:rsidR="009A5EBF">
        <w:rPr>
          <w:rFonts w:ascii="Palatino Linotype" w:hAnsi="Palatino Linotype" w:eastAsia="Palatino Linotype" w:cs="Times New Roman"/>
          <w:bCs/>
          <w:color w:val="000000" w:themeColor="text1"/>
          <w:kern w:val="0"/>
          <w:u w:val="single"/>
          <w14:ligatures w14:val="none"/>
        </w:rPr>
        <w:br/>
      </w:r>
      <w:r w:rsidR="00EE3288">
        <w:rPr>
          <w:rFonts w:ascii="Palatino Linotype" w:hAnsi="Palatino Linotype" w:eastAsia="Palatino Linotype" w:cs="Times New Roman"/>
          <w:bCs/>
          <w:color w:val="000000" w:themeColor="text1"/>
          <w:kern w:val="0"/>
          <w:u w:val="single"/>
          <w14:ligatures w14:val="none"/>
        </w:rPr>
        <w:t>(AL 6495-G-A)</w:t>
      </w:r>
    </w:p>
    <w:p w:rsidRPr="00082B4C" w:rsidR="00C15850" w:rsidP="00C15850" w:rsidRDefault="004C5DEA" w14:paraId="31AD5589" w14:textId="600F52E2">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082B4C" w:rsidR="00C15850">
        <w:rPr>
          <w:rFonts w:ascii="Palatino Linotype" w:hAnsi="Palatino Linotype" w:eastAsia="Palatino Linotype" w:cs="Times New Roman"/>
          <w:bCs/>
          <w:color w:val="000000" w:themeColor="text1"/>
          <w:kern w:val="0"/>
          <w14:ligatures w14:val="none"/>
        </w:rPr>
        <w:t xml:space="preserve"> states that “[i]n alignment with Energy Division staff guidance and the recommendations above, SoCalGas has updated the Research Plan as follows:</w:t>
      </w:r>
    </w:p>
    <w:p w:rsidRPr="00082B4C" w:rsidR="00C15850" w:rsidP="00477204" w:rsidRDefault="00C15850" w14:paraId="61B72B3B" w14:textId="7923DDA6">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082B4C">
        <w:rPr>
          <w:rFonts w:ascii="Palatino Linotype" w:hAnsi="Palatino Linotype" w:eastAsia="Palatino Linotype" w:cs="Times New Roman"/>
          <w:bCs/>
          <w:color w:val="000000" w:themeColor="text1"/>
          <w:kern w:val="0"/>
          <w14:ligatures w14:val="none"/>
        </w:rPr>
        <w:t>Budget tables for each theme and initiative were updated, reallocating funds from hydrogen-related areas into other initiatives.</w:t>
      </w:r>
    </w:p>
    <w:p w:rsidRPr="00082B4C" w:rsidR="00C15850" w:rsidP="00477204" w:rsidRDefault="00C15850" w14:paraId="4B0254B1" w14:textId="77777777">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082B4C">
        <w:rPr>
          <w:rFonts w:ascii="Palatino Linotype" w:hAnsi="Palatino Linotype" w:eastAsia="Palatino Linotype" w:cs="Times New Roman"/>
          <w:bCs/>
          <w:color w:val="000000" w:themeColor="text1"/>
          <w:kern w:val="0"/>
          <w14:ligatures w14:val="none"/>
        </w:rPr>
        <w:t>New charts have been added to each initiative showing progression from completed and active projects to potential research areas that address identified gaps.</w:t>
      </w:r>
    </w:p>
    <w:p w:rsidRPr="00082B4C" w:rsidR="00C15850" w:rsidP="00477204" w:rsidRDefault="00C15850" w14:paraId="3377F779" w14:textId="77777777">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082B4C">
        <w:rPr>
          <w:rFonts w:ascii="Palatino Linotype" w:hAnsi="Palatino Linotype" w:eastAsia="Palatino Linotype" w:cs="Times New Roman"/>
          <w:bCs/>
          <w:color w:val="000000" w:themeColor="text1"/>
          <w:kern w:val="0"/>
          <w14:ligatures w14:val="none"/>
        </w:rPr>
        <w:t>Additional information was provided to describe how program administration funds cover consortia dues.</w:t>
      </w:r>
    </w:p>
    <w:p w:rsidRPr="00082B4C" w:rsidR="00C15850" w:rsidP="00477204" w:rsidRDefault="00C15850" w14:paraId="1C5DA963" w14:textId="77777777">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082B4C">
        <w:rPr>
          <w:rFonts w:ascii="Palatino Linotype" w:hAnsi="Palatino Linotype" w:eastAsia="Palatino Linotype" w:cs="Times New Roman"/>
          <w:bCs/>
          <w:color w:val="000000" w:themeColor="text1"/>
          <w:kern w:val="0"/>
          <w14:ligatures w14:val="none"/>
        </w:rPr>
        <w:t>Selected metrics from the EPIC Uniform Impacts Analysis Framework have been incorporated where applicable to the 2024 initiatives, that will be further developed to demonstrate anticipated benefits for ratepayers.</w:t>
      </w:r>
    </w:p>
    <w:p w:rsidRPr="00082B4C" w:rsidR="00D97301" w:rsidP="00477204" w:rsidRDefault="00C15850" w14:paraId="4F1DB5F7" w14:textId="4EBEE2DC">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082B4C">
        <w:rPr>
          <w:rFonts w:ascii="Palatino Linotype" w:hAnsi="Palatino Linotype" w:eastAsia="Palatino Linotype" w:cs="Times New Roman"/>
          <w:bCs/>
          <w:color w:val="000000" w:themeColor="text1"/>
          <w:kern w:val="0"/>
          <w14:ligatures w14:val="none"/>
        </w:rPr>
        <w:t>The project details spreadsheet has been updated and now includes citations for all required fields.”</w:t>
      </w:r>
      <w:r w:rsidRPr="00082B4C">
        <w:rPr>
          <w:rStyle w:val="FootnoteReference"/>
          <w:rFonts w:ascii="Palatino Linotype" w:hAnsi="Palatino Linotype" w:eastAsia="Palatino Linotype" w:cs="Times New Roman"/>
          <w:bCs/>
          <w:color w:val="000000" w:themeColor="text1"/>
          <w:kern w:val="0"/>
          <w14:ligatures w14:val="none"/>
        </w:rPr>
        <w:footnoteReference w:id="15"/>
      </w:r>
    </w:p>
    <w:p w:rsidR="00D97301" w:rsidP="00082B4C" w:rsidRDefault="00D97301" w14:paraId="79728AAF" w14:textId="77777777">
      <w:pPr>
        <w:spacing w:after="0" w:line="276" w:lineRule="auto"/>
        <w:rPr>
          <w:rFonts w:ascii="Palatino Linotype" w:hAnsi="Palatino Linotype" w:eastAsia="Palatino Linotype" w:cs="Times New Roman"/>
          <w:bCs/>
          <w:color w:val="000000" w:themeColor="text1"/>
          <w:kern w:val="0"/>
          <w:u w:val="single"/>
          <w14:ligatures w14:val="none"/>
        </w:rPr>
      </w:pPr>
    </w:p>
    <w:p w:rsidRPr="00403D2A" w:rsidR="006F2CA0" w:rsidP="00403D2A" w:rsidRDefault="004C5DEA" w14:paraId="569C4144" w14:textId="59C47784">
      <w:pPr>
        <w:spacing w:line="276" w:lineRule="auto"/>
        <w:rPr>
          <w:rFonts w:ascii="Palatino Linotype" w:hAnsi="Palatino Linotype" w:eastAsia="Palatino Linotype" w:cs="Times New Roman"/>
          <w:bCs/>
          <w:color w:val="000000" w:themeColor="text1"/>
          <w:kern w:val="0"/>
          <w:u w:val="single"/>
          <w14:ligatures w14:val="none"/>
        </w:rPr>
      </w:pPr>
      <w:r w:rsidRPr="004C5DEA">
        <w:rPr>
          <w:rFonts w:ascii="Palatino Linotype" w:hAnsi="Palatino Linotype"/>
          <w:color w:val="000000" w:themeColor="text1"/>
          <w:u w:val="single"/>
        </w:rPr>
        <w:t>SoCalGas</w:t>
      </w:r>
      <w:r w:rsidRPr="00403D2A" w:rsidR="002434F3">
        <w:rPr>
          <w:rFonts w:ascii="Palatino Linotype" w:hAnsi="Palatino Linotype" w:eastAsia="Palatino Linotype" w:cs="Times New Roman"/>
          <w:bCs/>
          <w:color w:val="000000" w:themeColor="text1"/>
          <w:kern w:val="0"/>
          <w:u w:val="single"/>
          <w14:ligatures w14:val="none"/>
        </w:rPr>
        <w:t xml:space="preserve">’ Request for 2024 Gas RD&amp;D Plan </w:t>
      </w:r>
    </w:p>
    <w:p w:rsidR="00BE17A9" w:rsidP="00F97978" w:rsidRDefault="004C5DEA" w14:paraId="7AD177F2" w14:textId="7CFE6040">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00BE17A9">
        <w:rPr>
          <w:rFonts w:ascii="Palatino Linotype" w:hAnsi="Palatino Linotype" w:eastAsia="Palatino Linotype" w:cs="Times New Roman"/>
          <w:bCs/>
          <w:color w:val="000000" w:themeColor="text1"/>
          <w:kern w:val="0"/>
          <w14:ligatures w14:val="none"/>
        </w:rPr>
        <w:t xml:space="preserve"> </w:t>
      </w:r>
      <w:r w:rsidRPr="00BE17A9" w:rsidR="00BE17A9">
        <w:rPr>
          <w:rFonts w:ascii="Palatino Linotype" w:hAnsi="Palatino Linotype" w:eastAsia="Palatino Linotype" w:cs="Times New Roman"/>
          <w:bCs/>
          <w:color w:val="000000" w:themeColor="text1"/>
          <w:kern w:val="0"/>
          <w14:ligatures w14:val="none"/>
        </w:rPr>
        <w:t xml:space="preserve">seeks approval of its proposed Gas RD&amp;D Investment Plan for 2024 in </w:t>
      </w:r>
      <w:r w:rsidR="009A5EBF">
        <w:rPr>
          <w:rFonts w:ascii="Palatino Linotype" w:hAnsi="Palatino Linotype" w:eastAsia="Palatino Linotype" w:cs="Times New Roman"/>
          <w:bCs/>
          <w:color w:val="000000" w:themeColor="text1"/>
          <w:kern w:val="0"/>
          <w14:ligatures w14:val="none"/>
        </w:rPr>
        <w:br/>
      </w:r>
      <w:r w:rsidRPr="00BE17A9" w:rsidR="00BE17A9">
        <w:rPr>
          <w:rFonts w:ascii="Palatino Linotype" w:hAnsi="Palatino Linotype" w:eastAsia="Palatino Linotype" w:cs="Times New Roman"/>
          <w:bCs/>
          <w:color w:val="000000" w:themeColor="text1"/>
          <w:kern w:val="0"/>
          <w14:ligatures w14:val="none"/>
        </w:rPr>
        <w:t xml:space="preserve">AL </w:t>
      </w:r>
      <w:r w:rsidR="00BE17A9">
        <w:rPr>
          <w:rFonts w:ascii="Palatino Linotype" w:hAnsi="Palatino Linotype" w:eastAsia="Palatino Linotype" w:cs="Times New Roman"/>
          <w:bCs/>
          <w:color w:val="000000" w:themeColor="text1"/>
          <w:kern w:val="0"/>
          <w14:ligatures w14:val="none"/>
        </w:rPr>
        <w:t>6495-G-A</w:t>
      </w:r>
      <w:r w:rsidRPr="00BE17A9" w:rsidR="00BE17A9">
        <w:rPr>
          <w:rFonts w:ascii="Palatino Linotype" w:hAnsi="Palatino Linotype" w:eastAsia="Palatino Linotype" w:cs="Times New Roman"/>
          <w:bCs/>
          <w:color w:val="000000" w:themeColor="text1"/>
          <w:kern w:val="0"/>
          <w14:ligatures w14:val="none"/>
        </w:rPr>
        <w:t>, authorized by D.2</w:t>
      </w:r>
      <w:r w:rsidR="00BE17A9">
        <w:rPr>
          <w:rFonts w:ascii="Palatino Linotype" w:hAnsi="Palatino Linotype" w:eastAsia="Palatino Linotype" w:cs="Times New Roman"/>
          <w:bCs/>
          <w:color w:val="000000" w:themeColor="text1"/>
          <w:kern w:val="0"/>
          <w14:ligatures w14:val="none"/>
        </w:rPr>
        <w:t>4-12-074</w:t>
      </w:r>
      <w:r w:rsidRPr="00BE17A9" w:rsidR="00BE17A9">
        <w:rPr>
          <w:rFonts w:ascii="Palatino Linotype" w:hAnsi="Palatino Linotype" w:eastAsia="Palatino Linotype" w:cs="Times New Roman"/>
          <w:bCs/>
          <w:color w:val="000000" w:themeColor="text1"/>
          <w:kern w:val="0"/>
          <w14:ligatures w14:val="none"/>
        </w:rPr>
        <w:t xml:space="preserve"> at $</w:t>
      </w:r>
      <w:r w:rsidR="00BE17A9">
        <w:rPr>
          <w:rFonts w:ascii="Palatino Linotype" w:hAnsi="Palatino Linotype" w:eastAsia="Palatino Linotype" w:cs="Times New Roman"/>
          <w:bCs/>
          <w:color w:val="000000" w:themeColor="text1"/>
          <w:kern w:val="0"/>
          <w14:ligatures w14:val="none"/>
        </w:rPr>
        <w:t>17</w:t>
      </w:r>
      <w:r w:rsidR="00044F31">
        <w:rPr>
          <w:rFonts w:ascii="Palatino Linotype" w:hAnsi="Palatino Linotype" w:eastAsia="Palatino Linotype" w:cs="Times New Roman"/>
          <w:bCs/>
          <w:color w:val="000000" w:themeColor="text1"/>
          <w:kern w:val="0"/>
          <w14:ligatures w14:val="none"/>
        </w:rPr>
        <w:t>,</w:t>
      </w:r>
      <w:r w:rsidR="00BE17A9">
        <w:rPr>
          <w:rFonts w:ascii="Palatino Linotype" w:hAnsi="Palatino Linotype" w:eastAsia="Palatino Linotype" w:cs="Times New Roman"/>
          <w:bCs/>
          <w:color w:val="000000" w:themeColor="text1"/>
          <w:kern w:val="0"/>
          <w14:ligatures w14:val="none"/>
        </w:rPr>
        <w:t>853</w:t>
      </w:r>
      <w:r w:rsidR="00044F31">
        <w:rPr>
          <w:rFonts w:ascii="Palatino Linotype" w:hAnsi="Palatino Linotype" w:eastAsia="Palatino Linotype" w:cs="Times New Roman"/>
          <w:bCs/>
          <w:color w:val="000000" w:themeColor="text1"/>
          <w:kern w:val="0"/>
          <w14:ligatures w14:val="none"/>
        </w:rPr>
        <w:t>,000</w:t>
      </w:r>
      <w:r w:rsidRPr="6F1FEA14" w:rsidR="00044F31">
        <w:rPr>
          <w:rFonts w:ascii="Palatino Linotype" w:hAnsi="Palatino Linotype" w:eastAsia="Palatino Linotype" w:cs="Times New Roman"/>
          <w:color w:val="000000" w:themeColor="text1"/>
        </w:rPr>
        <w:t xml:space="preserve"> </w:t>
      </w:r>
      <w:r w:rsidRPr="6F1FEA14" w:rsidR="00BE17A9">
        <w:rPr>
          <w:rFonts w:ascii="Palatino Linotype" w:hAnsi="Palatino Linotype" w:eastAsia="Palatino Linotype" w:cs="Times New Roman"/>
          <w:color w:val="000000" w:themeColor="text1"/>
        </w:rPr>
        <w:t>with the following proposed budget allocations to various Initiatives:</w:t>
      </w:r>
      <w:r w:rsidRPr="6F1FEA14" w:rsidR="00BE17A9">
        <w:rPr>
          <w:rStyle w:val="FootnoteReference"/>
          <w:rFonts w:ascii="Palatino Linotype" w:hAnsi="Palatino Linotype" w:eastAsia="Palatino Linotype" w:cs="Times New Roman"/>
          <w:b/>
          <w:color w:val="000000" w:themeColor="text1"/>
        </w:rPr>
        <w:footnoteReference w:id="16"/>
      </w:r>
    </w:p>
    <w:p w:rsidR="002434F3" w:rsidP="00F97978" w:rsidRDefault="002434F3" w14:paraId="3871C7EB" w14:textId="77777777">
      <w:pPr>
        <w:spacing w:after="0" w:line="276" w:lineRule="auto"/>
        <w:rPr>
          <w:rFonts w:ascii="Palatino Linotype" w:hAnsi="Palatino Linotype" w:eastAsia="Palatino Linotype" w:cs="Times New Roman"/>
          <w:bCs/>
          <w:color w:val="000000" w:themeColor="text1"/>
          <w:kern w:val="0"/>
          <w14:ligatures w14:val="none"/>
        </w:rPr>
      </w:pPr>
    </w:p>
    <w:tbl>
      <w:tblPr>
        <w:tblStyle w:val="TableGrid"/>
        <w:tblW w:w="0" w:type="auto"/>
        <w:tblLook w:val="04A0" w:firstRow="1" w:lastRow="0" w:firstColumn="1" w:lastColumn="0" w:noHBand="0" w:noVBand="1"/>
      </w:tblPr>
      <w:tblGrid>
        <w:gridCol w:w="2381"/>
        <w:gridCol w:w="4994"/>
        <w:gridCol w:w="540"/>
        <w:gridCol w:w="1435"/>
      </w:tblGrid>
      <w:tr w:rsidRPr="00C736B0" w:rsidR="00001F50" w:rsidTr="008B0199" w14:paraId="3F9AC520" w14:textId="77777777">
        <w:tc>
          <w:tcPr>
            <w:tcW w:w="9350" w:type="dxa"/>
            <w:gridSpan w:val="4"/>
          </w:tcPr>
          <w:p w:rsidRPr="00C736B0" w:rsidR="00001F50" w:rsidP="00705C5B" w:rsidRDefault="00001F50" w14:paraId="44BDC77C" w14:textId="7A85AAFD">
            <w:pPr>
              <w:keepNext/>
              <w:spacing w:line="276" w:lineRule="auto"/>
              <w:jc w:val="center"/>
              <w:outlineLvl w:val="0"/>
              <w:rPr>
                <w:rFonts w:ascii="Palatino Linotype" w:hAnsi="Palatino Linotype" w:eastAsia="Palatino Linotype" w:cs="Times New Roman"/>
                <w:b/>
                <w:color w:val="000000" w:themeColor="text1"/>
                <w:sz w:val="22"/>
                <w:szCs w:val="22"/>
              </w:rPr>
            </w:pPr>
            <w:r>
              <w:rPr>
                <w:rFonts w:ascii="Palatino Linotype" w:hAnsi="Palatino Linotype" w:eastAsia="Palatino Linotype" w:cs="Times New Roman"/>
                <w:b/>
                <w:color w:val="000000" w:themeColor="text1"/>
              </w:rPr>
              <w:t>T</w:t>
            </w:r>
            <w:r w:rsidRPr="00BE17A9">
              <w:rPr>
                <w:rFonts w:ascii="Palatino Linotype" w:hAnsi="Palatino Linotype" w:eastAsia="Palatino Linotype" w:cs="Times New Roman"/>
                <w:b/>
                <w:color w:val="000000" w:themeColor="text1"/>
              </w:rPr>
              <w:t>able 2:</w:t>
            </w:r>
            <w:r>
              <w:t xml:space="preserve"> </w:t>
            </w:r>
            <w:r w:rsidRPr="00C736B0">
              <w:rPr>
                <w:rFonts w:ascii="Palatino Linotype" w:hAnsi="Palatino Linotype" w:eastAsia="Palatino Linotype" w:cs="Times New Roman"/>
                <w:b/>
                <w:color w:val="000000" w:themeColor="text1"/>
              </w:rPr>
              <w:t>2024 Gas RD&amp;D Plan Proposed Budget</w:t>
            </w:r>
          </w:p>
        </w:tc>
      </w:tr>
      <w:tr w:rsidRPr="00C736B0" w:rsidR="00001F50" w:rsidTr="00917EF7" w14:paraId="268E9760" w14:textId="77777777">
        <w:tc>
          <w:tcPr>
            <w:tcW w:w="2381" w:type="dxa"/>
          </w:tcPr>
          <w:p w:rsidRPr="00C736B0" w:rsidR="00001F50" w:rsidP="00705C5B" w:rsidRDefault="00001F50" w14:paraId="2F8937BD"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Investment Theme</w:t>
            </w:r>
          </w:p>
        </w:tc>
        <w:tc>
          <w:tcPr>
            <w:tcW w:w="4994" w:type="dxa"/>
          </w:tcPr>
          <w:p w:rsidRPr="00C736B0" w:rsidR="00001F50" w:rsidP="00705C5B" w:rsidRDefault="00001F50" w14:paraId="3E2C22B4"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Initiative Title</w:t>
            </w:r>
          </w:p>
        </w:tc>
        <w:tc>
          <w:tcPr>
            <w:tcW w:w="1975" w:type="dxa"/>
            <w:gridSpan w:val="2"/>
            <w:tcBorders>
              <w:bottom w:val="single" w:color="auto" w:sz="4" w:space="0"/>
            </w:tcBorders>
          </w:tcPr>
          <w:p w:rsidRPr="00C736B0" w:rsidR="00001F50" w:rsidP="00705C5B" w:rsidRDefault="00001F50" w14:paraId="3E3C3373" w14:textId="77B0A751">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2024 Plan Budget</w:t>
            </w:r>
          </w:p>
        </w:tc>
      </w:tr>
      <w:tr w:rsidRPr="00C736B0" w:rsidR="00001F50" w:rsidTr="00917EF7" w14:paraId="5E8AD9DC" w14:textId="77777777">
        <w:tc>
          <w:tcPr>
            <w:tcW w:w="2381" w:type="dxa"/>
            <w:vMerge w:val="restart"/>
          </w:tcPr>
          <w:p w:rsidRPr="00C736B0" w:rsidR="00001F50" w:rsidP="00705C5B" w:rsidRDefault="00001F50" w14:paraId="4751F41F"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Gas</w:t>
            </w:r>
            <w:r w:rsidRPr="00C736B0">
              <w:rPr>
                <w:rFonts w:ascii="Palatino Linotype" w:hAnsi="Palatino Linotype" w:eastAsia="Palatino Linotype" w:cs="Times New Roman"/>
                <w:bCs w:val="0"/>
                <w:color w:val="000000" w:themeColor="text1"/>
                <w:sz w:val="22"/>
                <w:szCs w:val="22"/>
              </w:rPr>
              <w:t xml:space="preserve"> System Integrity </w:t>
            </w:r>
          </w:p>
        </w:tc>
        <w:tc>
          <w:tcPr>
            <w:tcW w:w="4994" w:type="dxa"/>
            <w:tcBorders>
              <w:right w:val="single" w:color="auto" w:sz="4" w:space="0"/>
            </w:tcBorders>
          </w:tcPr>
          <w:p w:rsidRPr="00C736B0" w:rsidR="00001F50" w:rsidP="00705C5B" w:rsidRDefault="00001F50" w14:paraId="2E0F3695"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Environmental &amp; Safety</w:t>
            </w:r>
          </w:p>
        </w:tc>
        <w:tc>
          <w:tcPr>
            <w:tcW w:w="540" w:type="dxa"/>
            <w:tcBorders>
              <w:top w:val="single" w:color="auto" w:sz="4" w:space="0"/>
              <w:left w:val="single" w:color="auto" w:sz="4" w:space="0"/>
              <w:bottom w:val="single" w:color="auto" w:sz="4" w:space="0"/>
              <w:right w:val="nil"/>
            </w:tcBorders>
          </w:tcPr>
          <w:p w:rsidRPr="00C736B0" w:rsidR="00001F50" w:rsidP="00705C5B" w:rsidRDefault="00001F50" w14:paraId="57E9A086" w14:textId="1E13EA09">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18ADCC7F" w14:textId="43235717">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1,305,784</w:t>
            </w:r>
          </w:p>
        </w:tc>
      </w:tr>
      <w:tr w:rsidRPr="00C736B0" w:rsidR="00001F50" w:rsidTr="00917EF7" w14:paraId="6D67BE17" w14:textId="77777777">
        <w:tc>
          <w:tcPr>
            <w:tcW w:w="2381" w:type="dxa"/>
            <w:vMerge/>
          </w:tcPr>
          <w:p w:rsidRPr="00C736B0" w:rsidR="00001F50" w:rsidP="00001F50" w:rsidRDefault="00001F50" w14:paraId="0FD4AFD5"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6D6A28DC"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Operations Technology</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22BC8228" w14:textId="4BF4B1C2">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1CAE7FC1" w14:textId="129B649D">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769,852</w:t>
            </w:r>
          </w:p>
        </w:tc>
      </w:tr>
      <w:tr w:rsidRPr="00C736B0" w:rsidR="00001F50" w:rsidTr="00917EF7" w14:paraId="468F469E" w14:textId="77777777">
        <w:tc>
          <w:tcPr>
            <w:tcW w:w="2381" w:type="dxa"/>
            <w:vMerge/>
          </w:tcPr>
          <w:p w:rsidRPr="00C736B0" w:rsidR="00001F50" w:rsidP="00001F50" w:rsidRDefault="00001F50" w14:paraId="3FF4744A"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201DFF25"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System Design &amp; Materials</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7DCC73C8" w14:textId="055442AF">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39D1F420" w14:textId="4A4C9783">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2,001,614</w:t>
            </w:r>
          </w:p>
        </w:tc>
      </w:tr>
      <w:tr w:rsidRPr="00C736B0" w:rsidR="00001F50" w:rsidTr="00917EF7" w14:paraId="785E3D4A" w14:textId="77777777">
        <w:tc>
          <w:tcPr>
            <w:tcW w:w="2381" w:type="dxa"/>
            <w:vMerge/>
          </w:tcPr>
          <w:p w:rsidRPr="00C736B0" w:rsidR="00001F50" w:rsidP="00001F50" w:rsidRDefault="00001F50" w14:paraId="0194F0D2"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49E75E76"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System Inspection &amp; Monitoring</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307B5208" w14:textId="0C8EF9EF">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4C1FBB38" w14:textId="48A2BFBB">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2,259,555</w:t>
            </w:r>
          </w:p>
        </w:tc>
      </w:tr>
      <w:tr w:rsidRPr="00C736B0" w:rsidR="00001F50" w:rsidTr="00917EF7" w14:paraId="6E20654B" w14:textId="77777777">
        <w:tc>
          <w:tcPr>
            <w:tcW w:w="2381" w:type="dxa"/>
            <w:vMerge/>
          </w:tcPr>
          <w:p w:rsidRPr="00C736B0" w:rsidR="00001F50" w:rsidP="00001F50" w:rsidRDefault="00001F50" w14:paraId="526239F1"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1D55A859" w14:textId="24A6B204">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RNG</w:t>
            </w:r>
            <w:r w:rsidR="00502079">
              <w:rPr>
                <w:rStyle w:val="FootnoteReference"/>
                <w:rFonts w:ascii="Palatino Linotype" w:hAnsi="Palatino Linotype" w:eastAsia="Palatino Linotype" w:cs="Times New Roman"/>
                <w:color w:val="000000" w:themeColor="text1"/>
                <w:sz w:val="22"/>
                <w:szCs w:val="22"/>
              </w:rPr>
              <w:footnoteReference w:id="17"/>
            </w:r>
            <w:r w:rsidRPr="00C736B0">
              <w:rPr>
                <w:rFonts w:ascii="Palatino Linotype" w:hAnsi="Palatino Linotype" w:eastAsia="Palatino Linotype" w:cs="Times New Roman"/>
                <w:color w:val="000000" w:themeColor="text1"/>
                <w:sz w:val="22"/>
                <w:szCs w:val="22"/>
              </w:rPr>
              <w:t xml:space="preserve"> Infrastructure Optimization</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34FC7CD1" w14:textId="64170ECD">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7A2810FB" w14:textId="0DC627AB">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2,090,927</w:t>
            </w:r>
          </w:p>
        </w:tc>
      </w:tr>
      <w:tr w:rsidRPr="00C736B0" w:rsidR="00001F50" w:rsidTr="00917EF7" w14:paraId="606B2FA2" w14:textId="77777777">
        <w:tc>
          <w:tcPr>
            <w:tcW w:w="2381" w:type="dxa"/>
            <w:vMerge/>
          </w:tcPr>
          <w:p w:rsidRPr="00C736B0" w:rsidR="00001F50" w:rsidP="00001F50" w:rsidRDefault="00001F50" w14:paraId="6BDACEAD"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4437BA5C"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Gas &amp; Energy Storage</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214AFDB6" w14:textId="639FCB87">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28F52A79" w14:textId="4B9D2C26">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bCs w:val="0"/>
                <w:color w:val="000000" w:themeColor="text1"/>
                <w:sz w:val="22"/>
                <w:szCs w:val="22"/>
              </w:rPr>
              <w:t>400,000</w:t>
            </w:r>
          </w:p>
        </w:tc>
      </w:tr>
      <w:tr w:rsidRPr="00C736B0" w:rsidR="00001F50" w:rsidTr="00917EF7" w14:paraId="587FD581" w14:textId="77777777">
        <w:tc>
          <w:tcPr>
            <w:tcW w:w="2381" w:type="dxa"/>
            <w:vMerge w:val="restart"/>
          </w:tcPr>
          <w:p w:rsidRPr="00C736B0" w:rsidR="00001F50" w:rsidP="00001F50" w:rsidRDefault="00001F50" w14:paraId="0B0F453A"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bCs w:val="0"/>
                <w:color w:val="000000" w:themeColor="text1"/>
                <w:sz w:val="22"/>
                <w:szCs w:val="22"/>
              </w:rPr>
              <w:t>Decarbonization</w:t>
            </w:r>
          </w:p>
        </w:tc>
        <w:tc>
          <w:tcPr>
            <w:tcW w:w="4994" w:type="dxa"/>
            <w:tcBorders>
              <w:right w:val="single" w:color="auto" w:sz="4" w:space="0"/>
            </w:tcBorders>
          </w:tcPr>
          <w:p w:rsidRPr="00C736B0" w:rsidR="00001F50" w:rsidP="00001F50" w:rsidRDefault="00001F50" w14:paraId="63DF80B5"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Low-Carbon Fuels Technologies</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378F9C7A" w14:textId="044FD9F5">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10599A44" w14:textId="47DAC073">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2,237,934</w:t>
            </w:r>
          </w:p>
        </w:tc>
      </w:tr>
      <w:tr w:rsidRPr="00C736B0" w:rsidR="00001F50" w:rsidTr="00917EF7" w14:paraId="40F719EF" w14:textId="77777777">
        <w:tc>
          <w:tcPr>
            <w:tcW w:w="2381" w:type="dxa"/>
            <w:vMerge/>
          </w:tcPr>
          <w:p w:rsidRPr="00C736B0" w:rsidR="00001F50" w:rsidP="00001F50" w:rsidRDefault="00001F50" w14:paraId="3B2E958C"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052BF3FB"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Low-Carbon Fuels Integration</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488B9830" w14:textId="06692C4D">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023B88AE" w14:textId="1F044730">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150,000</w:t>
            </w:r>
          </w:p>
        </w:tc>
      </w:tr>
      <w:tr w:rsidRPr="00C736B0" w:rsidR="00001F50" w:rsidTr="00917EF7" w14:paraId="5E522F9B" w14:textId="77777777">
        <w:tc>
          <w:tcPr>
            <w:tcW w:w="2381" w:type="dxa"/>
            <w:vMerge/>
          </w:tcPr>
          <w:p w:rsidRPr="00C736B0" w:rsidR="00001F50" w:rsidP="00001F50" w:rsidRDefault="00001F50" w14:paraId="62AAAB6F"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487FA85A"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Energy Reliability &amp; Resilience</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1DA3AC8B" w14:textId="0BD54477">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646A552B" w14:textId="61888F05">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2,289,414</w:t>
            </w:r>
          </w:p>
        </w:tc>
      </w:tr>
      <w:tr w:rsidRPr="00C736B0" w:rsidR="00001F50" w:rsidTr="00917EF7" w14:paraId="21716A89" w14:textId="77777777">
        <w:tc>
          <w:tcPr>
            <w:tcW w:w="2381" w:type="dxa"/>
            <w:vMerge/>
          </w:tcPr>
          <w:p w:rsidRPr="00C736B0" w:rsidR="00001F50" w:rsidP="00001F50" w:rsidRDefault="00001F50" w14:paraId="11F9371C"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94" w:type="dxa"/>
            <w:tcBorders>
              <w:right w:val="single" w:color="auto" w:sz="4" w:space="0"/>
            </w:tcBorders>
          </w:tcPr>
          <w:p w:rsidRPr="00C736B0" w:rsidR="00001F50" w:rsidP="00001F50" w:rsidRDefault="00001F50" w14:paraId="20C3F2EF"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Building &amp; Facility Systems</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28D9B3DA" w14:textId="0FB04F71">
            <w:pPr>
              <w:keepNext/>
              <w:spacing w:line="276" w:lineRule="auto"/>
              <w:outlineLvl w:val="0"/>
              <w:rPr>
                <w:rFonts w:ascii="Palatino Linotype" w:hAnsi="Palatino Linotype" w:eastAsia="Palatino Linotype" w:cs="Times New Roman"/>
                <w:color w:val="000000" w:themeColor="text1"/>
                <w:sz w:val="22"/>
                <w:szCs w:val="22"/>
              </w:rPr>
            </w:pPr>
            <w:r w:rsidRPr="00A05BFA">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184B726C" w14:textId="37066C52">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1,757,682</w:t>
            </w:r>
          </w:p>
        </w:tc>
      </w:tr>
      <w:tr w:rsidRPr="00C736B0" w:rsidR="00001F50" w:rsidTr="00917EF7" w14:paraId="63F89BDB" w14:textId="77777777">
        <w:tc>
          <w:tcPr>
            <w:tcW w:w="7375" w:type="dxa"/>
            <w:gridSpan w:val="2"/>
            <w:tcBorders>
              <w:right w:val="single" w:color="auto" w:sz="4" w:space="0"/>
            </w:tcBorders>
          </w:tcPr>
          <w:p w:rsidRPr="00C736B0" w:rsidR="00001F50" w:rsidP="00001F50" w:rsidRDefault="00001F50" w14:paraId="1710C052"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bCs w:val="0"/>
                <w:color w:val="000000" w:themeColor="text1"/>
                <w:sz w:val="22"/>
                <w:szCs w:val="22"/>
              </w:rPr>
              <w:t xml:space="preserve">Gas RD&amp;D </w:t>
            </w:r>
            <w:r w:rsidRPr="00C736B0">
              <w:rPr>
                <w:rFonts w:ascii="Palatino Linotype" w:hAnsi="Palatino Linotype" w:eastAsia="Palatino Linotype" w:cs="Times New Roman"/>
                <w:color w:val="000000" w:themeColor="text1"/>
                <w:sz w:val="22"/>
                <w:szCs w:val="22"/>
              </w:rPr>
              <w:t xml:space="preserve">Database Development </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5FC7E911" w14:textId="1B45E46B">
            <w:pPr>
              <w:keepNext/>
              <w:spacing w:line="276" w:lineRule="auto"/>
              <w:outlineLvl w:val="0"/>
              <w:rPr>
                <w:rFonts w:ascii="Palatino Linotype" w:hAnsi="Palatino Linotype" w:eastAsia="Palatino Linotype" w:cs="Times New Roman"/>
                <w:color w:val="000000" w:themeColor="text1"/>
                <w:sz w:val="22"/>
                <w:szCs w:val="22"/>
              </w:rPr>
            </w:pPr>
            <w:r w:rsidRPr="00D7167F">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78AEC641" w14:textId="4D509950">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129,938</w:t>
            </w:r>
          </w:p>
        </w:tc>
      </w:tr>
      <w:tr w:rsidRPr="00C736B0" w:rsidR="00001F50" w:rsidTr="00917EF7" w14:paraId="1794F747" w14:textId="77777777">
        <w:tc>
          <w:tcPr>
            <w:tcW w:w="7375" w:type="dxa"/>
            <w:gridSpan w:val="2"/>
            <w:tcBorders>
              <w:right w:val="single" w:color="auto" w:sz="4" w:space="0"/>
            </w:tcBorders>
          </w:tcPr>
          <w:p w:rsidRPr="00C736B0" w:rsidR="00001F50" w:rsidP="00001F50" w:rsidRDefault="00001F50" w14:paraId="537FFE4B"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bCs w:val="0"/>
                <w:color w:val="000000" w:themeColor="text1"/>
                <w:sz w:val="22"/>
                <w:szCs w:val="22"/>
              </w:rPr>
              <w:t xml:space="preserve">Program Evaluation </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5A4FC9C1" w14:textId="63588FF8">
            <w:pPr>
              <w:keepNext/>
              <w:spacing w:line="276" w:lineRule="auto"/>
              <w:outlineLvl w:val="0"/>
              <w:rPr>
                <w:rFonts w:ascii="Palatino Linotype" w:hAnsi="Palatino Linotype" w:eastAsia="Palatino Linotype" w:cs="Times New Roman"/>
                <w:color w:val="000000" w:themeColor="text1"/>
                <w:sz w:val="22"/>
                <w:szCs w:val="22"/>
              </w:rPr>
            </w:pPr>
            <w:r w:rsidRPr="00D7167F">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704B6600" w14:textId="2EC57FE9">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675,000</w:t>
            </w:r>
          </w:p>
        </w:tc>
      </w:tr>
      <w:tr w:rsidRPr="00C736B0" w:rsidR="00001F50" w:rsidTr="00917EF7" w14:paraId="6119AE75" w14:textId="77777777">
        <w:tc>
          <w:tcPr>
            <w:tcW w:w="7375" w:type="dxa"/>
            <w:gridSpan w:val="2"/>
            <w:tcBorders>
              <w:right w:val="single" w:color="auto" w:sz="4" w:space="0"/>
            </w:tcBorders>
          </w:tcPr>
          <w:p w:rsidRPr="00C736B0" w:rsidR="00001F50" w:rsidP="00001F50" w:rsidRDefault="00001F50" w14:paraId="48DF1A36"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Program Administration</w:t>
            </w:r>
          </w:p>
        </w:tc>
        <w:tc>
          <w:tcPr>
            <w:tcW w:w="540" w:type="dxa"/>
            <w:tcBorders>
              <w:top w:val="single" w:color="auto" w:sz="4" w:space="0"/>
              <w:left w:val="single" w:color="auto" w:sz="4" w:space="0"/>
              <w:bottom w:val="single" w:color="auto" w:sz="4" w:space="0"/>
              <w:right w:val="nil"/>
            </w:tcBorders>
          </w:tcPr>
          <w:p w:rsidRPr="00C736B0" w:rsidR="00001F50" w:rsidP="00001F50" w:rsidRDefault="00001F50" w14:paraId="7C4E9830" w14:textId="579818A6">
            <w:pPr>
              <w:keepNext/>
              <w:spacing w:line="276" w:lineRule="auto"/>
              <w:outlineLvl w:val="0"/>
              <w:rPr>
                <w:rFonts w:ascii="Palatino Linotype" w:hAnsi="Palatino Linotype" w:eastAsia="Palatino Linotype" w:cs="Times New Roman"/>
                <w:color w:val="000000" w:themeColor="text1"/>
                <w:sz w:val="22"/>
                <w:szCs w:val="22"/>
              </w:rPr>
            </w:pPr>
            <w:r w:rsidRPr="00D7167F">
              <w:rPr>
                <w:rFonts w:ascii="Palatino Linotype" w:hAnsi="Palatino Linotype" w:eastAsia="Palatino Linotype" w:cs="Times New Roman"/>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31FD6508" w14:textId="53B087AE">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1,785,300</w:t>
            </w:r>
          </w:p>
        </w:tc>
      </w:tr>
      <w:tr w:rsidRPr="00C736B0" w:rsidR="00001F50" w:rsidTr="00917EF7" w14:paraId="0F883EF8" w14:textId="77777777">
        <w:tc>
          <w:tcPr>
            <w:tcW w:w="7375" w:type="dxa"/>
            <w:gridSpan w:val="2"/>
            <w:tcBorders>
              <w:right w:val="single" w:color="auto" w:sz="4" w:space="0"/>
            </w:tcBorders>
          </w:tcPr>
          <w:p w:rsidRPr="00C736B0" w:rsidR="00001F50" w:rsidP="00001F50" w:rsidRDefault="00001F50" w14:paraId="3146B471" w14:textId="77777777">
            <w:pPr>
              <w:keepNext/>
              <w:spacing w:line="276" w:lineRule="auto"/>
              <w:jc w:val="right"/>
              <w:outlineLvl w:val="0"/>
              <w:rPr>
                <w:rFonts w:ascii="Palatino Linotype" w:hAnsi="Palatino Linotype" w:eastAsia="Palatino Linotype" w:cs="Times New Roman"/>
                <w:b/>
                <w:color w:val="000000" w:themeColor="text1"/>
                <w:sz w:val="22"/>
                <w:szCs w:val="22"/>
              </w:rPr>
            </w:pPr>
            <w:r w:rsidRPr="00C736B0">
              <w:rPr>
                <w:rFonts w:ascii="Palatino Linotype" w:hAnsi="Palatino Linotype" w:eastAsia="Palatino Linotype" w:cs="Times New Roman"/>
                <w:b/>
                <w:color w:val="000000" w:themeColor="text1"/>
                <w:sz w:val="22"/>
                <w:szCs w:val="22"/>
              </w:rPr>
              <w:t>ANNUAL TOTAL:</w:t>
            </w:r>
          </w:p>
        </w:tc>
        <w:tc>
          <w:tcPr>
            <w:tcW w:w="540" w:type="dxa"/>
            <w:tcBorders>
              <w:top w:val="single" w:color="auto" w:sz="4" w:space="0"/>
              <w:left w:val="single" w:color="auto" w:sz="4" w:space="0"/>
              <w:bottom w:val="single" w:color="auto" w:sz="4" w:space="0"/>
              <w:right w:val="nil"/>
            </w:tcBorders>
          </w:tcPr>
          <w:p w:rsidRPr="00001F50" w:rsidR="00001F50" w:rsidP="00001F50" w:rsidRDefault="00001F50" w14:paraId="68ED3448" w14:textId="00F6864E">
            <w:pPr>
              <w:keepNext/>
              <w:spacing w:line="276" w:lineRule="auto"/>
              <w:outlineLvl w:val="0"/>
              <w:rPr>
                <w:rFonts w:ascii="Palatino Linotype" w:hAnsi="Palatino Linotype" w:eastAsia="Palatino Linotype" w:cs="Times New Roman"/>
                <w:b/>
                <w:bCs w:val="0"/>
                <w:color w:val="000000" w:themeColor="text1"/>
                <w:sz w:val="22"/>
                <w:szCs w:val="22"/>
              </w:rPr>
            </w:pPr>
            <w:r w:rsidRPr="00001F50">
              <w:rPr>
                <w:rFonts w:ascii="Palatino Linotype" w:hAnsi="Palatino Linotype" w:eastAsia="Palatino Linotype" w:cs="Times New Roman"/>
                <w:b/>
                <w:bCs w:val="0"/>
                <w:color w:val="000000" w:themeColor="text1"/>
                <w:sz w:val="22"/>
                <w:szCs w:val="22"/>
              </w:rPr>
              <w:t>$</w:t>
            </w:r>
          </w:p>
        </w:tc>
        <w:tc>
          <w:tcPr>
            <w:tcW w:w="1435" w:type="dxa"/>
            <w:tcBorders>
              <w:top w:val="single" w:color="auto" w:sz="4" w:space="0"/>
              <w:left w:val="nil"/>
              <w:bottom w:val="single" w:color="auto" w:sz="4" w:space="0"/>
              <w:right w:val="single" w:color="auto" w:sz="4" w:space="0"/>
            </w:tcBorders>
            <w:vAlign w:val="center"/>
          </w:tcPr>
          <w:p w:rsidRPr="00C736B0" w:rsidR="00001F50" w:rsidP="00001F50" w:rsidRDefault="00001F50" w14:paraId="00852926" w14:textId="097670EC">
            <w:pPr>
              <w:keepNext/>
              <w:spacing w:line="276" w:lineRule="auto"/>
              <w:jc w:val="right"/>
              <w:outlineLvl w:val="0"/>
              <w:rPr>
                <w:rFonts w:ascii="Palatino Linotype" w:hAnsi="Palatino Linotype" w:eastAsia="Palatino Linotype" w:cs="Times New Roman"/>
                <w:b/>
                <w:color w:val="000000" w:themeColor="text1"/>
                <w:sz w:val="22"/>
                <w:szCs w:val="22"/>
              </w:rPr>
            </w:pPr>
            <w:r w:rsidRPr="00BC1944">
              <w:rPr>
                <w:rFonts w:ascii="Palatino Linotype" w:hAnsi="Palatino Linotype" w:eastAsia="Palatino Linotype" w:cs="Times New Roman"/>
                <w:b/>
                <w:color w:val="000000" w:themeColor="text1"/>
                <w:sz w:val="22"/>
                <w:szCs w:val="22"/>
              </w:rPr>
              <w:t>17,853,000</w:t>
            </w:r>
          </w:p>
        </w:tc>
      </w:tr>
    </w:tbl>
    <w:p w:rsidR="00C85058" w:rsidP="00F97978" w:rsidRDefault="00C85058" w14:paraId="40CF4D09" w14:textId="77777777">
      <w:pPr>
        <w:spacing w:after="0" w:line="276" w:lineRule="auto"/>
        <w:rPr>
          <w:rFonts w:ascii="Palatino Linotype" w:hAnsi="Palatino Linotype" w:eastAsia="Palatino Linotype" w:cs="Times New Roman"/>
          <w:bCs/>
          <w:i/>
          <w:iCs/>
          <w:color w:val="000000" w:themeColor="text1"/>
          <w:kern w:val="0"/>
          <w14:ligatures w14:val="none"/>
        </w:rPr>
      </w:pPr>
    </w:p>
    <w:p w:rsidRPr="004970BE" w:rsidR="00B60ED3" w:rsidP="00F97978" w:rsidRDefault="00B60ED3" w14:paraId="6AEC2545" w14:textId="63229587">
      <w:pPr>
        <w:spacing w:after="0" w:line="276" w:lineRule="auto"/>
        <w:rPr>
          <w:rFonts w:ascii="Palatino Linotype" w:hAnsi="Palatino Linotype" w:eastAsia="Palatino Linotype" w:cs="Times New Roman"/>
          <w:bCs/>
          <w:i/>
          <w:iCs/>
          <w:color w:val="000000" w:themeColor="text1"/>
          <w:kern w:val="0"/>
          <w14:ligatures w14:val="none"/>
        </w:rPr>
      </w:pPr>
      <w:r w:rsidRPr="004970BE">
        <w:rPr>
          <w:rFonts w:ascii="Palatino Linotype" w:hAnsi="Palatino Linotype" w:eastAsia="Palatino Linotype" w:cs="Times New Roman"/>
          <w:bCs/>
          <w:i/>
          <w:iCs/>
          <w:color w:val="000000" w:themeColor="text1"/>
          <w:kern w:val="0"/>
          <w14:ligatures w14:val="none"/>
        </w:rPr>
        <w:t xml:space="preserve">Gas System Integrity Theme Proposed Initiatives </w:t>
      </w:r>
    </w:p>
    <w:p w:rsidRPr="004970BE" w:rsidR="00B60ED3" w:rsidP="00F97978" w:rsidRDefault="00B60ED3" w14:paraId="39BB0011" w14:textId="77777777">
      <w:pPr>
        <w:spacing w:after="0" w:line="276" w:lineRule="auto"/>
        <w:rPr>
          <w:rFonts w:ascii="Palatino Linotype" w:hAnsi="Palatino Linotype" w:eastAsia="Palatino Linotype" w:cs="Times New Roman"/>
          <w:bCs/>
          <w:color w:val="000000" w:themeColor="text1"/>
          <w:kern w:val="0"/>
          <w14:ligatures w14:val="none"/>
        </w:rPr>
      </w:pPr>
    </w:p>
    <w:p w:rsidRPr="0063476E" w:rsidR="002B01ED" w:rsidP="002B01ED" w:rsidRDefault="004C5DEA" w14:paraId="57E99437" w14:textId="0199B187">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2B01ED">
        <w:rPr>
          <w:rFonts w:ascii="Palatino Linotype" w:hAnsi="Palatino Linotype" w:eastAsia="Palatino Linotype" w:cs="Times New Roman"/>
          <w:bCs/>
          <w:color w:val="000000" w:themeColor="text1"/>
          <w:kern w:val="0"/>
          <w14:ligatures w14:val="none"/>
        </w:rPr>
        <w:t xml:space="preserve"> states that it seeks to develop Initiatives within the Gas System Integrity Theme t</w:t>
      </w:r>
      <w:r w:rsidR="002B01ED">
        <w:rPr>
          <w:rFonts w:ascii="Palatino Linotype" w:hAnsi="Palatino Linotype" w:eastAsia="Palatino Linotype" w:cs="Times New Roman"/>
          <w:bCs/>
          <w:color w:val="000000" w:themeColor="text1"/>
          <w:kern w:val="0"/>
          <w14:ligatures w14:val="none"/>
        </w:rPr>
        <w:t xml:space="preserve">hat </w:t>
      </w:r>
      <w:proofErr w:type="gramStart"/>
      <w:r w:rsidR="002B01ED">
        <w:rPr>
          <w:rFonts w:ascii="Palatino Linotype" w:hAnsi="Palatino Linotype" w:eastAsia="Palatino Linotype" w:cs="Times New Roman"/>
          <w:bCs/>
          <w:color w:val="000000" w:themeColor="text1"/>
          <w:kern w:val="0"/>
          <w14:ligatures w14:val="none"/>
        </w:rPr>
        <w:t>support “</w:t>
      </w:r>
      <w:r w:rsidRPr="0063476E" w:rsidR="002B01ED">
        <w:rPr>
          <w:rFonts w:ascii="Palatino Linotype" w:hAnsi="Palatino Linotype" w:eastAsia="Palatino Linotype" w:cs="Times New Roman"/>
          <w:bCs/>
          <w:color w:val="000000" w:themeColor="text1"/>
          <w:kern w:val="0"/>
          <w14:ligatures w14:val="none"/>
        </w:rPr>
        <w:t>the</w:t>
      </w:r>
      <w:proofErr w:type="gramEnd"/>
      <w:r w:rsidRPr="0063476E" w:rsidR="002B01ED">
        <w:rPr>
          <w:rFonts w:ascii="Palatino Linotype" w:hAnsi="Palatino Linotype" w:eastAsia="Palatino Linotype" w:cs="Times New Roman"/>
          <w:bCs/>
          <w:color w:val="000000" w:themeColor="text1"/>
          <w:kern w:val="0"/>
          <w14:ligatures w14:val="none"/>
        </w:rPr>
        <w:t xml:space="preserve"> safe and affordable transportation, distribution, and storage</w:t>
      </w:r>
    </w:p>
    <w:p w:rsidRPr="004970BE" w:rsidR="002B01ED" w:rsidP="002B01ED" w:rsidRDefault="002B01ED" w14:paraId="36E7E736" w14:textId="77777777">
      <w:pPr>
        <w:spacing w:after="0" w:line="276" w:lineRule="auto"/>
        <w:rPr>
          <w:rFonts w:ascii="Palatino Linotype" w:hAnsi="Palatino Linotype" w:eastAsia="Palatino Linotype" w:cs="Times New Roman"/>
          <w:bCs/>
          <w:color w:val="000000" w:themeColor="text1"/>
          <w:kern w:val="0"/>
          <w14:ligatures w14:val="none"/>
        </w:rPr>
      </w:pPr>
      <w:r w:rsidRPr="0063476E">
        <w:rPr>
          <w:rFonts w:ascii="Palatino Linotype" w:hAnsi="Palatino Linotype" w:eastAsia="Palatino Linotype" w:cs="Times New Roman"/>
          <w:bCs/>
          <w:color w:val="000000" w:themeColor="text1"/>
          <w:kern w:val="0"/>
          <w14:ligatures w14:val="none"/>
        </w:rPr>
        <w:t>of natural gas and RNG through the SoCalGas pipeline network by developing, testing,</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and introducing</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innovations that:</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Improve infrastructure, public, contractor and employee safety</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Maintain and improve system reliability and integrity</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 xml:space="preserve">Improve </w:t>
      </w:r>
      <w:r w:rsidRPr="0063476E">
        <w:rPr>
          <w:rFonts w:ascii="Palatino Linotype" w:hAnsi="Palatino Linotype" w:eastAsia="Palatino Linotype" w:cs="Times New Roman"/>
          <w:bCs/>
          <w:color w:val="000000" w:themeColor="text1"/>
          <w:kern w:val="0"/>
          <w14:ligatures w14:val="none"/>
        </w:rPr>
        <w:lastRenderedPageBreak/>
        <w:t>affordability by increasing operational efficiency and effectiveness</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Improve air quality and reduce GHG impacts by minimizing system emissions</w:t>
      </w:r>
      <w:r>
        <w:rPr>
          <w:rFonts w:ascii="Palatino Linotype" w:hAnsi="Palatino Linotype" w:eastAsia="Palatino Linotype" w:cs="Times New Roman"/>
          <w:bCs/>
          <w:color w:val="000000" w:themeColor="text1"/>
          <w:kern w:val="0"/>
          <w14:ligatures w14:val="none"/>
        </w:rPr>
        <w:t>.”</w:t>
      </w:r>
      <w:r>
        <w:rPr>
          <w:rStyle w:val="FootnoteReference"/>
          <w:rFonts w:ascii="Palatino Linotype" w:hAnsi="Palatino Linotype" w:eastAsia="Palatino Linotype" w:cs="Times New Roman"/>
          <w:bCs/>
          <w:color w:val="000000" w:themeColor="text1"/>
          <w:kern w:val="0"/>
          <w14:ligatures w14:val="none"/>
        </w:rPr>
        <w:footnoteReference w:id="18"/>
      </w:r>
    </w:p>
    <w:p w:rsidRPr="004970BE" w:rsidR="00B60ED3" w:rsidP="00F97978" w:rsidRDefault="00B60ED3" w14:paraId="64D19EC5"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8B2295" w:rsidP="00477204" w:rsidRDefault="004341E7" w14:paraId="6064B383" w14:textId="42830938">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Environmental &amp; Safety</w:t>
      </w:r>
      <w:r w:rsidR="00AE5447">
        <w:rPr>
          <w:rStyle w:val="FootnoteReference"/>
          <w:rFonts w:ascii="Palatino Linotype" w:hAnsi="Palatino Linotype" w:eastAsia="Palatino Linotype" w:cs="Times New Roman"/>
          <w:bCs/>
          <w:color w:val="000000" w:themeColor="text1"/>
          <w:kern w:val="0"/>
          <w14:ligatures w14:val="none"/>
        </w:rPr>
        <w:footnoteReference w:id="19"/>
      </w:r>
    </w:p>
    <w:p w:rsidRPr="004970BE" w:rsidR="00B86930" w:rsidP="3642958B" w:rsidRDefault="004C5DEA" w14:paraId="3314B741" w14:textId="181E5CDA">
      <w:pPr>
        <w:spacing w:after="0" w:line="276" w:lineRule="auto"/>
        <w:ind w:left="720"/>
        <w:rPr>
          <w:rFonts w:ascii="Palatino Linotype" w:hAnsi="Palatino Linotype" w:eastAsia="Palatino Linotype" w:cs="Times New Roman"/>
          <w:color w:val="000000" w:themeColor="text1"/>
          <w:kern w:val="0"/>
          <w14:ligatures w14:val="none"/>
        </w:rPr>
      </w:pPr>
      <w:r>
        <w:rPr>
          <w:rFonts w:ascii="Palatino Linotype" w:hAnsi="Palatino Linotype"/>
          <w:color w:val="000000" w:themeColor="text1"/>
        </w:rPr>
        <w:t>SoCalGas</w:t>
      </w:r>
      <w:r w:rsidRPr="3642958B">
        <w:rPr>
          <w:rFonts w:ascii="Palatino Linotype" w:hAnsi="Palatino Linotype" w:eastAsia="Palatino Linotype" w:cs="Times New Roman"/>
          <w:color w:val="000000" w:themeColor="text1"/>
          <w:kern w:val="0"/>
          <w14:ligatures w14:val="none"/>
        </w:rPr>
        <w:t xml:space="preserve"> </w:t>
      </w:r>
      <w:r w:rsidRPr="3642958B" w:rsidR="002B01ED">
        <w:rPr>
          <w:rFonts w:ascii="Palatino Linotype" w:hAnsi="Palatino Linotype" w:eastAsia="Palatino Linotype" w:cs="Times New Roman"/>
          <w:color w:val="000000" w:themeColor="text1"/>
          <w:kern w:val="0"/>
          <w14:ligatures w14:val="none"/>
        </w:rPr>
        <w:t xml:space="preserve">states that it </w:t>
      </w:r>
      <w:r w:rsidRPr="3642958B" w:rsidR="002B01ED">
        <w:rPr>
          <w:rFonts w:ascii="Palatino Linotype" w:hAnsi="Palatino Linotype" w:eastAsia="Palatino Linotype" w:cs="Times New Roman"/>
          <w:color w:val="000000" w:themeColor="text1"/>
        </w:rPr>
        <w:t xml:space="preserve">seeks to develop projects within the </w:t>
      </w:r>
      <w:r w:rsidRPr="3642958B" w:rsidR="002B01ED">
        <w:rPr>
          <w:rFonts w:ascii="Palatino Linotype" w:hAnsi="Palatino Linotype" w:eastAsia="Palatino Linotype" w:cs="Times New Roman"/>
          <w:color w:val="000000" w:themeColor="text1"/>
          <w:kern w:val="0"/>
          <w14:ligatures w14:val="none"/>
        </w:rPr>
        <w:t xml:space="preserve">Environmental &amp; Safety Initiative to </w:t>
      </w:r>
      <w:r w:rsidRPr="3642958B" w:rsidR="004100F4">
        <w:rPr>
          <w:rFonts w:ascii="Palatino Linotype" w:hAnsi="Palatino Linotype" w:eastAsia="Palatino Linotype" w:cs="Times New Roman"/>
          <w:color w:val="000000" w:themeColor="text1"/>
          <w:kern w:val="0"/>
          <w14:ligatures w14:val="none"/>
        </w:rPr>
        <w:t>maintain</w:t>
      </w:r>
      <w:r w:rsidRPr="3642958B" w:rsidR="004100F4">
        <w:rPr>
          <w:rFonts w:ascii="Palatino Linotype" w:hAnsi="Palatino Linotype" w:eastAsia="Palatino Linotype" w:cs="Times New Roman"/>
          <w:color w:val="000000" w:themeColor="text1"/>
        </w:rPr>
        <w:t xml:space="preserve"> system</w:t>
      </w:r>
      <w:r w:rsidRPr="3642958B" w:rsidR="004100F4">
        <w:rPr>
          <w:rFonts w:ascii="Palatino Linotype" w:hAnsi="Palatino Linotype" w:eastAsia="Palatino Linotype" w:cs="Times New Roman"/>
          <w:color w:val="000000" w:themeColor="text1"/>
          <w:kern w:val="0"/>
          <w14:ligatures w14:val="none"/>
        </w:rPr>
        <w:t xml:space="preserve"> infrastructure with safe and environmentally conscious methods. </w:t>
      </w:r>
      <w:r w:rsidRPr="3642958B" w:rsidR="002B01ED">
        <w:rPr>
          <w:rFonts w:ascii="Palatino Linotype" w:hAnsi="Palatino Linotype" w:eastAsia="Palatino Linotype" w:cs="Times New Roman"/>
          <w:color w:val="000000" w:themeColor="text1"/>
          <w:kern w:val="0"/>
          <w14:ligatures w14:val="none"/>
        </w:rPr>
        <w:t xml:space="preserve">Research </w:t>
      </w:r>
      <w:r w:rsidRPr="3642958B" w:rsidR="27BE2D02">
        <w:rPr>
          <w:rFonts w:ascii="Palatino Linotype" w:hAnsi="Palatino Linotype" w:eastAsia="Palatino Linotype" w:cs="Times New Roman"/>
          <w:color w:val="000000" w:themeColor="text1"/>
        </w:rPr>
        <w:t>Topics</w:t>
      </w:r>
      <w:r w:rsidRPr="3642958B" w:rsidR="002B01ED">
        <w:rPr>
          <w:rFonts w:ascii="Palatino Linotype" w:hAnsi="Palatino Linotype" w:eastAsia="Palatino Linotype" w:cs="Times New Roman"/>
          <w:color w:val="000000" w:themeColor="text1"/>
        </w:rPr>
        <w:t xml:space="preserve"> include</w:t>
      </w:r>
      <w:r w:rsidR="00A6657A">
        <w:rPr>
          <w:rFonts w:ascii="Palatino Linotype" w:hAnsi="Palatino Linotype" w:eastAsia="Palatino Linotype" w:cs="Times New Roman"/>
          <w:color w:val="000000" w:themeColor="text1"/>
        </w:rPr>
        <w:t>:</w:t>
      </w:r>
      <w:r w:rsidRPr="3642958B" w:rsidR="00993837">
        <w:rPr>
          <w:rFonts w:ascii="Palatino Linotype" w:hAnsi="Palatino Linotype" w:eastAsia="Palatino Linotype" w:cs="Times New Roman"/>
          <w:color w:val="000000" w:themeColor="text1"/>
        </w:rPr>
        <w:t xml:space="preserve"> </w:t>
      </w:r>
      <w:r w:rsidRPr="3642958B" w:rsidR="002D2912">
        <w:rPr>
          <w:rFonts w:ascii="Palatino Linotype" w:hAnsi="Palatino Linotype" w:eastAsia="Palatino Linotype" w:cs="Times New Roman"/>
          <w:color w:val="000000" w:themeColor="text1"/>
        </w:rPr>
        <w:t xml:space="preserve">(i) </w:t>
      </w:r>
      <w:r w:rsidRPr="3642958B" w:rsidR="00993837">
        <w:rPr>
          <w:rFonts w:ascii="Palatino Linotype" w:hAnsi="Palatino Linotype" w:eastAsia="Palatino Linotype" w:cs="Times New Roman"/>
          <w:color w:val="000000" w:themeColor="text1"/>
        </w:rPr>
        <w:t>optimizing o</w:t>
      </w:r>
      <w:r w:rsidRPr="3642958B" w:rsidR="00EE3489">
        <w:rPr>
          <w:rFonts w:ascii="Palatino Linotype" w:hAnsi="Palatino Linotype" w:eastAsia="Palatino Linotype" w:cs="Times New Roman"/>
          <w:color w:val="000000" w:themeColor="text1"/>
        </w:rPr>
        <w:t>perations</w:t>
      </w:r>
      <w:r w:rsidRPr="3642958B" w:rsidR="00993837">
        <w:rPr>
          <w:rFonts w:ascii="Palatino Linotype" w:hAnsi="Palatino Linotype" w:eastAsia="Palatino Linotype" w:cs="Times New Roman"/>
          <w:color w:val="000000" w:themeColor="text1"/>
        </w:rPr>
        <w:t xml:space="preserve"> </w:t>
      </w:r>
      <w:r w:rsidRPr="3642958B" w:rsidR="00EE3489">
        <w:rPr>
          <w:rFonts w:ascii="Palatino Linotype" w:hAnsi="Palatino Linotype" w:eastAsia="Palatino Linotype" w:cs="Times New Roman"/>
          <w:color w:val="000000" w:themeColor="text1"/>
        </w:rPr>
        <w:t>with new</w:t>
      </w:r>
      <w:r w:rsidRPr="3642958B" w:rsidR="00993837">
        <w:rPr>
          <w:rFonts w:ascii="Palatino Linotype" w:hAnsi="Palatino Linotype" w:eastAsia="Palatino Linotype" w:cs="Times New Roman"/>
          <w:color w:val="000000" w:themeColor="text1"/>
        </w:rPr>
        <w:t xml:space="preserve"> </w:t>
      </w:r>
      <w:r w:rsidRPr="3642958B" w:rsidR="00EE3489">
        <w:rPr>
          <w:rFonts w:ascii="Palatino Linotype" w:hAnsi="Palatino Linotype" w:eastAsia="Palatino Linotype" w:cs="Times New Roman"/>
          <w:color w:val="000000" w:themeColor="text1"/>
        </w:rPr>
        <w:t>technologies</w:t>
      </w:r>
      <w:r w:rsidRPr="3642958B" w:rsidR="00993837">
        <w:rPr>
          <w:rFonts w:ascii="Palatino Linotype" w:hAnsi="Palatino Linotype" w:eastAsia="Palatino Linotype" w:cs="Times New Roman"/>
          <w:color w:val="000000" w:themeColor="text1"/>
        </w:rPr>
        <w:t xml:space="preserve">, </w:t>
      </w:r>
      <w:r w:rsidRPr="3642958B" w:rsidR="002D2912">
        <w:rPr>
          <w:rFonts w:ascii="Palatino Linotype" w:hAnsi="Palatino Linotype" w:eastAsia="Palatino Linotype" w:cs="Times New Roman"/>
          <w:color w:val="000000" w:themeColor="text1"/>
        </w:rPr>
        <w:t xml:space="preserve">(ii) </w:t>
      </w:r>
      <w:r w:rsidRPr="3642958B" w:rsidR="00993837">
        <w:rPr>
          <w:rFonts w:ascii="Palatino Linotype" w:hAnsi="Palatino Linotype" w:eastAsia="Palatino Linotype" w:cs="Times New Roman"/>
          <w:color w:val="000000" w:themeColor="text1"/>
        </w:rPr>
        <w:t xml:space="preserve">detecting conditions that damage infrastructure, and </w:t>
      </w:r>
      <w:r w:rsidR="0057192A">
        <w:rPr>
          <w:rFonts w:ascii="Palatino Linotype" w:hAnsi="Palatino Linotype" w:eastAsia="Palatino Linotype" w:cs="Times New Roman"/>
          <w:color w:val="000000" w:themeColor="text1"/>
        </w:rPr>
        <w:br/>
      </w:r>
      <w:r w:rsidRPr="3642958B" w:rsidR="002D2912">
        <w:rPr>
          <w:rFonts w:ascii="Palatino Linotype" w:hAnsi="Palatino Linotype" w:eastAsia="Palatino Linotype" w:cs="Times New Roman"/>
          <w:color w:val="000000" w:themeColor="text1"/>
        </w:rPr>
        <w:t xml:space="preserve">(iii) </w:t>
      </w:r>
      <w:r w:rsidRPr="3642958B" w:rsidR="00993837">
        <w:rPr>
          <w:rFonts w:ascii="Palatino Linotype" w:hAnsi="Palatino Linotype" w:eastAsia="Palatino Linotype" w:cs="Times New Roman"/>
          <w:color w:val="000000" w:themeColor="text1"/>
        </w:rPr>
        <w:t>protecting infrastructure in novel ways</w:t>
      </w:r>
      <w:r w:rsidRPr="3642958B" w:rsidR="002B01ED">
        <w:rPr>
          <w:rFonts w:ascii="Palatino Linotype" w:hAnsi="Palatino Linotype" w:eastAsia="Palatino Linotype" w:cs="Times New Roman"/>
          <w:color w:val="000000" w:themeColor="text1"/>
        </w:rPr>
        <w:t>.</w:t>
      </w:r>
      <w:r w:rsidRPr="3642958B" w:rsidR="009773BA">
        <w:rPr>
          <w:rFonts w:ascii="Palatino Linotype" w:hAnsi="Palatino Linotype" w:eastAsia="Palatino Linotype" w:cs="Times New Roman"/>
          <w:color w:val="000000" w:themeColor="text1"/>
        </w:rPr>
        <w:t xml:space="preserve"> S</w:t>
      </w:r>
      <w:r w:rsidRPr="3642958B" w:rsidR="002B67D7">
        <w:rPr>
          <w:rFonts w:ascii="Palatino Linotype" w:hAnsi="Palatino Linotype" w:eastAsia="Palatino Linotype" w:cs="Times New Roman"/>
          <w:color w:val="000000" w:themeColor="text1"/>
        </w:rPr>
        <w:t>oCalGas</w:t>
      </w:r>
      <w:r w:rsidRPr="3642958B" w:rsidR="009773BA">
        <w:rPr>
          <w:rFonts w:ascii="Palatino Linotype" w:hAnsi="Palatino Linotype" w:eastAsia="Palatino Linotype" w:cs="Times New Roman"/>
          <w:color w:val="000000" w:themeColor="text1"/>
        </w:rPr>
        <w:t xml:space="preserve"> lists</w:t>
      </w:r>
      <w:r w:rsidRPr="3642958B" w:rsidR="00FE3E97">
        <w:rPr>
          <w:rFonts w:ascii="Palatino Linotype" w:hAnsi="Palatino Linotype" w:eastAsia="Palatino Linotype" w:cs="Times New Roman"/>
          <w:color w:val="000000" w:themeColor="text1"/>
        </w:rPr>
        <w:t xml:space="preserve"> potential metrics for tracking and evaluating impacts from the Initiative, including</w:t>
      </w:r>
      <w:r w:rsidRPr="3642958B" w:rsidR="009773BA">
        <w:rPr>
          <w:rFonts w:ascii="Palatino Linotype" w:hAnsi="Palatino Linotype" w:eastAsia="Palatino Linotype" w:cs="Times New Roman"/>
          <w:color w:val="000000" w:themeColor="text1"/>
        </w:rPr>
        <w:t xml:space="preserve"> reductions in </w:t>
      </w:r>
      <w:r w:rsidRPr="3642958B" w:rsidR="005B5352">
        <w:rPr>
          <w:rFonts w:ascii="Palatino Linotype" w:hAnsi="Palatino Linotype" w:eastAsia="Palatino Linotype" w:cs="Times New Roman"/>
          <w:color w:val="000000" w:themeColor="text1"/>
        </w:rPr>
        <w:t xml:space="preserve">both </w:t>
      </w:r>
      <w:r w:rsidRPr="3642958B" w:rsidR="009773BA">
        <w:rPr>
          <w:rFonts w:ascii="Palatino Linotype" w:hAnsi="Palatino Linotype" w:eastAsia="Palatino Linotype" w:cs="Times New Roman"/>
          <w:color w:val="000000" w:themeColor="text1"/>
        </w:rPr>
        <w:t>greenhouse gas (GHG) emissions attributed to loss of containment</w:t>
      </w:r>
      <w:r w:rsidRPr="3642958B" w:rsidR="00FE3E97">
        <w:rPr>
          <w:rFonts w:ascii="Palatino Linotype" w:hAnsi="Palatino Linotype" w:eastAsia="Palatino Linotype" w:cs="Times New Roman"/>
          <w:color w:val="000000" w:themeColor="text1"/>
        </w:rPr>
        <w:t xml:space="preserve"> and criteria air pollutant emissions associated with equipment optimization.</w:t>
      </w:r>
      <w:r w:rsidRPr="3642958B" w:rsidR="00AE5447">
        <w:rPr>
          <w:rFonts w:ascii="Palatino Linotype" w:hAnsi="Palatino Linotype"/>
          <w:color w:val="000000" w:themeColor="text1"/>
        </w:rPr>
        <w:t xml:space="preserve"> </w:t>
      </w:r>
      <w:r w:rsidRPr="3642958B">
        <w:rPr>
          <w:rFonts w:ascii="Palatino Linotype" w:hAnsi="Palatino Linotype"/>
          <w:color w:val="000000" w:themeColor="text1"/>
        </w:rPr>
        <w:t>SoCalGas</w:t>
      </w:r>
      <w:r w:rsidRPr="3642958B" w:rsidR="004970BE">
        <w:rPr>
          <w:rFonts w:ascii="Palatino Linotype" w:hAnsi="Palatino Linotype" w:eastAsia="Palatino Linotype" w:cs="Times New Roman"/>
          <w:color w:val="000000" w:themeColor="text1"/>
        </w:rPr>
        <w:t xml:space="preserve"> proposes to allocate $1,305,784 in its 2024 Plan.</w:t>
      </w:r>
    </w:p>
    <w:p w:rsidRPr="004970BE" w:rsidR="008B2295" w:rsidP="008B2295" w:rsidRDefault="008B2295" w14:paraId="251D3060"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8B2295" w:rsidP="00477204" w:rsidRDefault="00CF1F8E" w14:paraId="7D24F31C" w14:textId="2CC6719D">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Operations Technology</w:t>
      </w:r>
      <w:r w:rsidRPr="3642958B" w:rsidR="00AE5447">
        <w:rPr>
          <w:rStyle w:val="FootnoteReference"/>
          <w:rFonts w:ascii="Palatino Linotype" w:hAnsi="Palatino Linotype" w:eastAsia="Palatino Linotype" w:cs="Times New Roman"/>
          <w:color w:val="000000" w:themeColor="text1"/>
        </w:rPr>
        <w:footnoteReference w:id="20"/>
      </w:r>
    </w:p>
    <w:p w:rsidRPr="004970BE" w:rsidR="001D3D47" w:rsidP="3642958B" w:rsidRDefault="004C5DEA" w14:paraId="5D0BF672" w14:textId="3391A315">
      <w:pPr>
        <w:spacing w:after="0" w:line="276" w:lineRule="auto"/>
        <w:ind w:left="720"/>
        <w:rPr>
          <w:rFonts w:ascii="Palatino Linotype" w:hAnsi="Palatino Linotype" w:eastAsia="Palatino Linotype" w:cs="Times New Roman"/>
          <w:color w:val="000000" w:themeColor="text1"/>
          <w:kern w:val="0"/>
          <w14:ligatures w14:val="none"/>
        </w:rPr>
      </w:pPr>
      <w:r>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kern w:val="0"/>
          <w14:ligatures w14:val="none"/>
        </w:rPr>
        <w:t xml:space="preserve"> states that it </w:t>
      </w:r>
      <w:r w:rsidRPr="3642958B" w:rsidR="001D3D47">
        <w:rPr>
          <w:rFonts w:ascii="Palatino Linotype" w:hAnsi="Palatino Linotype" w:eastAsia="Palatino Linotype" w:cs="Times New Roman"/>
          <w:color w:val="000000" w:themeColor="text1"/>
        </w:rPr>
        <w:t xml:space="preserve">seeks to develop projects within the </w:t>
      </w:r>
      <w:r w:rsidRPr="3642958B" w:rsidR="00B25228">
        <w:rPr>
          <w:rFonts w:ascii="Palatino Linotype" w:hAnsi="Palatino Linotype" w:eastAsia="Palatino Linotype" w:cs="Times New Roman"/>
          <w:color w:val="000000" w:themeColor="text1"/>
          <w:kern w:val="0"/>
          <w14:ligatures w14:val="none"/>
        </w:rPr>
        <w:t>Operations Technology</w:t>
      </w:r>
      <w:r w:rsidRPr="3642958B" w:rsidR="001D3D47">
        <w:rPr>
          <w:rFonts w:ascii="Palatino Linotype" w:hAnsi="Palatino Linotype" w:eastAsia="Palatino Linotype" w:cs="Times New Roman"/>
          <w:color w:val="000000" w:themeColor="text1"/>
          <w:kern w:val="0"/>
          <w14:ligatures w14:val="none"/>
        </w:rPr>
        <w:t xml:space="preserve"> Initiative to </w:t>
      </w:r>
      <w:r w:rsidRPr="3642958B" w:rsidR="009F1D5C">
        <w:rPr>
          <w:rFonts w:ascii="Palatino Linotype" w:hAnsi="Palatino Linotype" w:eastAsia="Palatino Linotype" w:cs="Times New Roman"/>
          <w:color w:val="000000" w:themeColor="text1"/>
          <w:kern w:val="0"/>
          <w14:ligatures w14:val="none"/>
        </w:rPr>
        <w:t xml:space="preserve">empower their workforce with </w:t>
      </w:r>
      <w:r w:rsidRPr="3642958B" w:rsidR="009F1D5C">
        <w:rPr>
          <w:rFonts w:ascii="Palatino Linotype" w:hAnsi="Palatino Linotype" w:eastAsia="Palatino Linotype" w:cs="Times New Roman"/>
          <w:color w:val="000000" w:themeColor="text1"/>
        </w:rPr>
        <w:t>state-of-the-art tools and techniques that enhance safety, strengthen</w:t>
      </w:r>
      <w:r w:rsidRPr="3642958B" w:rsidR="009F1D5C">
        <w:rPr>
          <w:rFonts w:ascii="Palatino Linotype" w:hAnsi="Palatino Linotype" w:eastAsia="Palatino Linotype" w:cs="Times New Roman"/>
          <w:color w:val="000000" w:themeColor="text1"/>
          <w:kern w:val="0"/>
          <w14:ligatures w14:val="none"/>
        </w:rPr>
        <w:t xml:space="preserve"> reliability, and increase affordability</w:t>
      </w:r>
      <w:r w:rsidRPr="3642958B" w:rsidR="001D3D47">
        <w:rPr>
          <w:rFonts w:ascii="Palatino Linotype" w:hAnsi="Palatino Linotype" w:eastAsia="Palatino Linotype" w:cs="Times New Roman"/>
          <w:color w:val="000000" w:themeColor="text1"/>
          <w:kern w:val="0"/>
          <w14:ligatures w14:val="none"/>
        </w:rPr>
        <w:t>.</w:t>
      </w:r>
      <w:r w:rsidRPr="3642958B" w:rsidR="009F1D5C">
        <w:rPr>
          <w:rFonts w:ascii="Palatino Linotype" w:hAnsi="Palatino Linotype" w:eastAsia="Palatino Linotype" w:cs="Times New Roman"/>
          <w:color w:val="000000" w:themeColor="text1"/>
          <w:kern w:val="0"/>
          <w14:ligatures w14:val="none"/>
        </w:rPr>
        <w:t xml:space="preserve"> Research </w:t>
      </w:r>
      <w:r w:rsidRPr="3642958B" w:rsidR="1946FED5">
        <w:rPr>
          <w:rFonts w:ascii="Palatino Linotype" w:hAnsi="Palatino Linotype" w:eastAsia="Palatino Linotype" w:cs="Times New Roman"/>
          <w:color w:val="000000" w:themeColor="text1"/>
        </w:rPr>
        <w:t>Topics</w:t>
      </w:r>
      <w:r w:rsidRPr="3642958B" w:rsidR="009F1D5C">
        <w:rPr>
          <w:rFonts w:ascii="Palatino Linotype" w:hAnsi="Palatino Linotype" w:eastAsia="Palatino Linotype" w:cs="Times New Roman"/>
          <w:color w:val="000000" w:themeColor="text1"/>
        </w:rPr>
        <w:t xml:space="preserve"> include</w:t>
      </w:r>
      <w:r w:rsidR="00A6657A">
        <w:rPr>
          <w:rFonts w:ascii="Palatino Linotype" w:hAnsi="Palatino Linotype" w:eastAsia="Palatino Linotype" w:cs="Times New Roman"/>
          <w:color w:val="000000" w:themeColor="text1"/>
        </w:rPr>
        <w:t>:</w:t>
      </w:r>
      <w:r w:rsidRPr="3642958B" w:rsidR="00E94905">
        <w:rPr>
          <w:rFonts w:ascii="Palatino Linotype" w:hAnsi="Palatino Linotype" w:eastAsia="Palatino Linotype" w:cs="Times New Roman"/>
          <w:color w:val="000000" w:themeColor="text1"/>
        </w:rPr>
        <w:t xml:space="preserve"> (i) advanc</w:t>
      </w:r>
      <w:r w:rsidRPr="3642958B" w:rsidR="00183062">
        <w:rPr>
          <w:rFonts w:ascii="Palatino Linotype" w:hAnsi="Palatino Linotype" w:eastAsia="Palatino Linotype" w:cs="Times New Roman"/>
          <w:color w:val="000000" w:themeColor="text1"/>
        </w:rPr>
        <w:t>e</w:t>
      </w:r>
      <w:r w:rsidRPr="3642958B" w:rsidR="00E94905">
        <w:rPr>
          <w:rFonts w:ascii="Palatino Linotype" w:hAnsi="Palatino Linotype" w:eastAsia="Palatino Linotype" w:cs="Times New Roman"/>
          <w:color w:val="000000" w:themeColor="text1"/>
        </w:rPr>
        <w:t xml:space="preserve"> mapping &amp; locating technologies, </w:t>
      </w:r>
      <w:r w:rsidR="0057192A">
        <w:rPr>
          <w:rFonts w:ascii="Palatino Linotype" w:hAnsi="Palatino Linotype" w:eastAsia="Palatino Linotype" w:cs="Times New Roman"/>
          <w:color w:val="000000" w:themeColor="text1"/>
        </w:rPr>
        <w:br/>
      </w:r>
      <w:r w:rsidRPr="3642958B" w:rsidR="00E94905">
        <w:rPr>
          <w:rFonts w:ascii="Palatino Linotype" w:hAnsi="Palatino Linotype" w:eastAsia="Palatino Linotype" w:cs="Times New Roman"/>
          <w:color w:val="000000" w:themeColor="text1"/>
        </w:rPr>
        <w:t>(ii</w:t>
      </w:r>
      <w:r w:rsidRPr="3642958B" w:rsidR="00183062">
        <w:rPr>
          <w:rFonts w:ascii="Palatino Linotype" w:hAnsi="Palatino Linotype" w:eastAsia="Palatino Linotype" w:cs="Times New Roman"/>
          <w:color w:val="000000" w:themeColor="text1"/>
        </w:rPr>
        <w:t xml:space="preserve">) pipeline repair technologies that optimize operational efficiency, and </w:t>
      </w:r>
      <w:r w:rsidR="0057192A">
        <w:rPr>
          <w:rFonts w:ascii="Palatino Linotype" w:hAnsi="Palatino Linotype" w:eastAsia="Palatino Linotype" w:cs="Times New Roman"/>
          <w:color w:val="000000" w:themeColor="text1"/>
        </w:rPr>
        <w:br/>
      </w:r>
      <w:r w:rsidRPr="3642958B" w:rsidR="00183062">
        <w:rPr>
          <w:rFonts w:ascii="Palatino Linotype" w:hAnsi="Palatino Linotype" w:eastAsia="Palatino Linotype" w:cs="Times New Roman"/>
          <w:color w:val="000000" w:themeColor="text1"/>
        </w:rPr>
        <w:t>(iii</w:t>
      </w:r>
      <w:r w:rsidRPr="3642958B" w:rsidR="00436068">
        <w:rPr>
          <w:rFonts w:ascii="Palatino Linotype" w:hAnsi="Palatino Linotype" w:eastAsia="Palatino Linotype" w:cs="Times New Roman"/>
          <w:color w:val="000000" w:themeColor="text1"/>
        </w:rPr>
        <w:t xml:space="preserve">) reducing cybersecurity vulnerabilities of remotely operated infrastructure. </w:t>
      </w:r>
      <w:r w:rsidRPr="3642958B" w:rsidR="002B67D7">
        <w:rPr>
          <w:rFonts w:ascii="Palatino Linotype" w:hAnsi="Palatino Linotype" w:eastAsia="Palatino Linotype" w:cs="Times New Roman"/>
          <w:color w:val="000000" w:themeColor="text1"/>
        </w:rPr>
        <w:t>SoCalGas</w:t>
      </w:r>
      <w:r w:rsidRPr="3642958B" w:rsidR="00436068">
        <w:rPr>
          <w:rFonts w:ascii="Palatino Linotype" w:hAnsi="Palatino Linotype" w:eastAsia="Palatino Linotype" w:cs="Times New Roman"/>
          <w:color w:val="000000" w:themeColor="text1"/>
        </w:rPr>
        <w:t xml:space="preserve"> lists potential metrics for tracking and evaluating impacts from the Initiative,</w:t>
      </w:r>
      <w:r w:rsidRPr="3642958B" w:rsidR="00DA27B1">
        <w:rPr>
          <w:rFonts w:ascii="Palatino Linotype" w:hAnsi="Palatino Linotype" w:eastAsia="Palatino Linotype" w:cs="Times New Roman"/>
          <w:color w:val="000000" w:themeColor="text1"/>
        </w:rPr>
        <w:t xml:space="preserve"> including reductions in both paving and construction costs associated with advances in construction techniques and maintenance costs associated with locating inaccuracies and third-party damage</w:t>
      </w:r>
      <w:r w:rsidR="00AE5447">
        <w:rPr>
          <w:rFonts w:ascii="Palatino Linotype" w:hAnsi="Palatino Linotype" w:eastAsia="Palatino Linotype" w:cs="Times New Roman"/>
          <w:color w:val="000000" w:themeColor="text1"/>
        </w:rPr>
        <w:t xml:space="preserve">. </w:t>
      </w:r>
      <w:r w:rsidRPr="3642958B">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rPr>
        <w:t xml:space="preserve"> proposes to allocate $769,852 </w:t>
      </w:r>
      <w:proofErr w:type="gramStart"/>
      <w:r w:rsidRPr="3642958B" w:rsidR="001D3D47">
        <w:rPr>
          <w:rFonts w:ascii="Palatino Linotype" w:hAnsi="Palatino Linotype" w:eastAsia="Palatino Linotype" w:cs="Times New Roman"/>
          <w:color w:val="000000" w:themeColor="text1"/>
        </w:rPr>
        <w:t>in</w:t>
      </w:r>
      <w:proofErr w:type="gramEnd"/>
      <w:r w:rsidRPr="3642958B" w:rsidR="001D3D47">
        <w:rPr>
          <w:rFonts w:ascii="Palatino Linotype" w:hAnsi="Palatino Linotype" w:eastAsia="Palatino Linotype" w:cs="Times New Roman"/>
          <w:color w:val="000000" w:themeColor="text1"/>
        </w:rPr>
        <w:t xml:space="preserve"> its 2024 Plan.</w:t>
      </w:r>
    </w:p>
    <w:p w:rsidRPr="004970BE" w:rsidR="008B2295" w:rsidP="001D3D47" w:rsidRDefault="008B2295" w14:paraId="3312A0D1" w14:textId="77777777">
      <w:pPr>
        <w:spacing w:after="0" w:line="276" w:lineRule="auto"/>
        <w:ind w:left="720"/>
        <w:rPr>
          <w:rFonts w:ascii="Palatino Linotype" w:hAnsi="Palatino Linotype" w:eastAsia="Palatino Linotype" w:cs="Times New Roman"/>
          <w:bCs/>
          <w:color w:val="000000" w:themeColor="text1"/>
          <w:kern w:val="0"/>
          <w14:ligatures w14:val="none"/>
        </w:rPr>
      </w:pPr>
    </w:p>
    <w:p w:rsidRPr="001D3D47" w:rsidR="008B2295" w:rsidP="0057192A" w:rsidRDefault="000027C5" w14:paraId="40018AC6" w14:textId="04E101A2">
      <w:pPr>
        <w:pStyle w:val="ListParagraph"/>
        <w:keepNext/>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lastRenderedPageBreak/>
        <w:t>System Design &amp; Materials</w:t>
      </w:r>
      <w:r w:rsidRPr="3642958B" w:rsidR="002953A9">
        <w:rPr>
          <w:rStyle w:val="FootnoteReference"/>
          <w:rFonts w:ascii="Palatino Linotype" w:hAnsi="Palatino Linotype" w:eastAsia="Palatino Linotype" w:cs="Times New Roman"/>
          <w:color w:val="000000" w:themeColor="text1"/>
        </w:rPr>
        <w:footnoteReference w:id="21"/>
      </w:r>
    </w:p>
    <w:p w:rsidRPr="004970BE" w:rsidR="001D3D47" w:rsidP="0057192A" w:rsidRDefault="004C5DEA" w14:paraId="46D93D2D" w14:textId="4B98FDAD">
      <w:pPr>
        <w:keepNext/>
        <w:spacing w:after="0" w:line="276" w:lineRule="auto"/>
        <w:ind w:left="720"/>
        <w:rPr>
          <w:rFonts w:ascii="Palatino Linotype" w:hAnsi="Palatino Linotype" w:eastAsia="Palatino Linotype" w:cs="Times New Roman"/>
          <w:color w:val="000000" w:themeColor="text1"/>
          <w:kern w:val="0"/>
          <w14:ligatures w14:val="none"/>
        </w:rPr>
      </w:pPr>
      <w:r>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kern w:val="0"/>
          <w14:ligatures w14:val="none"/>
        </w:rPr>
        <w:t xml:space="preserve"> states that it </w:t>
      </w:r>
      <w:r w:rsidRPr="3642958B" w:rsidR="001D3D47">
        <w:rPr>
          <w:rFonts w:ascii="Palatino Linotype" w:hAnsi="Palatino Linotype" w:eastAsia="Palatino Linotype" w:cs="Times New Roman"/>
          <w:color w:val="000000" w:themeColor="text1"/>
        </w:rPr>
        <w:t xml:space="preserve">seeks to develop projects within the </w:t>
      </w:r>
      <w:r w:rsidRPr="3642958B" w:rsidR="00B25228">
        <w:rPr>
          <w:rFonts w:ascii="Palatino Linotype" w:hAnsi="Palatino Linotype" w:eastAsia="Palatino Linotype" w:cs="Times New Roman"/>
          <w:color w:val="000000" w:themeColor="text1"/>
          <w:kern w:val="0"/>
          <w14:ligatures w14:val="none"/>
        </w:rPr>
        <w:t>System Design &amp; Materials</w:t>
      </w:r>
      <w:r w:rsidRPr="3642958B" w:rsidR="001D3D47">
        <w:rPr>
          <w:rFonts w:ascii="Palatino Linotype" w:hAnsi="Palatino Linotype" w:eastAsia="Palatino Linotype" w:cs="Times New Roman"/>
          <w:color w:val="000000" w:themeColor="text1"/>
          <w:kern w:val="0"/>
          <w14:ligatures w14:val="none"/>
        </w:rPr>
        <w:t xml:space="preserve"> Initiative to </w:t>
      </w:r>
      <w:r w:rsidRPr="3642958B" w:rsidR="00200702">
        <w:rPr>
          <w:rFonts w:ascii="Palatino Linotype" w:hAnsi="Palatino Linotype" w:eastAsia="Palatino Linotype" w:cs="Times New Roman"/>
          <w:color w:val="000000" w:themeColor="text1"/>
          <w:kern w:val="0"/>
          <w14:ligatures w14:val="none"/>
        </w:rPr>
        <w:t xml:space="preserve">modernize infrastructure to accommodate new fuel sources, incorporate modern technology, and align with regulatory policies. Research </w:t>
      </w:r>
      <w:r w:rsidRPr="3642958B" w:rsidR="246E8EEC">
        <w:rPr>
          <w:rFonts w:ascii="Palatino Linotype" w:hAnsi="Palatino Linotype" w:eastAsia="Palatino Linotype" w:cs="Times New Roman"/>
          <w:color w:val="000000" w:themeColor="text1"/>
        </w:rPr>
        <w:t>Topics</w:t>
      </w:r>
      <w:r w:rsidRPr="3642958B" w:rsidR="00200702">
        <w:rPr>
          <w:rFonts w:ascii="Palatino Linotype" w:hAnsi="Palatino Linotype" w:eastAsia="Palatino Linotype" w:cs="Times New Roman"/>
          <w:color w:val="000000" w:themeColor="text1"/>
        </w:rPr>
        <w:t xml:space="preserve"> include</w:t>
      </w:r>
      <w:r w:rsidR="00A6657A">
        <w:rPr>
          <w:rFonts w:ascii="Palatino Linotype" w:hAnsi="Palatino Linotype" w:eastAsia="Palatino Linotype" w:cs="Times New Roman"/>
          <w:color w:val="000000" w:themeColor="text1"/>
        </w:rPr>
        <w:t>:</w:t>
      </w:r>
      <w:r w:rsidRPr="3642958B" w:rsidR="00200702">
        <w:rPr>
          <w:rFonts w:ascii="Palatino Linotype" w:hAnsi="Palatino Linotype" w:eastAsia="Palatino Linotype" w:cs="Times New Roman"/>
          <w:color w:val="000000" w:themeColor="text1"/>
        </w:rPr>
        <w:t xml:space="preserve"> (i) increased life of assets, (ii) optimize system materials, (iii</w:t>
      </w:r>
      <w:r w:rsidRPr="3642958B" w:rsidR="00404BE4">
        <w:rPr>
          <w:rFonts w:ascii="Palatino Linotype" w:hAnsi="Palatino Linotype" w:eastAsia="Palatino Linotype" w:cs="Times New Roman"/>
          <w:color w:val="000000" w:themeColor="text1"/>
        </w:rPr>
        <w:t xml:space="preserve">) infrastructure compatibility with RNG feedstocks and non-pipeline alternatives, and (iv) new/updated </w:t>
      </w:r>
      <w:r w:rsidRPr="3642958B">
        <w:rPr>
          <w:rFonts w:ascii="Palatino Linotype" w:hAnsi="Palatino Linotype"/>
          <w:color w:val="000000" w:themeColor="text1"/>
        </w:rPr>
        <w:t>SoCalGas</w:t>
      </w:r>
      <w:r w:rsidRPr="3642958B" w:rsidR="00404BE4">
        <w:rPr>
          <w:rFonts w:ascii="Palatino Linotype" w:hAnsi="Palatino Linotype" w:eastAsia="Palatino Linotype" w:cs="Times New Roman"/>
          <w:color w:val="000000" w:themeColor="text1"/>
        </w:rPr>
        <w:t xml:space="preserve">-specific models and risk analyses. </w:t>
      </w:r>
      <w:r w:rsidRPr="3642958B">
        <w:rPr>
          <w:rFonts w:ascii="Palatino Linotype" w:hAnsi="Palatino Linotype"/>
          <w:color w:val="000000" w:themeColor="text1"/>
        </w:rPr>
        <w:t>SoCalGas</w:t>
      </w:r>
      <w:r w:rsidRPr="3642958B" w:rsidR="00404BE4">
        <w:rPr>
          <w:rFonts w:ascii="Palatino Linotype" w:hAnsi="Palatino Linotype" w:eastAsia="Palatino Linotype" w:cs="Times New Roman"/>
          <w:color w:val="000000" w:themeColor="text1"/>
        </w:rPr>
        <w:t xml:space="preserve"> lists potential metrics for tracking and evaluating impacts from the Initiative, including reductions in both </w:t>
      </w:r>
      <w:r w:rsidRPr="3642958B" w:rsidR="00FD5F44">
        <w:rPr>
          <w:rFonts w:ascii="Palatino Linotype" w:hAnsi="Palatino Linotype" w:eastAsia="Palatino Linotype" w:cs="Times New Roman"/>
          <w:color w:val="000000" w:themeColor="text1"/>
        </w:rPr>
        <w:t xml:space="preserve">operating costs associated with physical emergency response through equipment automation and installation costs associated with optimizing corrosion control practices. </w:t>
      </w:r>
      <w:r w:rsidRPr="3642958B">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rPr>
        <w:t xml:space="preserve"> proposes to allocate $2,001,614 in its 2024 Plan.</w:t>
      </w:r>
    </w:p>
    <w:p w:rsidRPr="004970BE" w:rsidR="008B2295" w:rsidP="001D3D47" w:rsidRDefault="008B2295" w14:paraId="75C32999" w14:textId="77777777">
      <w:pPr>
        <w:spacing w:after="0" w:line="276" w:lineRule="auto"/>
        <w:ind w:left="720"/>
        <w:rPr>
          <w:rFonts w:ascii="Palatino Linotype" w:hAnsi="Palatino Linotype" w:eastAsia="Palatino Linotype" w:cs="Times New Roman"/>
          <w:bCs/>
          <w:color w:val="000000" w:themeColor="text1"/>
          <w:kern w:val="0"/>
          <w14:ligatures w14:val="none"/>
        </w:rPr>
      </w:pPr>
    </w:p>
    <w:p w:rsidRPr="001D3D47" w:rsidR="008B2295" w:rsidP="00477204" w:rsidRDefault="00397D87" w14:paraId="6CC41356" w14:textId="032C7C62">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System Inspection &amp; Monitoring</w:t>
      </w:r>
      <w:r w:rsidRPr="3642958B" w:rsidR="002953A9">
        <w:rPr>
          <w:rStyle w:val="FootnoteReference"/>
          <w:rFonts w:ascii="Palatino Linotype" w:hAnsi="Palatino Linotype" w:eastAsia="Palatino Linotype" w:cs="Times New Roman"/>
          <w:color w:val="000000" w:themeColor="text1"/>
        </w:rPr>
        <w:footnoteReference w:id="22"/>
      </w:r>
    </w:p>
    <w:p w:rsidRPr="004970BE" w:rsidR="001D3D47" w:rsidP="3642958B" w:rsidRDefault="004C5DEA" w14:paraId="3AAE1367" w14:textId="4CF243E6">
      <w:pPr>
        <w:spacing w:after="0" w:line="276" w:lineRule="auto"/>
        <w:ind w:left="720"/>
        <w:rPr>
          <w:rFonts w:ascii="Palatino Linotype" w:hAnsi="Palatino Linotype" w:eastAsia="Palatino Linotype" w:cs="Times New Roman"/>
          <w:color w:val="000000" w:themeColor="text1"/>
          <w:kern w:val="0"/>
          <w14:ligatures w14:val="none"/>
        </w:rPr>
      </w:pPr>
      <w:r>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kern w:val="0"/>
          <w14:ligatures w14:val="none"/>
        </w:rPr>
        <w:t xml:space="preserve"> states that it </w:t>
      </w:r>
      <w:r w:rsidRPr="3642958B" w:rsidR="001D3D47">
        <w:rPr>
          <w:rFonts w:ascii="Palatino Linotype" w:hAnsi="Palatino Linotype" w:eastAsia="Palatino Linotype" w:cs="Times New Roman"/>
          <w:color w:val="000000" w:themeColor="text1"/>
        </w:rPr>
        <w:t xml:space="preserve">seeks to develop projects within the </w:t>
      </w:r>
      <w:r w:rsidRPr="3642958B" w:rsidR="00B25228">
        <w:rPr>
          <w:rFonts w:ascii="Palatino Linotype" w:hAnsi="Palatino Linotype" w:eastAsia="Palatino Linotype" w:cs="Times New Roman"/>
          <w:color w:val="000000" w:themeColor="text1"/>
          <w:kern w:val="0"/>
          <w14:ligatures w14:val="none"/>
        </w:rPr>
        <w:t>System Inspection &amp; Monitoring</w:t>
      </w:r>
      <w:r w:rsidRPr="3642958B" w:rsidR="001D3D47">
        <w:rPr>
          <w:rFonts w:ascii="Palatino Linotype" w:hAnsi="Palatino Linotype" w:eastAsia="Palatino Linotype" w:cs="Times New Roman"/>
          <w:color w:val="000000" w:themeColor="text1"/>
          <w:kern w:val="0"/>
          <w14:ligatures w14:val="none"/>
        </w:rPr>
        <w:t xml:space="preserve"> Initiative to </w:t>
      </w:r>
      <w:r w:rsidRPr="3642958B" w:rsidR="00D35E13">
        <w:rPr>
          <w:rFonts w:ascii="Palatino Linotype" w:hAnsi="Palatino Linotype" w:eastAsia="Palatino Linotype" w:cs="Times New Roman"/>
          <w:color w:val="000000" w:themeColor="text1"/>
          <w:kern w:val="0"/>
          <w14:ligatures w14:val="none"/>
        </w:rPr>
        <w:t>advance real-time pipeline and storage infrastructure inspection and monitoring technologies to deliver higher-fidelity data faster—enhancing safety, reliability, and operational efficiency</w:t>
      </w:r>
      <w:r w:rsidRPr="3642958B" w:rsidR="001D3D47">
        <w:rPr>
          <w:rFonts w:ascii="Palatino Linotype" w:hAnsi="Palatino Linotype" w:eastAsia="Palatino Linotype" w:cs="Times New Roman"/>
          <w:color w:val="000000" w:themeColor="text1"/>
          <w:kern w:val="0"/>
          <w14:ligatures w14:val="none"/>
        </w:rPr>
        <w:t>.</w:t>
      </w:r>
      <w:r w:rsidRPr="3642958B" w:rsidR="00D35E13">
        <w:rPr>
          <w:rFonts w:ascii="Palatino Linotype" w:hAnsi="Palatino Linotype" w:eastAsia="Palatino Linotype" w:cs="Times New Roman"/>
          <w:color w:val="000000" w:themeColor="text1"/>
          <w:kern w:val="0"/>
          <w14:ligatures w14:val="none"/>
        </w:rPr>
        <w:t xml:space="preserve"> Research </w:t>
      </w:r>
      <w:r w:rsidRPr="3642958B" w:rsidR="52D6D0D5">
        <w:rPr>
          <w:rFonts w:ascii="Palatino Linotype" w:hAnsi="Palatino Linotype" w:eastAsia="Palatino Linotype" w:cs="Times New Roman"/>
          <w:color w:val="000000" w:themeColor="text1"/>
        </w:rPr>
        <w:t>Topics</w:t>
      </w:r>
      <w:r w:rsidRPr="3642958B" w:rsidR="00D35E13">
        <w:rPr>
          <w:rFonts w:ascii="Palatino Linotype" w:hAnsi="Palatino Linotype" w:eastAsia="Palatino Linotype" w:cs="Times New Roman"/>
          <w:color w:val="000000" w:themeColor="text1"/>
        </w:rPr>
        <w:t xml:space="preserve"> </w:t>
      </w:r>
      <w:proofErr w:type="gramStart"/>
      <w:r w:rsidRPr="3642958B" w:rsidR="00D35E13">
        <w:rPr>
          <w:rFonts w:ascii="Palatino Linotype" w:hAnsi="Palatino Linotype" w:eastAsia="Palatino Linotype" w:cs="Times New Roman"/>
          <w:color w:val="000000" w:themeColor="text1"/>
        </w:rPr>
        <w:t>include</w:t>
      </w:r>
      <w:r w:rsidR="00207085">
        <w:rPr>
          <w:rFonts w:ascii="Palatino Linotype" w:hAnsi="Palatino Linotype" w:eastAsia="Palatino Linotype" w:cs="Times New Roman"/>
          <w:color w:val="000000" w:themeColor="text1"/>
        </w:rPr>
        <w:t>:</w:t>
      </w:r>
      <w:proofErr w:type="gramEnd"/>
      <w:r w:rsidRPr="3642958B" w:rsidR="00D35E13">
        <w:rPr>
          <w:rFonts w:ascii="Palatino Linotype" w:hAnsi="Palatino Linotype" w:eastAsia="Palatino Linotype" w:cs="Times New Roman"/>
          <w:color w:val="000000" w:themeColor="text1"/>
        </w:rPr>
        <w:t xml:space="preserve"> </w:t>
      </w:r>
      <w:r w:rsidRPr="3642958B" w:rsidR="00353A29">
        <w:rPr>
          <w:rFonts w:ascii="Palatino Linotype" w:hAnsi="Palatino Linotype" w:eastAsia="Palatino Linotype" w:cs="Times New Roman"/>
          <w:color w:val="000000" w:themeColor="text1"/>
        </w:rPr>
        <w:t>advanc</w:t>
      </w:r>
      <w:r w:rsidR="00207085">
        <w:rPr>
          <w:rFonts w:ascii="Palatino Linotype" w:hAnsi="Palatino Linotype" w:eastAsia="Palatino Linotype" w:cs="Times New Roman"/>
          <w:color w:val="000000" w:themeColor="text1"/>
        </w:rPr>
        <w:t>ing</w:t>
      </w:r>
      <w:r w:rsidRPr="3642958B" w:rsidR="00353A29">
        <w:rPr>
          <w:rFonts w:ascii="Palatino Linotype" w:hAnsi="Palatino Linotype" w:eastAsia="Palatino Linotype" w:cs="Times New Roman"/>
          <w:color w:val="000000" w:themeColor="text1"/>
        </w:rPr>
        <w:t xml:space="preserve"> </w:t>
      </w:r>
      <w:r w:rsidRPr="3642958B" w:rsidR="003A0AC5">
        <w:rPr>
          <w:rFonts w:ascii="Palatino Linotype" w:hAnsi="Palatino Linotype" w:eastAsia="Palatino Linotype" w:cs="Times New Roman"/>
          <w:color w:val="000000" w:themeColor="text1"/>
        </w:rPr>
        <w:t xml:space="preserve">(i) </w:t>
      </w:r>
      <w:r w:rsidRPr="3642958B" w:rsidR="00353A29">
        <w:rPr>
          <w:rFonts w:ascii="Palatino Linotype" w:hAnsi="Palatino Linotype" w:eastAsia="Palatino Linotype" w:cs="Times New Roman"/>
          <w:color w:val="000000" w:themeColor="text1"/>
        </w:rPr>
        <w:t xml:space="preserve">pipeline inspection tools, (ii) </w:t>
      </w:r>
      <w:r w:rsidRPr="3642958B" w:rsidR="003A0AC5">
        <w:rPr>
          <w:rFonts w:ascii="Palatino Linotype" w:hAnsi="Palatino Linotype" w:eastAsia="Palatino Linotype" w:cs="Times New Roman"/>
          <w:color w:val="000000" w:themeColor="text1"/>
        </w:rPr>
        <w:t xml:space="preserve">pipeline infrastructure monitoring technologies, (iii) storage infrastructure inspection and monitoring, and </w:t>
      </w:r>
      <w:r w:rsidR="00B54D97">
        <w:rPr>
          <w:rFonts w:ascii="Palatino Linotype" w:hAnsi="Palatino Linotype" w:eastAsia="Palatino Linotype" w:cs="Times New Roman"/>
          <w:color w:val="000000" w:themeColor="text1"/>
        </w:rPr>
        <w:br/>
      </w:r>
      <w:r w:rsidRPr="3642958B" w:rsidR="003A0AC5">
        <w:rPr>
          <w:rFonts w:ascii="Palatino Linotype" w:hAnsi="Palatino Linotype" w:eastAsia="Palatino Linotype" w:cs="Times New Roman"/>
          <w:color w:val="000000" w:themeColor="text1"/>
        </w:rPr>
        <w:t>(iv</w:t>
      </w:r>
      <w:r w:rsidRPr="3642958B" w:rsidR="00731857">
        <w:rPr>
          <w:rFonts w:ascii="Palatino Linotype" w:hAnsi="Palatino Linotype" w:eastAsia="Palatino Linotype" w:cs="Times New Roman"/>
          <w:color w:val="000000" w:themeColor="text1"/>
        </w:rPr>
        <w:t xml:space="preserve">) geohazard monitoring technologies. </w:t>
      </w:r>
      <w:r w:rsidRPr="3642958B">
        <w:rPr>
          <w:rFonts w:ascii="Palatino Linotype" w:hAnsi="Palatino Linotype"/>
          <w:color w:val="000000" w:themeColor="text1"/>
        </w:rPr>
        <w:t>SoCalGas</w:t>
      </w:r>
      <w:r w:rsidRPr="3642958B" w:rsidR="00D35E13">
        <w:rPr>
          <w:rFonts w:ascii="Palatino Linotype" w:hAnsi="Palatino Linotype" w:eastAsia="Palatino Linotype" w:cs="Times New Roman"/>
          <w:color w:val="000000" w:themeColor="text1"/>
        </w:rPr>
        <w:t xml:space="preserve"> lists potential metrics for tracking and evaluating impacts from the Initiative, including</w:t>
      </w:r>
      <w:r w:rsidRPr="3642958B" w:rsidR="00731857">
        <w:rPr>
          <w:rFonts w:ascii="Palatino Linotype" w:hAnsi="Palatino Linotype" w:eastAsia="Palatino Linotype" w:cs="Times New Roman"/>
          <w:color w:val="000000" w:themeColor="text1"/>
        </w:rPr>
        <w:t xml:space="preserve"> reductions in both monitoring costs associated with remote monitoring vs. traditional in person monitoring and inspection costs associated with new technology efficiencies. </w:t>
      </w:r>
      <w:r w:rsidRPr="3642958B">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rPr>
        <w:t xml:space="preserve"> proposes to allocate $2,259,555 in its 2024 Plan.</w:t>
      </w:r>
    </w:p>
    <w:p w:rsidRPr="004970BE" w:rsidR="008B2295" w:rsidP="008B2295" w:rsidRDefault="008B2295" w14:paraId="6DD065A0"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8B2295" w:rsidP="00B54D97" w:rsidRDefault="002263B2" w14:paraId="6372A039" w14:textId="4D8A12FC">
      <w:pPr>
        <w:pStyle w:val="ListParagraph"/>
        <w:keepNext/>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lastRenderedPageBreak/>
        <w:t>R</w:t>
      </w:r>
      <w:r w:rsidR="003A2B75">
        <w:rPr>
          <w:rFonts w:ascii="Palatino Linotype" w:hAnsi="Palatino Linotype" w:eastAsia="Palatino Linotype" w:cs="Times New Roman"/>
          <w:bCs/>
          <w:color w:val="000000" w:themeColor="text1"/>
          <w:kern w:val="0"/>
          <w14:ligatures w14:val="none"/>
        </w:rPr>
        <w:t>enewable Natural Gas (R</w:t>
      </w:r>
      <w:r w:rsidRPr="004970BE">
        <w:rPr>
          <w:rFonts w:ascii="Palatino Linotype" w:hAnsi="Palatino Linotype" w:eastAsia="Palatino Linotype" w:cs="Times New Roman"/>
          <w:bCs/>
          <w:color w:val="000000" w:themeColor="text1"/>
          <w:kern w:val="0"/>
          <w14:ligatures w14:val="none"/>
        </w:rPr>
        <w:t>NG</w:t>
      </w:r>
      <w:r w:rsidR="003A2B75">
        <w:rPr>
          <w:rFonts w:ascii="Palatino Linotype" w:hAnsi="Palatino Linotype" w:eastAsia="Palatino Linotype" w:cs="Times New Roman"/>
          <w:bCs/>
          <w:color w:val="000000" w:themeColor="text1"/>
          <w:kern w:val="0"/>
          <w14:ligatures w14:val="none"/>
        </w:rPr>
        <w:t>)</w:t>
      </w:r>
      <w:r w:rsidRPr="004970BE">
        <w:rPr>
          <w:rFonts w:ascii="Palatino Linotype" w:hAnsi="Palatino Linotype" w:eastAsia="Palatino Linotype" w:cs="Times New Roman"/>
          <w:bCs/>
          <w:color w:val="000000" w:themeColor="text1"/>
          <w:kern w:val="0"/>
          <w14:ligatures w14:val="none"/>
        </w:rPr>
        <w:t xml:space="preserve"> Infrastructure Optimization</w:t>
      </w:r>
      <w:r w:rsidRPr="3642958B" w:rsidR="002953A9">
        <w:rPr>
          <w:rStyle w:val="FootnoteReference"/>
          <w:rFonts w:ascii="Palatino Linotype" w:hAnsi="Palatino Linotype" w:eastAsia="Palatino Linotype" w:cs="Times New Roman"/>
          <w:color w:val="000000" w:themeColor="text1"/>
        </w:rPr>
        <w:footnoteReference w:id="23"/>
      </w:r>
    </w:p>
    <w:p w:rsidR="00D35E13" w:rsidP="00B54D97" w:rsidRDefault="004C5DEA" w14:paraId="7E6569E9" w14:textId="0C22FDD4">
      <w:pPr>
        <w:keepNext/>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1D3D47">
        <w:rPr>
          <w:rFonts w:ascii="Palatino Linotype" w:hAnsi="Palatino Linotype" w:eastAsia="Palatino Linotype" w:cs="Times New Roman"/>
          <w:bCs/>
          <w:color w:val="000000" w:themeColor="text1"/>
          <w:kern w:val="0"/>
          <w14:ligatures w14:val="none"/>
        </w:rPr>
        <w:t xml:space="preserve"> states that i</w:t>
      </w:r>
      <w:r w:rsidR="001D3D47">
        <w:rPr>
          <w:rFonts w:ascii="Palatino Linotype" w:hAnsi="Palatino Linotype" w:eastAsia="Palatino Linotype" w:cs="Times New Roman"/>
          <w:bCs/>
          <w:color w:val="000000" w:themeColor="text1"/>
          <w:kern w:val="0"/>
          <w14:ligatures w14:val="none"/>
        </w:rPr>
        <w:t>t</w:t>
      </w:r>
      <w:r w:rsidRPr="004970BE" w:rsidR="001D3D47">
        <w:rPr>
          <w:rFonts w:ascii="Palatino Linotype" w:hAnsi="Palatino Linotype" w:eastAsia="Palatino Linotype" w:cs="Times New Roman"/>
          <w:bCs/>
          <w:color w:val="000000" w:themeColor="text1"/>
          <w:kern w:val="0"/>
          <w14:ligatures w14:val="none"/>
        </w:rPr>
        <w:t xml:space="preserve"> seeks to develop projects within the </w:t>
      </w:r>
      <w:r w:rsidRPr="00B25228" w:rsidR="00B25228">
        <w:rPr>
          <w:rFonts w:ascii="Palatino Linotype" w:hAnsi="Palatino Linotype" w:eastAsia="Palatino Linotype" w:cs="Times New Roman"/>
          <w:bCs/>
          <w:color w:val="000000" w:themeColor="text1"/>
          <w:kern w:val="0"/>
          <w14:ligatures w14:val="none"/>
        </w:rPr>
        <w:t>RNG Infrastructure Optimization</w:t>
      </w:r>
      <w:r w:rsidRPr="004970BE" w:rsidR="001D3D47">
        <w:rPr>
          <w:rFonts w:ascii="Palatino Linotype" w:hAnsi="Palatino Linotype" w:eastAsia="Palatino Linotype" w:cs="Times New Roman"/>
          <w:bCs/>
          <w:color w:val="000000" w:themeColor="text1"/>
          <w:kern w:val="0"/>
          <w14:ligatures w14:val="none"/>
        </w:rPr>
        <w:t xml:space="preserve"> Initiative </w:t>
      </w:r>
      <w:r w:rsidRPr="004970BE" w:rsidR="00153A49">
        <w:rPr>
          <w:rFonts w:ascii="Palatino Linotype" w:hAnsi="Palatino Linotype" w:eastAsia="Palatino Linotype" w:cs="Times New Roman"/>
          <w:bCs/>
          <w:color w:val="000000" w:themeColor="text1"/>
          <w:kern w:val="0"/>
          <w14:ligatures w14:val="none"/>
        </w:rPr>
        <w:t xml:space="preserve">to </w:t>
      </w:r>
      <w:r w:rsidR="00587338">
        <w:rPr>
          <w:rFonts w:ascii="Palatino Linotype" w:hAnsi="Palatino Linotype" w:eastAsia="Palatino Linotype" w:cs="Times New Roman"/>
          <w:bCs/>
          <w:color w:val="000000" w:themeColor="text1"/>
          <w:kern w:val="0"/>
          <w14:ligatures w14:val="none"/>
        </w:rPr>
        <w:t>i</w:t>
      </w:r>
      <w:r w:rsidRPr="00587338" w:rsidR="00587338">
        <w:rPr>
          <w:rFonts w:ascii="Palatino Linotype" w:hAnsi="Palatino Linotype" w:eastAsia="Palatino Linotype" w:cs="Times New Roman"/>
          <w:bCs/>
          <w:color w:val="000000" w:themeColor="text1"/>
          <w:kern w:val="0"/>
          <w14:ligatures w14:val="none"/>
        </w:rPr>
        <w:t>ncrease the</w:t>
      </w:r>
      <w:r w:rsidR="00587338">
        <w:rPr>
          <w:rFonts w:ascii="Palatino Linotype" w:hAnsi="Palatino Linotype" w:eastAsia="Palatino Linotype" w:cs="Times New Roman"/>
          <w:bCs/>
          <w:color w:val="000000" w:themeColor="text1"/>
          <w:kern w:val="0"/>
          <w14:ligatures w14:val="none"/>
        </w:rPr>
        <w:t xml:space="preserve"> </w:t>
      </w:r>
      <w:r w:rsidRPr="00587338" w:rsidR="00587338">
        <w:rPr>
          <w:rFonts w:ascii="Palatino Linotype" w:hAnsi="Palatino Linotype" w:eastAsia="Palatino Linotype" w:cs="Times New Roman"/>
          <w:bCs/>
          <w:color w:val="000000" w:themeColor="text1"/>
          <w:kern w:val="0"/>
          <w14:ligatures w14:val="none"/>
        </w:rPr>
        <w:t>supply of affordable, safe, and reliable RNG with technologies that lower RNG interconnection an</w:t>
      </w:r>
      <w:r w:rsidR="00587338">
        <w:rPr>
          <w:rFonts w:ascii="Palatino Linotype" w:hAnsi="Palatino Linotype" w:eastAsia="Palatino Linotype" w:cs="Times New Roman"/>
          <w:bCs/>
          <w:color w:val="000000" w:themeColor="text1"/>
          <w:kern w:val="0"/>
          <w14:ligatures w14:val="none"/>
        </w:rPr>
        <w:t xml:space="preserve">d </w:t>
      </w:r>
      <w:r w:rsidRPr="00587338" w:rsidR="00587338">
        <w:rPr>
          <w:rFonts w:ascii="Palatino Linotype" w:hAnsi="Palatino Linotype" w:eastAsia="Palatino Linotype" w:cs="Times New Roman"/>
          <w:bCs/>
          <w:color w:val="000000" w:themeColor="text1"/>
          <w:kern w:val="0"/>
          <w14:ligatures w14:val="none"/>
        </w:rPr>
        <w:t>integration costs.</w:t>
      </w:r>
    </w:p>
    <w:p w:rsidRPr="004970BE" w:rsidR="001D3D47" w:rsidP="3642958B" w:rsidRDefault="00D35E13" w14:paraId="33287FB7" w14:textId="3710F440">
      <w:pPr>
        <w:spacing w:after="0" w:line="276" w:lineRule="auto"/>
        <w:ind w:left="720"/>
        <w:rPr>
          <w:rFonts w:ascii="Palatino Linotype" w:hAnsi="Palatino Linotype" w:eastAsia="Palatino Linotype" w:cs="Times New Roman"/>
          <w:color w:val="000000" w:themeColor="text1"/>
          <w:kern w:val="0"/>
          <w14:ligatures w14:val="none"/>
        </w:rPr>
      </w:pPr>
      <w:r w:rsidRPr="3642958B">
        <w:rPr>
          <w:rFonts w:ascii="Palatino Linotype" w:hAnsi="Palatino Linotype" w:eastAsia="Palatino Linotype" w:cs="Times New Roman"/>
          <w:color w:val="000000" w:themeColor="text1"/>
          <w:kern w:val="0"/>
          <w14:ligatures w14:val="none"/>
        </w:rPr>
        <w:t xml:space="preserve">Research </w:t>
      </w:r>
      <w:r w:rsidRPr="3642958B" w:rsidR="417EC676">
        <w:rPr>
          <w:rFonts w:ascii="Palatino Linotype" w:hAnsi="Palatino Linotype" w:eastAsia="Palatino Linotype" w:cs="Times New Roman"/>
          <w:color w:val="000000" w:themeColor="text1"/>
          <w:kern w:val="0"/>
          <w14:ligatures w14:val="none"/>
        </w:rPr>
        <w:t>Topics</w:t>
      </w:r>
      <w:r w:rsidRPr="3642958B">
        <w:rPr>
          <w:rFonts w:ascii="Palatino Linotype" w:hAnsi="Palatino Linotype" w:eastAsia="Palatino Linotype" w:cs="Times New Roman"/>
          <w:color w:val="000000" w:themeColor="text1"/>
        </w:rPr>
        <w:t xml:space="preserve"> include</w:t>
      </w:r>
      <w:r w:rsidR="00207085">
        <w:rPr>
          <w:rFonts w:ascii="Palatino Linotype" w:hAnsi="Palatino Linotype" w:eastAsia="Palatino Linotype" w:cs="Times New Roman"/>
          <w:color w:val="000000" w:themeColor="text1"/>
        </w:rPr>
        <w:t>:</w:t>
      </w:r>
      <w:r w:rsidRPr="3642958B">
        <w:rPr>
          <w:rFonts w:ascii="Palatino Linotype" w:hAnsi="Palatino Linotype" w:eastAsia="Palatino Linotype" w:cs="Times New Roman"/>
          <w:color w:val="000000" w:themeColor="text1"/>
        </w:rPr>
        <w:t xml:space="preserve"> (i)</w:t>
      </w:r>
      <w:r w:rsidRPr="3642958B" w:rsidR="00211E8E">
        <w:rPr>
          <w:rFonts w:ascii="Palatino Linotype" w:hAnsi="Palatino Linotype" w:eastAsia="Palatino Linotype" w:cs="Times New Roman"/>
          <w:color w:val="000000" w:themeColor="text1"/>
        </w:rPr>
        <w:t xml:space="preserve"> advanced interconnection design, (ii) pipeline utilization strategies, and (iii) improve system efficiency. </w:t>
      </w:r>
      <w:r w:rsidRPr="3642958B" w:rsidR="004C5DEA">
        <w:rPr>
          <w:rFonts w:ascii="Palatino Linotype" w:hAnsi="Palatino Linotype"/>
          <w:color w:val="000000" w:themeColor="text1"/>
        </w:rPr>
        <w:t>SoCalGas</w:t>
      </w:r>
      <w:r w:rsidRPr="3642958B">
        <w:rPr>
          <w:rFonts w:ascii="Palatino Linotype" w:hAnsi="Palatino Linotype" w:eastAsia="Palatino Linotype" w:cs="Times New Roman"/>
          <w:color w:val="000000" w:themeColor="text1"/>
        </w:rPr>
        <w:t xml:space="preserve"> lists potential metrics for tracking and evaluating impacts from the Initiative, including</w:t>
      </w:r>
      <w:r w:rsidRPr="3642958B" w:rsidR="0060204B">
        <w:rPr>
          <w:rFonts w:ascii="Palatino Linotype" w:hAnsi="Palatino Linotype" w:eastAsia="Palatino Linotype" w:cs="Times New Roman"/>
          <w:color w:val="000000" w:themeColor="text1"/>
        </w:rPr>
        <w:t xml:space="preserve"> reductions in GHG emissions and operations and maintenance and capital costs. </w:t>
      </w:r>
      <w:r w:rsidRPr="3642958B" w:rsidR="001D3D47">
        <w:rPr>
          <w:rFonts w:ascii="Palatino Linotype" w:hAnsi="Palatino Linotype" w:eastAsia="Palatino Linotype" w:cs="Times New Roman"/>
          <w:color w:val="000000" w:themeColor="text1"/>
        </w:rPr>
        <w:t>S</w:t>
      </w:r>
      <w:r w:rsidRPr="3642958B" w:rsidR="0091576A">
        <w:rPr>
          <w:rFonts w:ascii="Palatino Linotype" w:hAnsi="Palatino Linotype" w:eastAsia="Palatino Linotype" w:cs="Times New Roman"/>
          <w:color w:val="000000" w:themeColor="text1"/>
        </w:rPr>
        <w:t>oCalGas</w:t>
      </w:r>
      <w:r w:rsidRPr="3642958B" w:rsidR="001D3D47">
        <w:rPr>
          <w:rFonts w:ascii="Palatino Linotype" w:hAnsi="Palatino Linotype" w:eastAsia="Palatino Linotype" w:cs="Times New Roman"/>
          <w:color w:val="000000" w:themeColor="text1"/>
        </w:rPr>
        <w:t xml:space="preserve"> proposes to allocate $2,090,927 in its 2024 Plan.</w:t>
      </w:r>
    </w:p>
    <w:p w:rsidRPr="004970BE" w:rsidR="008B2295" w:rsidP="008B2295" w:rsidRDefault="008B2295" w14:paraId="727321DC"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8B2295" w:rsidP="00477204" w:rsidRDefault="00BC1D4B" w14:paraId="45B03CE5" w14:textId="0E017A2B">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Gas &amp; Energy Storage</w:t>
      </w:r>
      <w:r w:rsidRPr="3642958B" w:rsidR="002953A9">
        <w:rPr>
          <w:rStyle w:val="FootnoteReference"/>
          <w:rFonts w:ascii="Palatino Linotype" w:hAnsi="Palatino Linotype" w:eastAsia="Palatino Linotype" w:cs="Times New Roman"/>
          <w:color w:val="000000" w:themeColor="text1"/>
        </w:rPr>
        <w:footnoteReference w:id="24"/>
      </w:r>
    </w:p>
    <w:p w:rsidRPr="004970BE" w:rsidR="001D3D47" w:rsidP="3642958B" w:rsidRDefault="004C5DEA" w14:paraId="2B4D4902" w14:textId="7DC88C5D">
      <w:pPr>
        <w:spacing w:after="0" w:line="276" w:lineRule="auto"/>
        <w:ind w:left="720"/>
        <w:rPr>
          <w:rFonts w:ascii="Palatino Linotype" w:hAnsi="Palatino Linotype" w:eastAsia="Palatino Linotype" w:cs="Times New Roman"/>
          <w:color w:val="000000" w:themeColor="text1"/>
          <w:kern w:val="0"/>
          <w14:ligatures w14:val="none"/>
        </w:rPr>
      </w:pPr>
      <w:r>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kern w:val="0"/>
          <w14:ligatures w14:val="none"/>
        </w:rPr>
        <w:t xml:space="preserve"> states that it </w:t>
      </w:r>
      <w:r w:rsidRPr="3642958B" w:rsidR="001D3D47">
        <w:rPr>
          <w:rFonts w:ascii="Palatino Linotype" w:hAnsi="Palatino Linotype" w:eastAsia="Palatino Linotype" w:cs="Times New Roman"/>
          <w:color w:val="000000" w:themeColor="text1"/>
        </w:rPr>
        <w:t>seeks to develop projects within the</w:t>
      </w:r>
      <w:r w:rsidRPr="3642958B" w:rsidR="00B25228">
        <w:rPr>
          <w:rFonts w:ascii="Palatino Linotype" w:hAnsi="Palatino Linotype" w:eastAsia="Palatino Linotype" w:cs="Times New Roman"/>
          <w:color w:val="000000" w:themeColor="text1"/>
          <w:kern w:val="0"/>
          <w14:ligatures w14:val="none"/>
        </w:rPr>
        <w:t xml:space="preserve"> Gas &amp; Energy Storage</w:t>
      </w:r>
      <w:r w:rsidRPr="3642958B" w:rsidR="001D3D47">
        <w:rPr>
          <w:rFonts w:ascii="Palatino Linotype" w:hAnsi="Palatino Linotype" w:eastAsia="Palatino Linotype" w:cs="Times New Roman"/>
          <w:color w:val="000000" w:themeColor="text1"/>
          <w:kern w:val="0"/>
          <w14:ligatures w14:val="none"/>
        </w:rPr>
        <w:t xml:space="preserve"> Initiative to </w:t>
      </w:r>
      <w:r w:rsidRPr="3642958B" w:rsidR="00FB7E71">
        <w:rPr>
          <w:rFonts w:ascii="Palatino Linotype" w:hAnsi="Palatino Linotype" w:eastAsia="Palatino Linotype" w:cs="Times New Roman"/>
          <w:color w:val="000000" w:themeColor="text1"/>
          <w:kern w:val="0"/>
          <w14:ligatures w14:val="none"/>
        </w:rPr>
        <w:t>optimize</w:t>
      </w:r>
      <w:r w:rsidRPr="3642958B" w:rsidR="00FB7E71">
        <w:rPr>
          <w:rFonts w:ascii="Palatino Linotype" w:hAnsi="Palatino Linotype" w:eastAsia="Palatino Linotype" w:cs="Times New Roman"/>
          <w:color w:val="000000" w:themeColor="text1"/>
        </w:rPr>
        <w:t xml:space="preserve"> gas supply through large-scale storage. </w:t>
      </w:r>
      <w:r w:rsidRPr="3642958B" w:rsidR="00D35E13">
        <w:rPr>
          <w:rFonts w:ascii="Palatino Linotype" w:hAnsi="Palatino Linotype" w:eastAsia="Palatino Linotype" w:cs="Times New Roman"/>
          <w:color w:val="000000" w:themeColor="text1"/>
          <w:kern w:val="0"/>
          <w14:ligatures w14:val="none"/>
        </w:rPr>
        <w:t xml:space="preserve">Research </w:t>
      </w:r>
      <w:r w:rsidRPr="3642958B" w:rsidR="43AB0137">
        <w:rPr>
          <w:rFonts w:ascii="Palatino Linotype" w:hAnsi="Palatino Linotype" w:eastAsia="Palatino Linotype" w:cs="Times New Roman"/>
          <w:color w:val="000000" w:themeColor="text1"/>
          <w:kern w:val="0"/>
          <w14:ligatures w14:val="none"/>
        </w:rPr>
        <w:t>Topics</w:t>
      </w:r>
      <w:r w:rsidRPr="3642958B" w:rsidR="00D35E13">
        <w:rPr>
          <w:rFonts w:ascii="Palatino Linotype" w:hAnsi="Palatino Linotype" w:eastAsia="Palatino Linotype" w:cs="Times New Roman"/>
          <w:color w:val="000000" w:themeColor="text1"/>
        </w:rPr>
        <w:t xml:space="preserve"> include</w:t>
      </w:r>
      <w:r w:rsidRPr="3642958B" w:rsidR="00735BC5">
        <w:rPr>
          <w:rFonts w:ascii="Palatino Linotype" w:hAnsi="Palatino Linotype" w:eastAsia="Palatino Linotype" w:cs="Times New Roman"/>
          <w:color w:val="000000" w:themeColor="text1"/>
        </w:rPr>
        <w:t xml:space="preserve"> evaluating geological hydrogen storage. </w:t>
      </w:r>
      <w:r w:rsidRPr="3642958B">
        <w:rPr>
          <w:rFonts w:ascii="Palatino Linotype" w:hAnsi="Palatino Linotype"/>
          <w:color w:val="000000" w:themeColor="text1"/>
        </w:rPr>
        <w:t>SoCalGas</w:t>
      </w:r>
      <w:r w:rsidRPr="3642958B" w:rsidR="00D35E13">
        <w:rPr>
          <w:rFonts w:ascii="Palatino Linotype" w:hAnsi="Palatino Linotype" w:eastAsia="Palatino Linotype" w:cs="Times New Roman"/>
          <w:color w:val="000000" w:themeColor="text1"/>
        </w:rPr>
        <w:t xml:space="preserve"> lists potential metrics for tracking and evaluating impacts from the Initiative, including</w:t>
      </w:r>
      <w:r w:rsidRPr="3642958B" w:rsidR="00735BC5">
        <w:rPr>
          <w:rFonts w:ascii="Palatino Linotype" w:hAnsi="Palatino Linotype" w:eastAsia="Palatino Linotype" w:cs="Times New Roman"/>
          <w:color w:val="000000" w:themeColor="text1"/>
        </w:rPr>
        <w:t xml:space="preserve"> reductions in both renewable energy costs and curtailed energy. </w:t>
      </w:r>
      <w:r w:rsidRPr="3642958B">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rPr>
        <w:t xml:space="preserve"> proposes to allocate $400,000 in its 2024 Plan.</w:t>
      </w:r>
    </w:p>
    <w:p w:rsidRPr="004970BE" w:rsidR="00BC1D4B" w:rsidP="00BC1D4B" w:rsidRDefault="00BC1D4B" w14:paraId="0D208702" w14:textId="77777777">
      <w:pPr>
        <w:spacing w:after="0" w:line="276" w:lineRule="auto"/>
        <w:rPr>
          <w:rFonts w:ascii="Palatino Linotype" w:hAnsi="Palatino Linotype" w:eastAsia="Palatino Linotype" w:cs="Times New Roman"/>
          <w:bCs/>
          <w:color w:val="000000" w:themeColor="text1"/>
          <w:kern w:val="0"/>
          <w14:ligatures w14:val="none"/>
        </w:rPr>
      </w:pPr>
    </w:p>
    <w:p w:rsidRPr="004970BE" w:rsidR="00BC1D4B" w:rsidP="00BC1D4B" w:rsidRDefault="00BC1D4B" w14:paraId="59951A2C" w14:textId="51AA2552">
      <w:pPr>
        <w:spacing w:after="0" w:line="276" w:lineRule="auto"/>
        <w:rPr>
          <w:rFonts w:ascii="Palatino Linotype" w:hAnsi="Palatino Linotype" w:eastAsia="Palatino Linotype" w:cs="Times New Roman"/>
          <w:bCs/>
          <w:i/>
          <w:iCs/>
          <w:color w:val="000000" w:themeColor="text1"/>
          <w:kern w:val="0"/>
          <w14:ligatures w14:val="none"/>
        </w:rPr>
      </w:pPr>
      <w:r w:rsidRPr="004970BE">
        <w:rPr>
          <w:rFonts w:ascii="Palatino Linotype" w:hAnsi="Palatino Linotype" w:eastAsia="Palatino Linotype" w:cs="Times New Roman"/>
          <w:bCs/>
          <w:i/>
          <w:iCs/>
          <w:color w:val="000000" w:themeColor="text1"/>
          <w:kern w:val="0"/>
          <w14:ligatures w14:val="none"/>
        </w:rPr>
        <w:t xml:space="preserve">Decarbonization Theme Proposed Initiatives </w:t>
      </w:r>
    </w:p>
    <w:p w:rsidRPr="004970BE" w:rsidR="00BC1D4B" w:rsidP="00BC1D4B" w:rsidRDefault="00BC1D4B" w14:paraId="4819F2BC" w14:textId="77777777">
      <w:pPr>
        <w:spacing w:after="0" w:line="276" w:lineRule="auto"/>
        <w:rPr>
          <w:rFonts w:ascii="Palatino Linotype" w:hAnsi="Palatino Linotype" w:eastAsia="Palatino Linotype" w:cs="Times New Roman"/>
          <w:bCs/>
          <w:color w:val="000000" w:themeColor="text1"/>
          <w:kern w:val="0"/>
          <w14:ligatures w14:val="none"/>
        </w:rPr>
      </w:pPr>
    </w:p>
    <w:p w:rsidRPr="004970BE" w:rsidR="00BC1D4B" w:rsidP="00FE76D6" w:rsidRDefault="004C5DEA" w14:paraId="2681ED97" w14:textId="68E39C87">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BC1D4B">
        <w:rPr>
          <w:rFonts w:ascii="Palatino Linotype" w:hAnsi="Palatino Linotype" w:eastAsia="Palatino Linotype" w:cs="Times New Roman"/>
          <w:bCs/>
          <w:color w:val="000000" w:themeColor="text1"/>
          <w:kern w:val="0"/>
          <w14:ligatures w14:val="none"/>
        </w:rPr>
        <w:t xml:space="preserve"> states that it seeks to develop Initiatives within the Gas System Integrity Theme to </w:t>
      </w:r>
      <w:r w:rsidR="00FE76D6">
        <w:rPr>
          <w:rFonts w:ascii="Palatino Linotype" w:hAnsi="Palatino Linotype" w:eastAsia="Palatino Linotype" w:cs="Times New Roman"/>
          <w:bCs/>
          <w:color w:val="000000" w:themeColor="text1"/>
          <w:kern w:val="0"/>
          <w14:ligatures w14:val="none"/>
        </w:rPr>
        <w:t>“</w:t>
      </w:r>
      <w:r w:rsidRPr="00FE76D6" w:rsidR="00FE76D6">
        <w:rPr>
          <w:rFonts w:ascii="Palatino Linotype" w:hAnsi="Palatino Linotype" w:eastAsia="Palatino Linotype" w:cs="Times New Roman"/>
          <w:bCs/>
          <w:color w:val="000000" w:themeColor="text1"/>
          <w:kern w:val="0"/>
          <w14:ligatures w14:val="none"/>
        </w:rPr>
        <w:t>advance technologies that improve the affordability, availability, reliability,</w:t>
      </w:r>
      <w:r w:rsidR="00FE76D6">
        <w:rPr>
          <w:rFonts w:ascii="Palatino Linotype" w:hAnsi="Palatino Linotype" w:eastAsia="Palatino Linotype" w:cs="Times New Roman"/>
          <w:bCs/>
          <w:color w:val="000000" w:themeColor="text1"/>
          <w:kern w:val="0"/>
          <w14:ligatures w14:val="none"/>
        </w:rPr>
        <w:t xml:space="preserve"> </w:t>
      </w:r>
      <w:r w:rsidRPr="00FE76D6" w:rsidR="00FE76D6">
        <w:rPr>
          <w:rFonts w:ascii="Palatino Linotype" w:hAnsi="Palatino Linotype" w:eastAsia="Palatino Linotype" w:cs="Times New Roman"/>
          <w:bCs/>
          <w:color w:val="000000" w:themeColor="text1"/>
          <w:kern w:val="0"/>
          <w14:ligatures w14:val="none"/>
        </w:rPr>
        <w:t>and integration of low-carbon fuels and energy systems for SoCalGas customers</w:t>
      </w:r>
      <w:r w:rsidR="0054393F">
        <w:rPr>
          <w:rFonts w:ascii="Palatino Linotype" w:hAnsi="Palatino Linotype" w:eastAsia="Palatino Linotype" w:cs="Times New Roman"/>
          <w:bCs/>
          <w:color w:val="000000" w:themeColor="text1"/>
          <w:kern w:val="0"/>
          <w14:ligatures w14:val="none"/>
        </w:rPr>
        <w:t xml:space="preserve">… [and] </w:t>
      </w:r>
      <w:r w:rsidRPr="00FE76D6" w:rsidR="00FE76D6">
        <w:rPr>
          <w:rFonts w:ascii="Palatino Linotype" w:hAnsi="Palatino Linotype" w:eastAsia="Palatino Linotype" w:cs="Times New Roman"/>
          <w:bCs/>
          <w:color w:val="000000" w:themeColor="text1"/>
          <w:kern w:val="0"/>
          <w14:ligatures w14:val="none"/>
        </w:rPr>
        <w:t>accelerate the development and deployment of solutions that support</w:t>
      </w:r>
      <w:r w:rsidR="0054393F">
        <w:rPr>
          <w:rFonts w:ascii="Palatino Linotype" w:hAnsi="Palatino Linotype" w:eastAsia="Palatino Linotype" w:cs="Times New Roman"/>
          <w:bCs/>
          <w:color w:val="000000" w:themeColor="text1"/>
          <w:kern w:val="0"/>
          <w14:ligatures w14:val="none"/>
        </w:rPr>
        <w:t xml:space="preserve"> </w:t>
      </w:r>
      <w:r w:rsidRPr="00FE76D6" w:rsidR="00FE76D6">
        <w:rPr>
          <w:rFonts w:ascii="Palatino Linotype" w:hAnsi="Palatino Linotype" w:eastAsia="Palatino Linotype" w:cs="Times New Roman"/>
          <w:bCs/>
          <w:color w:val="000000" w:themeColor="text1"/>
          <w:kern w:val="0"/>
          <w14:ligatures w14:val="none"/>
        </w:rPr>
        <w:t>California’s climate and</w:t>
      </w:r>
      <w:r w:rsidR="0054393F">
        <w:rPr>
          <w:rFonts w:ascii="Palatino Linotype" w:hAnsi="Palatino Linotype" w:eastAsia="Palatino Linotype" w:cs="Times New Roman"/>
          <w:bCs/>
          <w:color w:val="000000" w:themeColor="text1"/>
          <w:kern w:val="0"/>
          <w14:ligatures w14:val="none"/>
        </w:rPr>
        <w:t xml:space="preserve"> </w:t>
      </w:r>
      <w:r w:rsidRPr="00FE76D6" w:rsidR="00FE76D6">
        <w:rPr>
          <w:rFonts w:ascii="Palatino Linotype" w:hAnsi="Palatino Linotype" w:eastAsia="Palatino Linotype" w:cs="Times New Roman"/>
          <w:bCs/>
          <w:color w:val="000000" w:themeColor="text1"/>
          <w:kern w:val="0"/>
          <w14:ligatures w14:val="none"/>
        </w:rPr>
        <w:t>energy goals, particularly through the integration of renewable fuels, advanced storage technologies, and</w:t>
      </w:r>
      <w:r w:rsidR="0054393F">
        <w:rPr>
          <w:rFonts w:ascii="Palatino Linotype" w:hAnsi="Palatino Linotype" w:eastAsia="Palatino Linotype" w:cs="Times New Roman"/>
          <w:bCs/>
          <w:color w:val="000000" w:themeColor="text1"/>
          <w:kern w:val="0"/>
          <w14:ligatures w14:val="none"/>
        </w:rPr>
        <w:t xml:space="preserve"> </w:t>
      </w:r>
      <w:r w:rsidRPr="00FE76D6" w:rsidR="00FE76D6">
        <w:rPr>
          <w:rFonts w:ascii="Palatino Linotype" w:hAnsi="Palatino Linotype" w:eastAsia="Palatino Linotype" w:cs="Times New Roman"/>
          <w:bCs/>
          <w:color w:val="000000" w:themeColor="text1"/>
          <w:kern w:val="0"/>
          <w14:ligatures w14:val="none"/>
        </w:rPr>
        <w:t>emissions-reducing systems.</w:t>
      </w:r>
      <w:r w:rsidR="0054393F">
        <w:rPr>
          <w:rFonts w:ascii="Palatino Linotype" w:hAnsi="Palatino Linotype" w:eastAsia="Palatino Linotype" w:cs="Times New Roman"/>
          <w:bCs/>
          <w:color w:val="000000" w:themeColor="text1"/>
          <w:kern w:val="0"/>
          <w14:ligatures w14:val="none"/>
        </w:rPr>
        <w:t>”</w:t>
      </w:r>
      <w:r w:rsidR="0054393F">
        <w:rPr>
          <w:rStyle w:val="FootnoteReference"/>
          <w:rFonts w:ascii="Palatino Linotype" w:hAnsi="Palatino Linotype" w:eastAsia="Palatino Linotype" w:cs="Times New Roman"/>
          <w:bCs/>
          <w:color w:val="000000" w:themeColor="text1"/>
          <w:kern w:val="0"/>
          <w14:ligatures w14:val="none"/>
        </w:rPr>
        <w:footnoteReference w:id="25"/>
      </w:r>
    </w:p>
    <w:p w:rsidRPr="004970BE" w:rsidR="00BC1D4B" w:rsidP="00BC1D4B" w:rsidRDefault="00BC1D4B" w14:paraId="044CC294" w14:textId="77777777">
      <w:pPr>
        <w:spacing w:after="0" w:line="276" w:lineRule="auto"/>
        <w:rPr>
          <w:rFonts w:ascii="Palatino Linotype" w:hAnsi="Palatino Linotype" w:eastAsia="Palatino Linotype" w:cs="Times New Roman"/>
          <w:bCs/>
          <w:color w:val="000000" w:themeColor="text1"/>
          <w:kern w:val="0"/>
          <w14:ligatures w14:val="none"/>
        </w:rPr>
      </w:pPr>
    </w:p>
    <w:p w:rsidRPr="004970BE" w:rsidR="00BC1D4B" w:rsidP="00B54D97" w:rsidRDefault="00074C42" w14:paraId="6F60D747" w14:textId="64CB0A11">
      <w:pPr>
        <w:pStyle w:val="ListParagraph"/>
        <w:keepNext/>
        <w:numPr>
          <w:ilvl w:val="0"/>
          <w:numId w:val="16"/>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lastRenderedPageBreak/>
        <w:t>Low-Carbon Fuels Technologie</w:t>
      </w:r>
      <w:r w:rsidR="002953A9">
        <w:rPr>
          <w:rFonts w:ascii="Palatino Linotype" w:hAnsi="Palatino Linotype" w:eastAsia="Palatino Linotype" w:cs="Times New Roman"/>
          <w:bCs/>
          <w:color w:val="000000" w:themeColor="text1"/>
          <w:kern w:val="0"/>
          <w14:ligatures w14:val="none"/>
        </w:rPr>
        <w:t>s</w:t>
      </w:r>
      <w:r w:rsidRPr="3642958B" w:rsidR="002953A9">
        <w:rPr>
          <w:rStyle w:val="FootnoteReference"/>
          <w:rFonts w:ascii="Palatino Linotype" w:hAnsi="Palatino Linotype" w:eastAsia="Palatino Linotype" w:cs="Times New Roman"/>
          <w:color w:val="000000" w:themeColor="text1"/>
        </w:rPr>
        <w:footnoteReference w:id="26"/>
      </w:r>
    </w:p>
    <w:p w:rsidRPr="001D3D47" w:rsidR="001D3D47" w:rsidP="00B54D97" w:rsidRDefault="004C5DEA" w14:paraId="0F512120" w14:textId="32692BF7">
      <w:pPr>
        <w:keepNext/>
        <w:spacing w:after="0" w:line="276" w:lineRule="auto"/>
        <w:ind w:left="720"/>
        <w:rPr>
          <w:rFonts w:ascii="Palatino Linotype" w:hAnsi="Palatino Linotype" w:eastAsia="Palatino Linotype" w:cs="Times New Roman"/>
          <w:color w:val="000000" w:themeColor="text1"/>
          <w:kern w:val="0"/>
          <w14:ligatures w14:val="none"/>
        </w:rPr>
      </w:pPr>
      <w:r>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kern w:val="0"/>
          <w14:ligatures w14:val="none"/>
        </w:rPr>
        <w:t xml:space="preserve"> states that it </w:t>
      </w:r>
      <w:r w:rsidRPr="3642958B" w:rsidR="001D3D47">
        <w:rPr>
          <w:rFonts w:ascii="Palatino Linotype" w:hAnsi="Palatino Linotype" w:eastAsia="Palatino Linotype" w:cs="Times New Roman"/>
          <w:color w:val="000000" w:themeColor="text1"/>
        </w:rPr>
        <w:t>seeks to develop projects within the</w:t>
      </w:r>
      <w:r w:rsidR="006C5734">
        <w:t xml:space="preserve"> </w:t>
      </w:r>
      <w:r w:rsidRPr="3642958B" w:rsidR="006C5734">
        <w:rPr>
          <w:rFonts w:ascii="Palatino Linotype" w:hAnsi="Palatino Linotype" w:eastAsia="Palatino Linotype" w:cs="Times New Roman"/>
          <w:color w:val="000000" w:themeColor="text1"/>
          <w:kern w:val="0"/>
          <w14:ligatures w14:val="none"/>
        </w:rPr>
        <w:t>Low-Carbon Fuels Technologies</w:t>
      </w:r>
      <w:r w:rsidRPr="3642958B" w:rsidR="001D3D47">
        <w:rPr>
          <w:rFonts w:ascii="Palatino Linotype" w:hAnsi="Palatino Linotype" w:eastAsia="Palatino Linotype" w:cs="Times New Roman"/>
          <w:color w:val="000000" w:themeColor="text1"/>
          <w:kern w:val="0"/>
          <w14:ligatures w14:val="none"/>
        </w:rPr>
        <w:t xml:space="preserve"> Initiative to </w:t>
      </w:r>
      <w:r w:rsidRPr="3642958B" w:rsidR="0032424D">
        <w:rPr>
          <w:rFonts w:ascii="Palatino Linotype" w:hAnsi="Palatino Linotype" w:eastAsia="Palatino Linotype" w:cs="Times New Roman"/>
          <w:color w:val="000000" w:themeColor="text1"/>
          <w:kern w:val="0"/>
          <w14:ligatures w14:val="none"/>
        </w:rPr>
        <w:t xml:space="preserve">develop and </w:t>
      </w:r>
      <w:r w:rsidRPr="3642958B" w:rsidR="0032424D">
        <w:rPr>
          <w:rFonts w:ascii="Palatino Linotype" w:hAnsi="Palatino Linotype" w:eastAsia="Palatino Linotype" w:cs="Times New Roman"/>
          <w:color w:val="000000" w:themeColor="text1"/>
        </w:rPr>
        <w:t>demonstrat</w:t>
      </w:r>
      <w:r w:rsidRPr="3642958B" w:rsidR="0032424D">
        <w:rPr>
          <w:rFonts w:ascii="Palatino Linotype" w:hAnsi="Palatino Linotype" w:eastAsia="Palatino Linotype" w:cs="Times New Roman"/>
          <w:color w:val="000000" w:themeColor="text1"/>
          <w:kern w:val="0"/>
          <w14:ligatures w14:val="none"/>
        </w:rPr>
        <w:t>e technologies that can produce low-carbon fuels at lower cost</w:t>
      </w:r>
      <w:r w:rsidRPr="3642958B" w:rsidR="0031020D">
        <w:rPr>
          <w:rFonts w:ascii="Palatino Linotype" w:hAnsi="Palatino Linotype" w:eastAsia="Palatino Linotype" w:cs="Times New Roman"/>
          <w:color w:val="000000" w:themeColor="text1"/>
          <w:kern w:val="0"/>
          <w14:ligatures w14:val="none"/>
        </w:rPr>
        <w:t xml:space="preserve">. </w:t>
      </w:r>
      <w:r w:rsidRPr="3642958B" w:rsidR="00D35E13">
        <w:rPr>
          <w:rFonts w:ascii="Palatino Linotype" w:hAnsi="Palatino Linotype" w:eastAsia="Palatino Linotype" w:cs="Times New Roman"/>
          <w:color w:val="000000" w:themeColor="text1"/>
          <w:kern w:val="0"/>
          <w14:ligatures w14:val="none"/>
        </w:rPr>
        <w:t xml:space="preserve">Research </w:t>
      </w:r>
      <w:r w:rsidRPr="3642958B" w:rsidR="19658BC0">
        <w:rPr>
          <w:rFonts w:ascii="Palatino Linotype" w:hAnsi="Palatino Linotype" w:eastAsia="Palatino Linotype" w:cs="Times New Roman"/>
          <w:color w:val="000000" w:themeColor="text1"/>
          <w:kern w:val="0"/>
          <w14:ligatures w14:val="none"/>
        </w:rPr>
        <w:t>Topics</w:t>
      </w:r>
      <w:r w:rsidRPr="3642958B" w:rsidR="00D35E13">
        <w:rPr>
          <w:rFonts w:ascii="Palatino Linotype" w:hAnsi="Palatino Linotype" w:eastAsia="Palatino Linotype" w:cs="Times New Roman"/>
          <w:color w:val="000000" w:themeColor="text1"/>
        </w:rPr>
        <w:t xml:space="preserve"> include</w:t>
      </w:r>
      <w:r w:rsidR="00207085">
        <w:rPr>
          <w:rFonts w:ascii="Palatino Linotype" w:hAnsi="Palatino Linotype" w:eastAsia="Palatino Linotype" w:cs="Times New Roman"/>
          <w:color w:val="000000" w:themeColor="text1"/>
        </w:rPr>
        <w:t>:</w:t>
      </w:r>
      <w:r w:rsidRPr="3642958B" w:rsidR="00D35E13">
        <w:rPr>
          <w:rFonts w:ascii="Palatino Linotype" w:hAnsi="Palatino Linotype" w:eastAsia="Palatino Linotype" w:cs="Times New Roman"/>
          <w:color w:val="000000" w:themeColor="text1"/>
        </w:rPr>
        <w:t xml:space="preserve"> (i)</w:t>
      </w:r>
      <w:r w:rsidRPr="3642958B" w:rsidR="00E14C85">
        <w:rPr>
          <w:rFonts w:ascii="Palatino Linotype" w:hAnsi="Palatino Linotype" w:eastAsia="Palatino Linotype" w:cs="Times New Roman"/>
          <w:color w:val="000000" w:themeColor="text1"/>
        </w:rPr>
        <w:t xml:space="preserve"> advancing RNG production systems, (ii) developing dynamic, low-carbon technologies, </w:t>
      </w:r>
      <w:r w:rsidR="00B54D97">
        <w:rPr>
          <w:rFonts w:ascii="Palatino Linotype" w:hAnsi="Palatino Linotype" w:eastAsia="Palatino Linotype" w:cs="Times New Roman"/>
          <w:color w:val="000000" w:themeColor="text1"/>
        </w:rPr>
        <w:br/>
      </w:r>
      <w:r w:rsidRPr="3642958B" w:rsidR="00E14C85">
        <w:rPr>
          <w:rFonts w:ascii="Palatino Linotype" w:hAnsi="Palatino Linotype" w:eastAsia="Palatino Linotype" w:cs="Times New Roman"/>
          <w:color w:val="000000" w:themeColor="text1"/>
        </w:rPr>
        <w:t xml:space="preserve">(iii) scaling transformative technologies, (iv) </w:t>
      </w:r>
      <w:r w:rsidRPr="3642958B" w:rsidR="00867749">
        <w:rPr>
          <w:rFonts w:ascii="Palatino Linotype" w:hAnsi="Palatino Linotype" w:eastAsia="Palatino Linotype" w:cs="Times New Roman"/>
          <w:color w:val="000000" w:themeColor="text1"/>
        </w:rPr>
        <w:t xml:space="preserve">improving durability and performance, and (v) lowering cost through manufacturing innovation. </w:t>
      </w:r>
      <w:r w:rsidRPr="3642958B" w:rsidR="00D35E13">
        <w:rPr>
          <w:rFonts w:ascii="Palatino Linotype" w:hAnsi="Palatino Linotype" w:eastAsia="Palatino Linotype" w:cs="Times New Roman"/>
          <w:color w:val="000000" w:themeColor="text1"/>
        </w:rPr>
        <w:t>S</w:t>
      </w:r>
      <w:r w:rsidRPr="3642958B" w:rsidR="0091576A">
        <w:rPr>
          <w:rFonts w:ascii="Palatino Linotype" w:hAnsi="Palatino Linotype" w:eastAsia="Palatino Linotype" w:cs="Times New Roman"/>
          <w:color w:val="000000" w:themeColor="text1"/>
        </w:rPr>
        <w:t>oCalGas</w:t>
      </w:r>
      <w:r w:rsidRPr="3642958B" w:rsidR="00D35E13">
        <w:rPr>
          <w:rFonts w:ascii="Palatino Linotype" w:hAnsi="Palatino Linotype" w:eastAsia="Palatino Linotype" w:cs="Times New Roman"/>
          <w:color w:val="000000" w:themeColor="text1"/>
        </w:rPr>
        <w:t xml:space="preserve"> lists potential metrics for tracking and evaluating impacts from the Initiative, including</w:t>
      </w:r>
      <w:r w:rsidRPr="3642958B" w:rsidR="00BC2470">
        <w:rPr>
          <w:rFonts w:ascii="Palatino Linotype" w:hAnsi="Palatino Linotype" w:eastAsia="Palatino Linotype" w:cs="Times New Roman"/>
          <w:color w:val="000000" w:themeColor="text1"/>
        </w:rPr>
        <w:t xml:space="preserve"> reductions in GHG and criteria pollutant emissions and operations and maintenance and capital costs.</w:t>
      </w:r>
      <w:r w:rsidRPr="3642958B" w:rsidR="00D35E13">
        <w:rPr>
          <w:rFonts w:ascii="Palatino Linotype" w:hAnsi="Palatino Linotype" w:eastAsia="Palatino Linotype" w:cs="Times New Roman"/>
          <w:color w:val="000000" w:themeColor="text1"/>
        </w:rPr>
        <w:t xml:space="preserve"> </w:t>
      </w:r>
      <w:r w:rsidRPr="3642958B">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rPr>
        <w:t xml:space="preserve"> proposes to allocate </w:t>
      </w:r>
      <w:r w:rsidRPr="3642958B" w:rsidR="003A2B67">
        <w:rPr>
          <w:rFonts w:ascii="Palatino Linotype" w:hAnsi="Palatino Linotype" w:eastAsia="Palatino Linotype" w:cs="Times New Roman"/>
          <w:color w:val="000000" w:themeColor="text1"/>
        </w:rPr>
        <w:t>$2,237,934</w:t>
      </w:r>
      <w:r w:rsidRPr="3642958B" w:rsidR="001D3D47">
        <w:rPr>
          <w:rFonts w:ascii="Palatino Linotype" w:hAnsi="Palatino Linotype" w:eastAsia="Palatino Linotype" w:cs="Times New Roman"/>
          <w:color w:val="000000" w:themeColor="text1"/>
        </w:rPr>
        <w:t xml:space="preserve"> in its 2024 Plan.</w:t>
      </w:r>
    </w:p>
    <w:p w:rsidRPr="004970BE" w:rsidR="008B2295" w:rsidP="008B2295" w:rsidRDefault="008B2295" w14:paraId="7F80C52C"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8B2295" w:rsidP="00477204" w:rsidRDefault="005D00F1" w14:paraId="03873A04" w14:textId="637D845C">
      <w:pPr>
        <w:pStyle w:val="ListParagraph"/>
        <w:numPr>
          <w:ilvl w:val="0"/>
          <w:numId w:val="16"/>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Low-Carbon Fuels Integration</w:t>
      </w:r>
      <w:r w:rsidR="002953A9">
        <w:rPr>
          <w:rStyle w:val="FootnoteReference"/>
          <w:rFonts w:ascii="Palatino Linotype" w:hAnsi="Palatino Linotype" w:eastAsia="Palatino Linotype" w:cs="Times New Roman"/>
          <w:bCs/>
          <w:color w:val="000000" w:themeColor="text1"/>
          <w:kern w:val="0"/>
          <w14:ligatures w14:val="none"/>
        </w:rPr>
        <w:footnoteReference w:id="27"/>
      </w:r>
    </w:p>
    <w:p w:rsidRPr="004970BE" w:rsidR="001D3D47" w:rsidP="00C50EAF" w:rsidRDefault="004C5DEA" w14:paraId="5E6567A1" w14:textId="5C1B071D">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1D3D47">
        <w:rPr>
          <w:rFonts w:ascii="Palatino Linotype" w:hAnsi="Palatino Linotype" w:eastAsia="Palatino Linotype" w:cs="Times New Roman"/>
          <w:bCs/>
          <w:color w:val="000000" w:themeColor="text1"/>
          <w:kern w:val="0"/>
          <w14:ligatures w14:val="none"/>
        </w:rPr>
        <w:t xml:space="preserve"> states that i</w:t>
      </w:r>
      <w:r w:rsidR="001D3D47">
        <w:rPr>
          <w:rFonts w:ascii="Palatino Linotype" w:hAnsi="Palatino Linotype" w:eastAsia="Palatino Linotype" w:cs="Times New Roman"/>
          <w:bCs/>
          <w:color w:val="000000" w:themeColor="text1"/>
          <w:kern w:val="0"/>
          <w14:ligatures w14:val="none"/>
        </w:rPr>
        <w:t>t</w:t>
      </w:r>
      <w:r w:rsidRPr="004970BE" w:rsidR="001D3D47">
        <w:rPr>
          <w:rFonts w:ascii="Palatino Linotype" w:hAnsi="Palatino Linotype" w:eastAsia="Palatino Linotype" w:cs="Times New Roman"/>
          <w:bCs/>
          <w:color w:val="000000" w:themeColor="text1"/>
          <w:kern w:val="0"/>
          <w14:ligatures w14:val="none"/>
        </w:rPr>
        <w:t xml:space="preserve"> seeks to develop projects within the</w:t>
      </w:r>
      <w:r w:rsidR="008F0F7C">
        <w:rPr>
          <w:rFonts w:ascii="Palatino Linotype" w:hAnsi="Palatino Linotype" w:eastAsia="Palatino Linotype" w:cs="Times New Roman"/>
          <w:bCs/>
          <w:color w:val="000000" w:themeColor="text1"/>
          <w:kern w:val="0"/>
          <w14:ligatures w14:val="none"/>
        </w:rPr>
        <w:t xml:space="preserve"> </w:t>
      </w:r>
      <w:r w:rsidRPr="008F0F7C" w:rsidR="008F0F7C">
        <w:rPr>
          <w:rFonts w:ascii="Palatino Linotype" w:hAnsi="Palatino Linotype" w:eastAsia="Palatino Linotype" w:cs="Times New Roman"/>
          <w:bCs/>
          <w:color w:val="000000" w:themeColor="text1"/>
          <w:kern w:val="0"/>
          <w14:ligatures w14:val="none"/>
        </w:rPr>
        <w:t>Low-Carbon Fuels Integration</w:t>
      </w:r>
      <w:r w:rsidRPr="004970BE" w:rsidR="001D3D47">
        <w:rPr>
          <w:rFonts w:ascii="Palatino Linotype" w:hAnsi="Palatino Linotype" w:eastAsia="Palatino Linotype" w:cs="Times New Roman"/>
          <w:bCs/>
          <w:color w:val="000000" w:themeColor="text1"/>
          <w:kern w:val="0"/>
          <w14:ligatures w14:val="none"/>
        </w:rPr>
        <w:t xml:space="preserve"> Initiative to </w:t>
      </w:r>
      <w:r w:rsidR="00662F0B">
        <w:rPr>
          <w:rFonts w:ascii="Palatino Linotype" w:hAnsi="Palatino Linotype" w:eastAsia="Palatino Linotype" w:cs="Times New Roman"/>
          <w:bCs/>
          <w:color w:val="000000" w:themeColor="text1"/>
          <w:kern w:val="0"/>
          <w14:ligatures w14:val="none"/>
        </w:rPr>
        <w:t xml:space="preserve">advance </w:t>
      </w:r>
      <w:r w:rsidRPr="00662F0B" w:rsidR="00662F0B">
        <w:rPr>
          <w:rFonts w:ascii="Palatino Linotype" w:hAnsi="Palatino Linotype" w:eastAsia="Palatino Linotype" w:cs="Times New Roman"/>
          <w:bCs/>
          <w:color w:val="000000" w:themeColor="text1"/>
          <w:kern w:val="0"/>
          <w14:ligatures w14:val="none"/>
        </w:rPr>
        <w:t>end-use equipment capabilities so that low-carbon fuels</w:t>
      </w:r>
      <w:r w:rsidR="00662F0B">
        <w:rPr>
          <w:rFonts w:ascii="Palatino Linotype" w:hAnsi="Palatino Linotype" w:eastAsia="Palatino Linotype" w:cs="Times New Roman"/>
          <w:bCs/>
          <w:color w:val="000000" w:themeColor="text1"/>
          <w:kern w:val="0"/>
          <w14:ligatures w14:val="none"/>
        </w:rPr>
        <w:t xml:space="preserve"> </w:t>
      </w:r>
      <w:r w:rsidRPr="00662F0B" w:rsidR="00662F0B">
        <w:rPr>
          <w:rFonts w:ascii="Palatino Linotype" w:hAnsi="Palatino Linotype" w:eastAsia="Palatino Linotype" w:cs="Times New Roman"/>
          <w:bCs/>
          <w:color w:val="000000" w:themeColor="text1"/>
          <w:kern w:val="0"/>
          <w14:ligatures w14:val="none"/>
        </w:rPr>
        <w:t>can be incorporated reliably and cost-effectively.</w:t>
      </w:r>
      <w:r w:rsidR="00662F0B">
        <w:rPr>
          <w:rFonts w:ascii="Palatino Linotype" w:hAnsi="Palatino Linotype" w:eastAsia="Palatino Linotype" w:cs="Times New Roman"/>
          <w:bCs/>
          <w:color w:val="000000" w:themeColor="text1"/>
          <w:kern w:val="0"/>
          <w14:ligatures w14:val="none"/>
        </w:rPr>
        <w:t xml:space="preserve"> </w:t>
      </w:r>
      <w:r w:rsidRPr="3642958B" w:rsidR="00207085">
        <w:rPr>
          <w:rFonts w:ascii="Palatino Linotype" w:hAnsi="Palatino Linotype" w:eastAsia="Palatino Linotype" w:cs="Times New Roman"/>
          <w:color w:val="000000" w:themeColor="text1"/>
          <w:kern w:val="0"/>
          <w14:ligatures w14:val="none"/>
        </w:rPr>
        <w:t>Research Topics</w:t>
      </w:r>
      <w:r w:rsidRPr="3642958B" w:rsidR="00207085">
        <w:rPr>
          <w:rFonts w:ascii="Palatino Linotype" w:hAnsi="Palatino Linotype" w:eastAsia="Palatino Linotype" w:cs="Times New Roman"/>
          <w:color w:val="000000" w:themeColor="text1"/>
        </w:rPr>
        <w:t xml:space="preserve"> include</w:t>
      </w:r>
      <w:r w:rsidR="00207085">
        <w:rPr>
          <w:rFonts w:ascii="Palatino Linotype" w:hAnsi="Palatino Linotype" w:eastAsia="Palatino Linotype" w:cs="Times New Roman"/>
          <w:color w:val="000000" w:themeColor="text1"/>
        </w:rPr>
        <w:t>:</w:t>
      </w:r>
      <w:r w:rsidRPr="3642958B" w:rsidR="00207085">
        <w:rPr>
          <w:rFonts w:ascii="Palatino Linotype" w:hAnsi="Palatino Linotype" w:eastAsia="Palatino Linotype" w:cs="Times New Roman"/>
          <w:color w:val="000000" w:themeColor="text1"/>
        </w:rPr>
        <w:t xml:space="preserve"> </w:t>
      </w:r>
      <w:r w:rsidR="00D35E13">
        <w:rPr>
          <w:rFonts w:ascii="Palatino Linotype" w:hAnsi="Palatino Linotype" w:eastAsia="Palatino Linotype" w:cs="Times New Roman"/>
          <w:bCs/>
          <w:color w:val="000000" w:themeColor="text1"/>
          <w:kern w:val="0"/>
          <w14:ligatures w14:val="none"/>
        </w:rPr>
        <w:t>(i)</w:t>
      </w:r>
      <w:r w:rsidR="00481812">
        <w:rPr>
          <w:rFonts w:ascii="Palatino Linotype" w:hAnsi="Palatino Linotype" w:eastAsia="Palatino Linotype" w:cs="Times New Roman"/>
          <w:bCs/>
          <w:color w:val="000000" w:themeColor="text1"/>
          <w:kern w:val="0"/>
          <w14:ligatures w14:val="none"/>
        </w:rPr>
        <w:t xml:space="preserve"> e</w:t>
      </w:r>
      <w:r w:rsidRPr="00481812" w:rsidR="00481812">
        <w:rPr>
          <w:rFonts w:ascii="Palatino Linotype" w:hAnsi="Palatino Linotype" w:eastAsia="Palatino Linotype" w:cs="Times New Roman"/>
          <w:bCs/>
          <w:color w:val="000000" w:themeColor="text1"/>
          <w:kern w:val="0"/>
          <w14:ligatures w14:val="none"/>
        </w:rPr>
        <w:t>valuating product quality impacts</w:t>
      </w:r>
      <w:r w:rsidR="00481812">
        <w:rPr>
          <w:rFonts w:ascii="Palatino Linotype" w:hAnsi="Palatino Linotype" w:eastAsia="Palatino Linotype" w:cs="Times New Roman"/>
          <w:bCs/>
          <w:color w:val="000000" w:themeColor="text1"/>
          <w:kern w:val="0"/>
          <w14:ligatures w14:val="none"/>
        </w:rPr>
        <w:t>, (ii) a</w:t>
      </w:r>
      <w:r w:rsidRPr="00481812" w:rsidR="00481812">
        <w:rPr>
          <w:rFonts w:ascii="Palatino Linotype" w:hAnsi="Palatino Linotype" w:eastAsia="Palatino Linotype" w:cs="Times New Roman"/>
          <w:bCs/>
          <w:color w:val="000000" w:themeColor="text1"/>
          <w:kern w:val="0"/>
          <w14:ligatures w14:val="none"/>
        </w:rPr>
        <w:t>ssessing retrofit needs</w:t>
      </w:r>
      <w:r w:rsidR="00481812">
        <w:rPr>
          <w:rFonts w:ascii="Palatino Linotype" w:hAnsi="Palatino Linotype" w:eastAsia="Palatino Linotype" w:cs="Times New Roman"/>
          <w:bCs/>
          <w:color w:val="000000" w:themeColor="text1"/>
          <w:kern w:val="0"/>
          <w14:ligatures w14:val="none"/>
        </w:rPr>
        <w:t xml:space="preserve">, </w:t>
      </w:r>
      <w:r w:rsidR="009432AD">
        <w:rPr>
          <w:rFonts w:ascii="Palatino Linotype" w:hAnsi="Palatino Linotype" w:eastAsia="Palatino Linotype" w:cs="Times New Roman"/>
          <w:bCs/>
          <w:color w:val="000000" w:themeColor="text1"/>
          <w:kern w:val="0"/>
          <w14:ligatures w14:val="none"/>
        </w:rPr>
        <w:br/>
      </w:r>
      <w:r w:rsidR="00481812">
        <w:rPr>
          <w:rFonts w:ascii="Palatino Linotype" w:hAnsi="Palatino Linotype" w:eastAsia="Palatino Linotype" w:cs="Times New Roman"/>
          <w:bCs/>
          <w:color w:val="000000" w:themeColor="text1"/>
          <w:kern w:val="0"/>
          <w14:ligatures w14:val="none"/>
        </w:rPr>
        <w:t>(iii) o</w:t>
      </w:r>
      <w:r w:rsidRPr="00481812" w:rsidR="00481812">
        <w:rPr>
          <w:rFonts w:ascii="Palatino Linotype" w:hAnsi="Palatino Linotype" w:eastAsia="Palatino Linotype" w:cs="Times New Roman"/>
          <w:bCs/>
          <w:color w:val="000000" w:themeColor="text1"/>
          <w:kern w:val="0"/>
          <w14:ligatures w14:val="none"/>
        </w:rPr>
        <w:t>ptimizing fuel blending systems</w:t>
      </w:r>
      <w:r w:rsidR="00481812">
        <w:rPr>
          <w:rFonts w:ascii="Palatino Linotype" w:hAnsi="Palatino Linotype" w:eastAsia="Palatino Linotype" w:cs="Times New Roman"/>
          <w:bCs/>
          <w:color w:val="000000" w:themeColor="text1"/>
          <w:kern w:val="0"/>
          <w14:ligatures w14:val="none"/>
        </w:rPr>
        <w:t xml:space="preserve">, (iv) </w:t>
      </w:r>
      <w:r w:rsidR="00F17781">
        <w:rPr>
          <w:rFonts w:ascii="Palatino Linotype" w:hAnsi="Palatino Linotype" w:eastAsia="Palatino Linotype" w:cs="Times New Roman"/>
          <w:bCs/>
          <w:color w:val="000000" w:themeColor="text1"/>
          <w:kern w:val="0"/>
          <w14:ligatures w14:val="none"/>
        </w:rPr>
        <w:t>d</w:t>
      </w:r>
      <w:r w:rsidRPr="00F17781" w:rsidR="00F17781">
        <w:rPr>
          <w:rFonts w:ascii="Palatino Linotype" w:hAnsi="Palatino Linotype" w:eastAsia="Palatino Linotype" w:cs="Times New Roman"/>
          <w:bCs/>
          <w:color w:val="000000" w:themeColor="text1"/>
          <w:kern w:val="0"/>
          <w14:ligatures w14:val="none"/>
        </w:rPr>
        <w:t>emonstrating electrolysis applications</w:t>
      </w:r>
      <w:r w:rsidR="00F17781">
        <w:rPr>
          <w:rFonts w:ascii="Palatino Linotype" w:hAnsi="Palatino Linotype" w:eastAsia="Palatino Linotype" w:cs="Times New Roman"/>
          <w:bCs/>
          <w:color w:val="000000" w:themeColor="text1"/>
          <w:kern w:val="0"/>
          <w14:ligatures w14:val="none"/>
        </w:rPr>
        <w:t>, and (v) t</w:t>
      </w:r>
      <w:r w:rsidRPr="00F17781" w:rsidR="00F17781">
        <w:rPr>
          <w:rFonts w:ascii="Palatino Linotype" w:hAnsi="Palatino Linotype" w:eastAsia="Palatino Linotype" w:cs="Times New Roman"/>
          <w:bCs/>
          <w:color w:val="000000" w:themeColor="text1"/>
          <w:kern w:val="0"/>
          <w14:ligatures w14:val="none"/>
        </w:rPr>
        <w:t>esting hydrogen-compatible heating equipment</w:t>
      </w:r>
      <w:r w:rsidR="00F17781">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00D35E13">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w:t>
      </w:r>
      <w:r w:rsidR="00C50EAF">
        <w:rPr>
          <w:rFonts w:ascii="Palatino Linotype" w:hAnsi="Palatino Linotype" w:eastAsia="Palatino Linotype" w:cs="Times New Roman"/>
          <w:bCs/>
          <w:color w:val="000000" w:themeColor="text1"/>
          <w:kern w:val="0"/>
          <w14:ligatures w14:val="none"/>
        </w:rPr>
        <w:t xml:space="preserve">reductions in GHG and criteria pollutant emissions and operations and maintenance and capital costs. </w:t>
      </w:r>
      <w:r>
        <w:rPr>
          <w:rFonts w:ascii="Palatino Linotype" w:hAnsi="Palatino Linotype"/>
          <w:color w:val="000000" w:themeColor="text1"/>
        </w:rPr>
        <w:t>SoCalGas</w:t>
      </w:r>
      <w:r w:rsidRPr="004970BE" w:rsidR="001D3D47">
        <w:rPr>
          <w:rFonts w:ascii="Palatino Linotype" w:hAnsi="Palatino Linotype" w:eastAsia="Palatino Linotype" w:cs="Times New Roman"/>
          <w:bCs/>
          <w:color w:val="000000" w:themeColor="text1"/>
          <w:kern w:val="0"/>
          <w14:ligatures w14:val="none"/>
        </w:rPr>
        <w:t xml:space="preserve"> proposes to </w:t>
      </w:r>
      <w:r w:rsidR="001D3D47">
        <w:rPr>
          <w:rFonts w:ascii="Palatino Linotype" w:hAnsi="Palatino Linotype" w:eastAsia="Palatino Linotype" w:cs="Times New Roman"/>
          <w:bCs/>
          <w:color w:val="000000" w:themeColor="text1"/>
          <w:kern w:val="0"/>
          <w14:ligatures w14:val="none"/>
        </w:rPr>
        <w:t xml:space="preserve">allocate </w:t>
      </w:r>
      <w:r w:rsidRPr="0053098D" w:rsidR="0053098D">
        <w:rPr>
          <w:rFonts w:ascii="Palatino Linotype" w:hAnsi="Palatino Linotype" w:eastAsia="Palatino Linotype" w:cs="Times New Roman"/>
          <w:bCs/>
          <w:color w:val="000000" w:themeColor="text1"/>
          <w:kern w:val="0"/>
          <w14:ligatures w14:val="none"/>
        </w:rPr>
        <w:t>$150,000</w:t>
      </w:r>
      <w:r w:rsidR="001D3D47">
        <w:rPr>
          <w:rFonts w:ascii="Palatino Linotype" w:hAnsi="Palatino Linotype" w:eastAsia="Palatino Linotype" w:cs="Times New Roman"/>
          <w:bCs/>
          <w:color w:val="000000" w:themeColor="text1"/>
          <w:kern w:val="0"/>
          <w14:ligatures w14:val="none"/>
        </w:rPr>
        <w:t xml:space="preserve"> in its 2024 Plan.</w:t>
      </w:r>
    </w:p>
    <w:p w:rsidRPr="004970BE" w:rsidR="008B2295" w:rsidP="008B2295" w:rsidRDefault="008B2295" w14:paraId="4EB5A200"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8B2295" w:rsidP="00477204" w:rsidRDefault="00E9553B" w14:paraId="1AF648C3" w14:textId="17752EB3">
      <w:pPr>
        <w:pStyle w:val="ListParagraph"/>
        <w:numPr>
          <w:ilvl w:val="0"/>
          <w:numId w:val="16"/>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Energy Reliability &amp; Resilience</w:t>
      </w:r>
      <w:r w:rsidRPr="3642958B" w:rsidR="002953A9">
        <w:rPr>
          <w:rStyle w:val="FootnoteReference"/>
          <w:rFonts w:ascii="Palatino Linotype" w:hAnsi="Palatino Linotype" w:eastAsia="Palatino Linotype" w:cs="Times New Roman"/>
          <w:color w:val="000000" w:themeColor="text1"/>
        </w:rPr>
        <w:footnoteReference w:id="28"/>
      </w:r>
    </w:p>
    <w:p w:rsidRPr="004970BE" w:rsidR="001D3D47" w:rsidP="3642958B" w:rsidRDefault="004C5DEA" w14:paraId="3B58F839" w14:textId="69FE6C5A">
      <w:pPr>
        <w:spacing w:after="0" w:line="276" w:lineRule="auto"/>
        <w:ind w:left="720"/>
        <w:rPr>
          <w:rFonts w:ascii="Palatino Linotype" w:hAnsi="Palatino Linotype" w:eastAsia="Palatino Linotype" w:cs="Times New Roman"/>
          <w:color w:val="000000" w:themeColor="text1"/>
          <w:kern w:val="0"/>
          <w14:ligatures w14:val="none"/>
        </w:rPr>
      </w:pPr>
      <w:r>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kern w:val="0"/>
          <w14:ligatures w14:val="none"/>
        </w:rPr>
        <w:t xml:space="preserve"> states that it </w:t>
      </w:r>
      <w:r w:rsidRPr="3642958B" w:rsidR="001D3D47">
        <w:rPr>
          <w:rFonts w:ascii="Palatino Linotype" w:hAnsi="Palatino Linotype" w:eastAsia="Palatino Linotype" w:cs="Times New Roman"/>
          <w:color w:val="000000" w:themeColor="text1"/>
        </w:rPr>
        <w:t xml:space="preserve">seeks to develop projects within the </w:t>
      </w:r>
      <w:r w:rsidRPr="3642958B" w:rsidR="008F0F7C">
        <w:rPr>
          <w:rFonts w:ascii="Palatino Linotype" w:hAnsi="Palatino Linotype" w:eastAsia="Palatino Linotype" w:cs="Times New Roman"/>
          <w:color w:val="000000" w:themeColor="text1"/>
          <w:kern w:val="0"/>
          <w14:ligatures w14:val="none"/>
        </w:rPr>
        <w:t>Energy Reliability &amp; Resilience</w:t>
      </w:r>
      <w:r w:rsidRPr="3642958B" w:rsidR="001D3D47">
        <w:rPr>
          <w:rFonts w:ascii="Palatino Linotype" w:hAnsi="Palatino Linotype" w:eastAsia="Palatino Linotype" w:cs="Times New Roman"/>
          <w:color w:val="000000" w:themeColor="text1"/>
          <w:kern w:val="0"/>
          <w14:ligatures w14:val="none"/>
        </w:rPr>
        <w:t xml:space="preserve"> Initiative to </w:t>
      </w:r>
      <w:r w:rsidRPr="3642958B" w:rsidR="000848F6">
        <w:rPr>
          <w:rFonts w:ascii="Palatino Linotype" w:hAnsi="Palatino Linotype" w:eastAsia="Palatino Linotype" w:cs="Times New Roman"/>
          <w:color w:val="000000" w:themeColor="text1"/>
          <w:kern w:val="0"/>
          <w14:ligatures w14:val="none"/>
        </w:rPr>
        <w:t xml:space="preserve">reduce power generation emissions while </w:t>
      </w:r>
      <w:r w:rsidRPr="3642958B" w:rsidR="000848F6">
        <w:rPr>
          <w:rFonts w:ascii="Palatino Linotype" w:hAnsi="Palatino Linotype" w:eastAsia="Palatino Linotype" w:cs="Times New Roman"/>
          <w:color w:val="000000" w:themeColor="text1"/>
        </w:rPr>
        <w:t>maintaining reliability, resilience, affordability, or long-term</w:t>
      </w:r>
      <w:r w:rsidRPr="3642958B" w:rsidR="000848F6">
        <w:rPr>
          <w:rFonts w:ascii="Palatino Linotype" w:hAnsi="Palatino Linotype" w:eastAsia="Palatino Linotype" w:cs="Times New Roman"/>
          <w:color w:val="000000" w:themeColor="text1"/>
          <w:kern w:val="0"/>
          <w14:ligatures w14:val="none"/>
        </w:rPr>
        <w:t xml:space="preserve"> value of existing assets. </w:t>
      </w:r>
      <w:r w:rsidRPr="3642958B" w:rsidR="00D35E13">
        <w:rPr>
          <w:rFonts w:ascii="Palatino Linotype" w:hAnsi="Palatino Linotype" w:eastAsia="Palatino Linotype" w:cs="Times New Roman"/>
          <w:color w:val="000000" w:themeColor="text1"/>
          <w:kern w:val="0"/>
          <w14:ligatures w14:val="none"/>
        </w:rPr>
        <w:t xml:space="preserve">Research </w:t>
      </w:r>
      <w:r w:rsidRPr="3642958B" w:rsidR="5D5F2430">
        <w:rPr>
          <w:rFonts w:ascii="Palatino Linotype" w:hAnsi="Palatino Linotype" w:eastAsia="Palatino Linotype" w:cs="Times New Roman"/>
          <w:color w:val="000000" w:themeColor="text1"/>
          <w:kern w:val="0"/>
          <w14:ligatures w14:val="none"/>
        </w:rPr>
        <w:t>Topics</w:t>
      </w:r>
      <w:r w:rsidRPr="3642958B" w:rsidR="00D35E13">
        <w:rPr>
          <w:rFonts w:ascii="Palatino Linotype" w:hAnsi="Palatino Linotype" w:eastAsia="Palatino Linotype" w:cs="Times New Roman"/>
          <w:color w:val="000000" w:themeColor="text1"/>
        </w:rPr>
        <w:t xml:space="preserve"> include</w:t>
      </w:r>
      <w:r w:rsidR="00207085">
        <w:rPr>
          <w:rFonts w:ascii="Palatino Linotype" w:hAnsi="Palatino Linotype" w:eastAsia="Palatino Linotype" w:cs="Times New Roman"/>
          <w:color w:val="000000" w:themeColor="text1"/>
        </w:rPr>
        <w:t>:</w:t>
      </w:r>
      <w:r w:rsidRPr="3642958B" w:rsidR="00D35E13">
        <w:rPr>
          <w:rFonts w:ascii="Palatino Linotype" w:hAnsi="Palatino Linotype" w:eastAsia="Palatino Linotype" w:cs="Times New Roman"/>
          <w:color w:val="000000" w:themeColor="text1"/>
        </w:rPr>
        <w:t xml:space="preserve"> (i)</w:t>
      </w:r>
      <w:r w:rsidRPr="3642958B" w:rsidR="00907450">
        <w:rPr>
          <w:rFonts w:ascii="Palatino Linotype" w:hAnsi="Palatino Linotype" w:eastAsia="Palatino Linotype" w:cs="Times New Roman"/>
          <w:color w:val="000000" w:themeColor="text1"/>
        </w:rPr>
        <w:t xml:space="preserve"> improving microgrid controls, (ii) </w:t>
      </w:r>
      <w:r w:rsidRPr="009C750F" w:rsidR="00907450">
        <w:rPr>
          <w:rFonts w:ascii="Palatino Linotype" w:hAnsi="Palatino Linotype" w:eastAsia="Palatino Linotype" w:cs="Times New Roman"/>
          <w:color w:val="000000" w:themeColor="text1"/>
        </w:rPr>
        <w:t xml:space="preserve">improving </w:t>
      </w:r>
      <w:r w:rsidRPr="009C750F" w:rsidR="00D94146">
        <w:rPr>
          <w:rFonts w:ascii="Palatino Linotype" w:hAnsi="Palatino Linotype" w:eastAsia="Palatino Linotype" w:cs="Times New Roman"/>
          <w:bCs/>
          <w:color w:val="000000" w:themeColor="text1"/>
          <w:kern w:val="0"/>
          <w14:ligatures w14:val="none"/>
        </w:rPr>
        <w:t xml:space="preserve">or replacing </w:t>
      </w:r>
      <w:r w:rsidRPr="009C750F" w:rsidR="00907450">
        <w:rPr>
          <w:rFonts w:ascii="Palatino Linotype" w:hAnsi="Palatino Linotype" w:eastAsia="Palatino Linotype" w:cs="Times New Roman"/>
          <w:color w:val="000000" w:themeColor="text1"/>
        </w:rPr>
        <w:lastRenderedPageBreak/>
        <w:t>combustion-based power ge</w:t>
      </w:r>
      <w:r w:rsidRPr="00372DE1" w:rsidR="00907450">
        <w:rPr>
          <w:rFonts w:ascii="Palatino Linotype" w:hAnsi="Palatino Linotype" w:eastAsia="Palatino Linotype" w:cs="Times New Roman"/>
          <w:color w:val="000000" w:themeColor="text1"/>
        </w:rPr>
        <w:t>neration</w:t>
      </w:r>
      <w:r w:rsidRPr="00372DE1" w:rsidR="0092205D">
        <w:rPr>
          <w:rFonts w:ascii="Palatino Linotype" w:hAnsi="Palatino Linotype" w:eastAsia="Palatino Linotype" w:cs="Times New Roman"/>
          <w:color w:val="000000" w:themeColor="text1"/>
        </w:rPr>
        <w:t xml:space="preserve"> </w:t>
      </w:r>
      <w:r w:rsidRPr="00372DE1" w:rsidR="0092205D">
        <w:rPr>
          <w:rFonts w:ascii="Palatino Linotype" w:hAnsi="Palatino Linotype" w:eastAsia="Palatino Linotype" w:cs="Times New Roman"/>
          <w:bCs/>
          <w:color w:val="000000" w:themeColor="text1"/>
          <w:kern w:val="0"/>
          <w14:ligatures w14:val="none"/>
        </w:rPr>
        <w:t>by developing low- and zero-emission systems for backup power</w:t>
      </w:r>
      <w:r w:rsidRPr="00372DE1" w:rsidR="00907450">
        <w:rPr>
          <w:rFonts w:ascii="Palatino Linotype" w:hAnsi="Palatino Linotype" w:eastAsia="Palatino Linotype" w:cs="Times New Roman"/>
          <w:color w:val="000000" w:themeColor="text1"/>
        </w:rPr>
        <w:t xml:space="preserve">, (iii) </w:t>
      </w:r>
      <w:r w:rsidRPr="009C750F" w:rsidR="00907450">
        <w:rPr>
          <w:rFonts w:ascii="Palatino Linotype" w:hAnsi="Palatino Linotype" w:eastAsia="Palatino Linotype" w:cs="Times New Roman"/>
          <w:color w:val="000000" w:themeColor="text1"/>
        </w:rPr>
        <w:t xml:space="preserve">advancing alternative </w:t>
      </w:r>
      <w:r w:rsidRPr="3642958B" w:rsidR="00907450">
        <w:rPr>
          <w:rFonts w:ascii="Palatino Linotype" w:hAnsi="Palatino Linotype" w:eastAsia="Palatino Linotype" w:cs="Times New Roman"/>
          <w:color w:val="000000" w:themeColor="text1"/>
        </w:rPr>
        <w:t>power generation technologies</w:t>
      </w:r>
      <w:r w:rsidRPr="3642958B" w:rsidR="00B3613A">
        <w:rPr>
          <w:rFonts w:ascii="Palatino Linotype" w:hAnsi="Palatino Linotype" w:eastAsia="Palatino Linotype" w:cs="Times New Roman"/>
          <w:color w:val="000000" w:themeColor="text1"/>
        </w:rPr>
        <w:t xml:space="preserve">, (iv) optimizing use of low-carbon fuels, (v) integrating carbon management solutions, </w:t>
      </w:r>
      <w:r w:rsidRPr="3642958B" w:rsidR="000A33E1">
        <w:rPr>
          <w:rFonts w:ascii="Palatino Linotype" w:hAnsi="Palatino Linotype" w:eastAsia="Palatino Linotype" w:cs="Times New Roman"/>
          <w:color w:val="000000" w:themeColor="text1"/>
        </w:rPr>
        <w:t xml:space="preserve">and </w:t>
      </w:r>
      <w:r w:rsidRPr="3642958B" w:rsidR="00B3613A">
        <w:rPr>
          <w:rFonts w:ascii="Palatino Linotype" w:hAnsi="Palatino Linotype" w:eastAsia="Palatino Linotype" w:cs="Times New Roman"/>
          <w:color w:val="000000" w:themeColor="text1"/>
        </w:rPr>
        <w:t xml:space="preserve">(vi) </w:t>
      </w:r>
      <w:r w:rsidRPr="3642958B" w:rsidR="000A33E1">
        <w:rPr>
          <w:rFonts w:ascii="Palatino Linotype" w:hAnsi="Palatino Linotype" w:eastAsia="Palatino Linotype" w:cs="Times New Roman"/>
          <w:color w:val="000000" w:themeColor="text1"/>
        </w:rPr>
        <w:t xml:space="preserve">exploring on-site fuel conversion. </w:t>
      </w:r>
      <w:r w:rsidRPr="3642958B">
        <w:rPr>
          <w:rFonts w:ascii="Palatino Linotype" w:hAnsi="Palatino Linotype"/>
          <w:color w:val="000000" w:themeColor="text1"/>
        </w:rPr>
        <w:t>SoCalGas</w:t>
      </w:r>
      <w:r w:rsidRPr="3642958B" w:rsidR="00D35E13">
        <w:rPr>
          <w:rFonts w:ascii="Palatino Linotype" w:hAnsi="Palatino Linotype" w:eastAsia="Palatino Linotype" w:cs="Times New Roman"/>
          <w:color w:val="000000" w:themeColor="text1"/>
        </w:rPr>
        <w:t xml:space="preserve"> lists potential metrics for tracking and evaluating impacts from the Initiative, including</w:t>
      </w:r>
      <w:r w:rsidRPr="3642958B" w:rsidR="000A33E1">
        <w:rPr>
          <w:rFonts w:ascii="Palatino Linotype" w:hAnsi="Palatino Linotype" w:eastAsia="Palatino Linotype" w:cs="Times New Roman"/>
          <w:color w:val="000000" w:themeColor="text1"/>
        </w:rPr>
        <w:t xml:space="preserve"> reductions in </w:t>
      </w:r>
      <w:r w:rsidRPr="3642958B" w:rsidR="00D804E3">
        <w:rPr>
          <w:rFonts w:ascii="Palatino Linotype" w:hAnsi="Palatino Linotype" w:eastAsia="Palatino Linotype" w:cs="Times New Roman"/>
          <w:color w:val="000000" w:themeColor="text1"/>
        </w:rPr>
        <w:t>outage frequency and duration</w:t>
      </w:r>
      <w:r w:rsidRPr="3642958B" w:rsidR="00FF1EEB">
        <w:rPr>
          <w:rFonts w:ascii="Palatino Linotype" w:hAnsi="Palatino Linotype" w:eastAsia="Palatino Linotype" w:cs="Times New Roman"/>
          <w:color w:val="000000" w:themeColor="text1"/>
        </w:rPr>
        <w:t xml:space="preserve"> and</w:t>
      </w:r>
      <w:r w:rsidRPr="3642958B" w:rsidR="00D804E3">
        <w:rPr>
          <w:rFonts w:ascii="Palatino Linotype" w:hAnsi="Palatino Linotype" w:eastAsia="Palatino Linotype" w:cs="Times New Roman"/>
          <w:color w:val="000000" w:themeColor="text1"/>
        </w:rPr>
        <w:t xml:space="preserve"> GHG and criteria pollutant emissions</w:t>
      </w:r>
      <w:r w:rsidRPr="3642958B" w:rsidR="00FF1EEB">
        <w:rPr>
          <w:rFonts w:ascii="Palatino Linotype" w:hAnsi="Palatino Linotype" w:eastAsia="Palatino Linotype" w:cs="Times New Roman"/>
          <w:color w:val="000000" w:themeColor="text1"/>
        </w:rPr>
        <w:t xml:space="preserve"> in addition to customer bill savings. </w:t>
      </w:r>
      <w:r w:rsidRPr="3642958B">
        <w:rPr>
          <w:rFonts w:ascii="Palatino Linotype" w:hAnsi="Palatino Linotype"/>
          <w:color w:val="000000" w:themeColor="text1"/>
        </w:rPr>
        <w:t>SoCalGas</w:t>
      </w:r>
      <w:r w:rsidRPr="3642958B" w:rsidR="001D3D47">
        <w:rPr>
          <w:rFonts w:ascii="Palatino Linotype" w:hAnsi="Palatino Linotype" w:eastAsia="Palatino Linotype" w:cs="Times New Roman"/>
          <w:color w:val="000000" w:themeColor="text1"/>
        </w:rPr>
        <w:t xml:space="preserve"> proposes to allocate </w:t>
      </w:r>
      <w:r w:rsidRPr="3642958B" w:rsidR="002F3A04">
        <w:rPr>
          <w:rFonts w:ascii="Palatino Linotype" w:hAnsi="Palatino Linotype" w:eastAsia="Palatino Linotype" w:cs="Times New Roman"/>
          <w:color w:val="000000" w:themeColor="text1"/>
        </w:rPr>
        <w:t>$2,289,414</w:t>
      </w:r>
      <w:r w:rsidRPr="3642958B" w:rsidR="001D3D47">
        <w:rPr>
          <w:rFonts w:ascii="Palatino Linotype" w:hAnsi="Palatino Linotype" w:eastAsia="Palatino Linotype" w:cs="Times New Roman"/>
          <w:color w:val="000000" w:themeColor="text1"/>
        </w:rPr>
        <w:t xml:space="preserve"> in its 2024 Plan.</w:t>
      </w:r>
    </w:p>
    <w:p w:rsidRPr="004970BE" w:rsidR="008B2295" w:rsidP="008B2295" w:rsidRDefault="008B2295" w14:paraId="2897C1CB"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BC1D4B" w:rsidP="00477204" w:rsidRDefault="008B2295" w14:paraId="4AAD20AF" w14:textId="55CAA7A5">
      <w:pPr>
        <w:pStyle w:val="ListParagraph"/>
        <w:numPr>
          <w:ilvl w:val="0"/>
          <w:numId w:val="16"/>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Building &amp; Facility Systems</w:t>
      </w:r>
      <w:r w:rsidR="002953A9">
        <w:rPr>
          <w:rStyle w:val="FootnoteReference"/>
          <w:rFonts w:ascii="Palatino Linotype" w:hAnsi="Palatino Linotype" w:eastAsia="Palatino Linotype" w:cs="Times New Roman"/>
          <w:bCs/>
          <w:color w:val="000000" w:themeColor="text1"/>
          <w:kern w:val="0"/>
          <w14:ligatures w14:val="none"/>
        </w:rPr>
        <w:footnoteReference w:id="29"/>
      </w:r>
    </w:p>
    <w:p w:rsidR="00122931" w:rsidP="00013C2E" w:rsidRDefault="004C5DEA" w14:paraId="17D0EABF" w14:textId="289EAB76">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1D3D47">
        <w:rPr>
          <w:rFonts w:ascii="Palatino Linotype" w:hAnsi="Palatino Linotype" w:eastAsia="Palatino Linotype" w:cs="Times New Roman"/>
          <w:bCs/>
          <w:color w:val="000000" w:themeColor="text1"/>
          <w:kern w:val="0"/>
          <w14:ligatures w14:val="none"/>
        </w:rPr>
        <w:t xml:space="preserve"> states that i</w:t>
      </w:r>
      <w:r w:rsidR="001D3D47">
        <w:rPr>
          <w:rFonts w:ascii="Palatino Linotype" w:hAnsi="Palatino Linotype" w:eastAsia="Palatino Linotype" w:cs="Times New Roman"/>
          <w:bCs/>
          <w:color w:val="000000" w:themeColor="text1"/>
          <w:kern w:val="0"/>
          <w14:ligatures w14:val="none"/>
        </w:rPr>
        <w:t>t</w:t>
      </w:r>
      <w:r w:rsidRPr="004970BE" w:rsidR="001D3D47">
        <w:rPr>
          <w:rFonts w:ascii="Palatino Linotype" w:hAnsi="Palatino Linotype" w:eastAsia="Palatino Linotype" w:cs="Times New Roman"/>
          <w:bCs/>
          <w:color w:val="000000" w:themeColor="text1"/>
          <w:kern w:val="0"/>
          <w14:ligatures w14:val="none"/>
        </w:rPr>
        <w:t xml:space="preserve"> seeks to develop projects within the </w:t>
      </w:r>
      <w:r w:rsidRPr="008F0F7C" w:rsidR="008F0F7C">
        <w:rPr>
          <w:rFonts w:ascii="Palatino Linotype" w:hAnsi="Palatino Linotype" w:eastAsia="Palatino Linotype" w:cs="Times New Roman"/>
          <w:bCs/>
          <w:color w:val="000000" w:themeColor="text1"/>
          <w:kern w:val="0"/>
          <w14:ligatures w14:val="none"/>
        </w:rPr>
        <w:t>Building &amp; Facility Systems</w:t>
      </w:r>
      <w:r w:rsidRPr="004970BE" w:rsidR="001D3D47">
        <w:rPr>
          <w:rFonts w:ascii="Palatino Linotype" w:hAnsi="Palatino Linotype" w:eastAsia="Palatino Linotype" w:cs="Times New Roman"/>
          <w:bCs/>
          <w:color w:val="000000" w:themeColor="text1"/>
          <w:kern w:val="0"/>
          <w14:ligatures w14:val="none"/>
        </w:rPr>
        <w:t xml:space="preserve"> Initiative to </w:t>
      </w:r>
      <w:r w:rsidR="00AC1BBA">
        <w:rPr>
          <w:rFonts w:ascii="Palatino Linotype" w:hAnsi="Palatino Linotype" w:eastAsia="Palatino Linotype" w:cs="Times New Roman"/>
          <w:bCs/>
          <w:color w:val="000000" w:themeColor="text1"/>
          <w:kern w:val="0"/>
          <w14:ligatures w14:val="none"/>
        </w:rPr>
        <w:t>a</w:t>
      </w:r>
      <w:r w:rsidRPr="00AC1BBA" w:rsidR="00AC1BBA">
        <w:rPr>
          <w:rFonts w:ascii="Palatino Linotype" w:hAnsi="Palatino Linotype" w:eastAsia="Palatino Linotype" w:cs="Times New Roman"/>
          <w:bCs/>
          <w:color w:val="000000" w:themeColor="text1"/>
          <w:kern w:val="0"/>
          <w14:ligatures w14:val="none"/>
        </w:rPr>
        <w:t>dvance new technologies that cost-effectively reduce emissions from California’s buildings and facilities</w:t>
      </w:r>
      <w:r w:rsidR="00AC1BBA">
        <w:rPr>
          <w:rFonts w:ascii="Palatino Linotype" w:hAnsi="Palatino Linotype" w:eastAsia="Palatino Linotype" w:cs="Times New Roman"/>
          <w:bCs/>
          <w:color w:val="000000" w:themeColor="text1"/>
          <w:kern w:val="0"/>
          <w14:ligatures w14:val="none"/>
        </w:rPr>
        <w:t xml:space="preserve"> </w:t>
      </w:r>
      <w:r w:rsidRPr="00AC1BBA" w:rsidR="00AC1BBA">
        <w:rPr>
          <w:rFonts w:ascii="Palatino Linotype" w:hAnsi="Palatino Linotype" w:eastAsia="Palatino Linotype" w:cs="Times New Roman"/>
          <w:bCs/>
          <w:color w:val="000000" w:themeColor="text1"/>
          <w:kern w:val="0"/>
          <w14:ligatures w14:val="none"/>
        </w:rPr>
        <w:t>(residential, commercial, and industrial).</w:t>
      </w:r>
      <w:r w:rsidR="00AC1BBA">
        <w:rPr>
          <w:rFonts w:ascii="Palatino Linotype" w:hAnsi="Palatino Linotype" w:eastAsia="Palatino Linotype" w:cs="Times New Roman"/>
          <w:bCs/>
          <w:color w:val="000000" w:themeColor="text1"/>
          <w:kern w:val="0"/>
          <w14:ligatures w14:val="none"/>
        </w:rPr>
        <w:t xml:space="preserve"> </w:t>
      </w:r>
      <w:r w:rsidR="00D35E13">
        <w:rPr>
          <w:rFonts w:ascii="Palatino Linotype" w:hAnsi="Palatino Linotype" w:eastAsia="Palatino Linotype" w:cs="Times New Roman"/>
          <w:bCs/>
          <w:color w:val="000000" w:themeColor="text1"/>
          <w:kern w:val="0"/>
          <w14:ligatures w14:val="none"/>
        </w:rPr>
        <w:t>Research</w:t>
      </w:r>
      <w:r w:rsidR="001900A1">
        <w:rPr>
          <w:rFonts w:ascii="Palatino Linotype" w:hAnsi="Palatino Linotype" w:eastAsia="Palatino Linotype" w:cs="Times New Roman"/>
          <w:bCs/>
          <w:color w:val="000000" w:themeColor="text1"/>
          <w:kern w:val="0"/>
          <w14:ligatures w14:val="none"/>
        </w:rPr>
        <w:t xml:space="preserve"> areas</w:t>
      </w:r>
      <w:r w:rsidR="00D35E13">
        <w:rPr>
          <w:rFonts w:ascii="Palatino Linotype" w:hAnsi="Palatino Linotype" w:eastAsia="Palatino Linotype" w:cs="Times New Roman"/>
          <w:bCs/>
          <w:color w:val="000000" w:themeColor="text1"/>
          <w:kern w:val="0"/>
          <w14:ligatures w14:val="none"/>
        </w:rPr>
        <w:t xml:space="preserve"> include</w:t>
      </w:r>
      <w:r w:rsidR="00207085">
        <w:rPr>
          <w:rFonts w:ascii="Palatino Linotype" w:hAnsi="Palatino Linotype" w:eastAsia="Palatino Linotype" w:cs="Times New Roman"/>
          <w:bCs/>
          <w:color w:val="000000" w:themeColor="text1"/>
          <w:kern w:val="0"/>
          <w14:ligatures w14:val="none"/>
        </w:rPr>
        <w:t>:</w:t>
      </w:r>
      <w:r w:rsidR="00D35E13">
        <w:rPr>
          <w:rFonts w:ascii="Palatino Linotype" w:hAnsi="Palatino Linotype" w:eastAsia="Palatino Linotype" w:cs="Times New Roman"/>
          <w:bCs/>
          <w:color w:val="000000" w:themeColor="text1"/>
          <w:kern w:val="0"/>
          <w14:ligatures w14:val="none"/>
        </w:rPr>
        <w:t xml:space="preserve"> (i)</w:t>
      </w:r>
      <w:r w:rsidR="00AC1BBA">
        <w:rPr>
          <w:rFonts w:ascii="Palatino Linotype" w:hAnsi="Palatino Linotype" w:eastAsia="Palatino Linotype" w:cs="Times New Roman"/>
          <w:bCs/>
          <w:color w:val="000000" w:themeColor="text1"/>
          <w:kern w:val="0"/>
          <w14:ligatures w14:val="none"/>
        </w:rPr>
        <w:t xml:space="preserve"> cutting direct emissions, (ii) enhancing load flexibility, (iii) improving building efficiency, and (iv) advancing priority technologies. </w:t>
      </w:r>
      <w:r>
        <w:rPr>
          <w:rFonts w:ascii="Palatino Linotype" w:hAnsi="Palatino Linotype"/>
          <w:color w:val="000000" w:themeColor="text1"/>
        </w:rPr>
        <w:t>SoCalGas</w:t>
      </w:r>
      <w:r w:rsidR="00D35E13">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w:t>
      </w:r>
      <w:r w:rsidR="001B710D">
        <w:rPr>
          <w:rFonts w:ascii="Palatino Linotype" w:hAnsi="Palatino Linotype" w:eastAsia="Palatino Linotype" w:cs="Times New Roman"/>
          <w:bCs/>
          <w:color w:val="000000" w:themeColor="text1"/>
          <w:kern w:val="0"/>
          <w14:ligatures w14:val="none"/>
        </w:rPr>
        <w:t xml:space="preserve"> avoided customer energy use and bills savings</w:t>
      </w:r>
      <w:r w:rsidR="00013C2E">
        <w:rPr>
          <w:rFonts w:ascii="Palatino Linotype" w:hAnsi="Palatino Linotype" w:eastAsia="Palatino Linotype" w:cs="Times New Roman"/>
          <w:bCs/>
          <w:color w:val="000000" w:themeColor="text1"/>
          <w:kern w:val="0"/>
          <w14:ligatures w14:val="none"/>
        </w:rPr>
        <w:t xml:space="preserve">, GHG and criteria pollutant emissions, and reductions in operations and maintenance and capital costs. </w:t>
      </w:r>
      <w:r>
        <w:rPr>
          <w:rFonts w:ascii="Palatino Linotype" w:hAnsi="Palatino Linotype"/>
          <w:color w:val="000000" w:themeColor="text1"/>
        </w:rPr>
        <w:t>SoCalGas</w:t>
      </w:r>
      <w:r w:rsidRPr="004970BE" w:rsidR="001D3D47">
        <w:rPr>
          <w:rFonts w:ascii="Palatino Linotype" w:hAnsi="Palatino Linotype" w:eastAsia="Palatino Linotype" w:cs="Times New Roman"/>
          <w:bCs/>
          <w:color w:val="000000" w:themeColor="text1"/>
          <w:kern w:val="0"/>
          <w14:ligatures w14:val="none"/>
        </w:rPr>
        <w:t xml:space="preserve"> proposes to </w:t>
      </w:r>
      <w:r w:rsidR="001D3D47">
        <w:rPr>
          <w:rFonts w:ascii="Palatino Linotype" w:hAnsi="Palatino Linotype" w:eastAsia="Palatino Linotype" w:cs="Times New Roman"/>
          <w:bCs/>
          <w:color w:val="000000" w:themeColor="text1"/>
          <w:kern w:val="0"/>
          <w14:ligatures w14:val="none"/>
        </w:rPr>
        <w:t xml:space="preserve">allocate </w:t>
      </w:r>
      <w:r w:rsidRPr="006C5734" w:rsidR="006C5734">
        <w:rPr>
          <w:rFonts w:ascii="Palatino Linotype" w:hAnsi="Palatino Linotype" w:eastAsia="Palatino Linotype" w:cs="Times New Roman"/>
          <w:bCs/>
          <w:color w:val="000000" w:themeColor="text1"/>
          <w:kern w:val="0"/>
          <w14:ligatures w14:val="none"/>
        </w:rPr>
        <w:t>$1,757,682</w:t>
      </w:r>
      <w:r w:rsidR="001D3D47">
        <w:rPr>
          <w:rFonts w:ascii="Palatino Linotype" w:hAnsi="Palatino Linotype" w:eastAsia="Palatino Linotype" w:cs="Times New Roman"/>
          <w:bCs/>
          <w:color w:val="000000" w:themeColor="text1"/>
          <w:kern w:val="0"/>
          <w14:ligatures w14:val="none"/>
        </w:rPr>
        <w:t xml:space="preserve"> in its 2024 Plan.</w:t>
      </w:r>
    </w:p>
    <w:p w:rsidR="008A5F6E" w:rsidP="00122931" w:rsidRDefault="008A5F6E" w14:paraId="2798A232" w14:textId="77777777">
      <w:pPr>
        <w:spacing w:after="0" w:line="276" w:lineRule="auto"/>
        <w:rPr>
          <w:rFonts w:ascii="Palatino Linotype" w:hAnsi="Palatino Linotype" w:eastAsia="Palatino Linotype" w:cs="Times New Roman"/>
          <w:bCs/>
          <w:color w:val="000000" w:themeColor="text1"/>
          <w:kern w:val="0"/>
          <w14:ligatures w14:val="none"/>
        </w:rPr>
      </w:pPr>
    </w:p>
    <w:p w:rsidRPr="00526A6A" w:rsidR="008A5F6E" w:rsidP="008A5F6E" w:rsidRDefault="008A5F6E" w14:paraId="493F7FA9" w14:textId="77777777">
      <w:pPr>
        <w:spacing w:line="276" w:lineRule="auto"/>
        <w:rPr>
          <w:rFonts w:ascii="Palatino Linotype" w:hAnsi="Palatino Linotype" w:eastAsia="Palatino Linotype" w:cs="Times New Roman"/>
          <w:bCs/>
          <w:i/>
          <w:iCs/>
          <w:color w:val="000000" w:themeColor="text1"/>
          <w:kern w:val="0"/>
          <w14:ligatures w14:val="none"/>
        </w:rPr>
      </w:pPr>
      <w:r w:rsidRPr="00526A6A">
        <w:rPr>
          <w:rFonts w:ascii="Palatino Linotype" w:hAnsi="Palatino Linotype" w:eastAsia="Palatino Linotype" w:cs="Times New Roman"/>
          <w:bCs/>
          <w:i/>
          <w:iCs/>
          <w:color w:val="000000" w:themeColor="text1"/>
          <w:kern w:val="0"/>
          <w14:ligatures w14:val="none"/>
        </w:rPr>
        <w:t xml:space="preserve">Gas RD&amp;D Database Development </w:t>
      </w:r>
    </w:p>
    <w:p w:rsidR="008A5F6E" w:rsidP="00122931" w:rsidRDefault="004C5DEA" w14:paraId="166036AC" w14:textId="7172CA0D">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526A6A" w:rsidR="008A5F6E">
        <w:rPr>
          <w:rFonts w:ascii="Palatino Linotype" w:hAnsi="Palatino Linotype" w:eastAsia="Palatino Linotype" w:cs="Times New Roman"/>
          <w:bCs/>
          <w:color w:val="000000" w:themeColor="text1"/>
          <w:kern w:val="0"/>
          <w14:ligatures w14:val="none"/>
        </w:rPr>
        <w:t xml:space="preserve"> proposes to allocate $56,987 in its 2024 Plan for its proportional share of developing a comprehensive Gas RD&amp;D Database.</w:t>
      </w:r>
      <w:r w:rsidR="00A72DB6">
        <w:rPr>
          <w:rStyle w:val="FootnoteReference"/>
          <w:rFonts w:ascii="Palatino Linotype" w:hAnsi="Palatino Linotype" w:eastAsia="Palatino Linotype" w:cs="Times New Roman"/>
          <w:bCs/>
          <w:color w:val="000000" w:themeColor="text1"/>
          <w:kern w:val="0"/>
          <w14:ligatures w14:val="none"/>
        </w:rPr>
        <w:footnoteReference w:id="30"/>
      </w:r>
    </w:p>
    <w:p w:rsidR="00526A6A" w:rsidP="00122931" w:rsidRDefault="00526A6A" w14:paraId="1CDD3B56" w14:textId="77777777">
      <w:pPr>
        <w:spacing w:after="0" w:line="276" w:lineRule="auto"/>
        <w:rPr>
          <w:rFonts w:ascii="Palatino Linotype" w:hAnsi="Palatino Linotype" w:eastAsia="Palatino Linotype" w:cs="Times New Roman"/>
          <w:bCs/>
          <w:color w:val="000000" w:themeColor="text1"/>
          <w:kern w:val="0"/>
          <w14:ligatures w14:val="none"/>
        </w:rPr>
      </w:pPr>
    </w:p>
    <w:p w:rsidRPr="00526A6A" w:rsidR="00526A6A" w:rsidP="00526A6A" w:rsidRDefault="00526A6A" w14:paraId="0BD0825A" w14:textId="77777777">
      <w:pPr>
        <w:spacing w:line="276" w:lineRule="auto"/>
        <w:rPr>
          <w:rFonts w:ascii="Palatino Linotype" w:hAnsi="Palatino Linotype" w:eastAsia="Palatino Linotype" w:cs="Times New Roman"/>
          <w:bCs/>
          <w:i/>
          <w:iCs/>
          <w:color w:val="000000" w:themeColor="text1"/>
          <w:kern w:val="0"/>
          <w14:ligatures w14:val="none"/>
        </w:rPr>
      </w:pPr>
      <w:r w:rsidRPr="00526A6A">
        <w:rPr>
          <w:rFonts w:ascii="Palatino Linotype" w:hAnsi="Palatino Linotype" w:eastAsia="Palatino Linotype" w:cs="Times New Roman"/>
          <w:bCs/>
          <w:i/>
          <w:iCs/>
          <w:color w:val="000000" w:themeColor="text1"/>
          <w:kern w:val="0"/>
          <w14:ligatures w14:val="none"/>
        </w:rPr>
        <w:t xml:space="preserve">Program Evaluation </w:t>
      </w:r>
    </w:p>
    <w:p w:rsidRPr="00BA7B54" w:rsidR="00526A6A" w:rsidP="00122931" w:rsidRDefault="004C5DEA" w14:paraId="44224832" w14:textId="5226AA38">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526A6A" w:rsidR="00526A6A">
        <w:rPr>
          <w:rFonts w:ascii="Palatino Linotype" w:hAnsi="Palatino Linotype" w:eastAsia="Palatino Linotype" w:cs="Times New Roman"/>
          <w:bCs/>
          <w:color w:val="000000" w:themeColor="text1"/>
          <w:kern w:val="0"/>
          <w14:ligatures w14:val="none"/>
        </w:rPr>
        <w:t xml:space="preserve"> proposes to allocate </w:t>
      </w:r>
      <w:r w:rsidRPr="00A72DB6" w:rsidR="00A72DB6">
        <w:rPr>
          <w:rFonts w:ascii="Palatino Linotype" w:hAnsi="Palatino Linotype" w:eastAsia="Palatino Linotype" w:cs="Times New Roman"/>
          <w:bCs/>
          <w:color w:val="000000" w:themeColor="text1"/>
          <w:kern w:val="0"/>
          <w14:ligatures w14:val="none"/>
        </w:rPr>
        <w:t>$675,000</w:t>
      </w:r>
      <w:r w:rsidR="00A72DB6">
        <w:rPr>
          <w:rFonts w:ascii="Palatino Linotype" w:hAnsi="Palatino Linotype" w:eastAsia="Palatino Linotype" w:cs="Times New Roman"/>
          <w:bCs/>
          <w:color w:val="000000" w:themeColor="text1"/>
          <w:kern w:val="0"/>
          <w14:ligatures w14:val="none"/>
        </w:rPr>
        <w:t xml:space="preserve"> </w:t>
      </w:r>
      <w:r w:rsidRPr="00526A6A" w:rsidR="00526A6A">
        <w:rPr>
          <w:rFonts w:ascii="Palatino Linotype" w:hAnsi="Palatino Linotype" w:eastAsia="Palatino Linotype" w:cs="Times New Roman"/>
          <w:bCs/>
          <w:color w:val="000000" w:themeColor="text1"/>
          <w:kern w:val="0"/>
          <w14:ligatures w14:val="none"/>
        </w:rPr>
        <w:t>in its 202</w:t>
      </w:r>
      <w:r w:rsidR="00A72DB6">
        <w:rPr>
          <w:rFonts w:ascii="Palatino Linotype" w:hAnsi="Palatino Linotype" w:eastAsia="Palatino Linotype" w:cs="Times New Roman"/>
          <w:bCs/>
          <w:color w:val="000000" w:themeColor="text1"/>
          <w:kern w:val="0"/>
          <w14:ligatures w14:val="none"/>
        </w:rPr>
        <w:t>4</w:t>
      </w:r>
      <w:r w:rsidRPr="00526A6A" w:rsidR="00526A6A">
        <w:rPr>
          <w:rFonts w:ascii="Palatino Linotype" w:hAnsi="Palatino Linotype" w:eastAsia="Palatino Linotype" w:cs="Times New Roman"/>
          <w:bCs/>
          <w:color w:val="000000" w:themeColor="text1"/>
          <w:kern w:val="0"/>
          <w14:ligatures w14:val="none"/>
        </w:rPr>
        <w:t xml:space="preserve"> Plan for its proportional share of a comprehensive Gas RD&amp;D Program Evaluation to be conducted by Energy Division</w:t>
      </w:r>
      <w:r w:rsidR="00A72DB6">
        <w:rPr>
          <w:rFonts w:ascii="Palatino Linotype" w:hAnsi="Palatino Linotype" w:eastAsia="Palatino Linotype" w:cs="Times New Roman"/>
          <w:bCs/>
          <w:color w:val="000000" w:themeColor="text1"/>
          <w:kern w:val="0"/>
          <w14:ligatures w14:val="none"/>
        </w:rPr>
        <w:t>.</w:t>
      </w:r>
      <w:r w:rsidRPr="00103BC8" w:rsidR="00A72DB6">
        <w:rPr>
          <w:rStyle w:val="FootnoteReference"/>
          <w:rFonts w:ascii="Palatino Linotype" w:hAnsi="Palatino Linotype" w:eastAsia="Palatino Linotype" w:cs="Times New Roman"/>
          <w:bCs/>
          <w:color w:val="000000" w:themeColor="text1"/>
          <w:kern w:val="0"/>
          <w14:ligatures w14:val="none"/>
        </w:rPr>
        <w:footnoteReference w:id="31"/>
      </w:r>
    </w:p>
    <w:p w:rsidR="00122931" w:rsidP="00122931" w:rsidRDefault="00122931" w14:paraId="0DF94DF4" w14:textId="77777777">
      <w:pPr>
        <w:spacing w:after="0" w:line="276" w:lineRule="auto"/>
        <w:rPr>
          <w:rFonts w:ascii="Palatino Linotype" w:hAnsi="Palatino Linotype" w:eastAsia="Palatino Linotype" w:cs="Times New Roman"/>
          <w:bCs/>
          <w:color w:val="000000" w:themeColor="text1"/>
          <w:kern w:val="0"/>
          <w14:ligatures w14:val="none"/>
        </w:rPr>
      </w:pPr>
    </w:p>
    <w:p w:rsidR="00A72DB6" w:rsidP="007579CD" w:rsidRDefault="00A72DB6" w14:paraId="2EB1FEAA" w14:textId="77777777">
      <w:pPr>
        <w:keepNext/>
        <w:spacing w:line="276" w:lineRule="auto"/>
        <w:rPr>
          <w:rFonts w:ascii="Palatino Linotype" w:hAnsi="Palatino Linotype" w:eastAsia="Palatino Linotype" w:cs="Times New Roman"/>
          <w:bCs/>
          <w:i/>
          <w:iCs/>
          <w:color w:val="000000" w:themeColor="text1"/>
          <w:kern w:val="0"/>
          <w14:ligatures w14:val="none"/>
        </w:rPr>
      </w:pPr>
      <w:r w:rsidRPr="00192E7E">
        <w:rPr>
          <w:rFonts w:ascii="Palatino Linotype" w:hAnsi="Palatino Linotype" w:eastAsia="Palatino Linotype" w:cs="Times New Roman"/>
          <w:bCs/>
          <w:i/>
          <w:iCs/>
          <w:color w:val="000000" w:themeColor="text1"/>
          <w:kern w:val="0"/>
          <w14:ligatures w14:val="none"/>
        </w:rPr>
        <w:lastRenderedPageBreak/>
        <w:t>Program Administration</w:t>
      </w:r>
    </w:p>
    <w:p w:rsidR="00A72DB6" w:rsidP="007579CD" w:rsidRDefault="004C5DEA" w14:paraId="40ECE6C6" w14:textId="05BF1EC5">
      <w:pPr>
        <w:keepNext/>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BA7B54" w:rsidR="00A72DB6">
        <w:rPr>
          <w:rFonts w:ascii="Palatino Linotype" w:hAnsi="Palatino Linotype" w:eastAsia="Palatino Linotype" w:cs="Times New Roman"/>
          <w:bCs/>
          <w:color w:val="000000" w:themeColor="text1"/>
          <w:kern w:val="0"/>
          <w14:ligatures w14:val="none"/>
        </w:rPr>
        <w:t xml:space="preserve"> proposes </w:t>
      </w:r>
      <w:proofErr w:type="gramStart"/>
      <w:r w:rsidRPr="00BA7B54" w:rsidR="00A72DB6">
        <w:rPr>
          <w:rFonts w:ascii="Palatino Linotype" w:hAnsi="Palatino Linotype" w:eastAsia="Palatino Linotype" w:cs="Times New Roman"/>
          <w:bCs/>
          <w:color w:val="000000" w:themeColor="text1"/>
          <w:kern w:val="0"/>
          <w14:ligatures w14:val="none"/>
        </w:rPr>
        <w:t>to allocate</w:t>
      </w:r>
      <w:proofErr w:type="gramEnd"/>
      <w:r w:rsidRPr="00BA7B54" w:rsidR="00A72DB6">
        <w:rPr>
          <w:rFonts w:ascii="Palatino Linotype" w:hAnsi="Palatino Linotype" w:eastAsia="Palatino Linotype" w:cs="Times New Roman"/>
          <w:bCs/>
          <w:color w:val="000000" w:themeColor="text1"/>
          <w:kern w:val="0"/>
          <w14:ligatures w14:val="none"/>
        </w:rPr>
        <w:t xml:space="preserve"> ten percent of its annual total budget to administrative costs, translating </w:t>
      </w:r>
      <w:r w:rsidRPr="003750B3" w:rsidR="00A72DB6">
        <w:rPr>
          <w:rFonts w:ascii="Palatino Linotype" w:hAnsi="Palatino Linotype" w:eastAsia="Palatino Linotype" w:cs="Times New Roman"/>
          <w:bCs/>
          <w:color w:val="000000" w:themeColor="text1"/>
          <w:kern w:val="0"/>
          <w14:ligatures w14:val="none"/>
        </w:rPr>
        <w:t>to $1,785,300 in its 2024 Plan</w:t>
      </w:r>
      <w:r w:rsidRPr="001C5E82" w:rsidR="00A72DB6">
        <w:rPr>
          <w:rFonts w:ascii="Palatino Linotype" w:hAnsi="Palatino Linotype" w:eastAsia="Palatino Linotype" w:cs="Times New Roman"/>
          <w:bCs/>
          <w:color w:val="000000" w:themeColor="text1"/>
          <w:kern w:val="0"/>
          <w14:ligatures w14:val="none"/>
        </w:rPr>
        <w:t>.</w:t>
      </w:r>
      <w:r w:rsidRPr="001C5E82" w:rsidR="00A72DB6">
        <w:rPr>
          <w:rStyle w:val="FootnoteReference"/>
          <w:rFonts w:ascii="Palatino Linotype" w:hAnsi="Palatino Linotype" w:eastAsia="Palatino Linotype" w:cs="Times New Roman"/>
          <w:bCs/>
          <w:color w:val="000000" w:themeColor="text1"/>
          <w:kern w:val="0"/>
          <w14:ligatures w14:val="none"/>
        </w:rPr>
        <w:footnoteReference w:id="32"/>
      </w:r>
    </w:p>
    <w:p w:rsidR="00B60ED3" w:rsidP="009432AD" w:rsidRDefault="00B60ED3" w14:paraId="3EF34103" w14:textId="77777777">
      <w:pPr>
        <w:spacing w:before="120" w:after="0" w:line="276" w:lineRule="auto"/>
        <w:rPr>
          <w:rFonts w:ascii="Palatino Linotype" w:hAnsi="Palatino Linotype" w:eastAsia="Palatino Linotype" w:cs="Times New Roman"/>
          <w:bCs/>
          <w:color w:val="000000" w:themeColor="text1"/>
          <w:kern w:val="0"/>
          <w14:ligatures w14:val="none"/>
        </w:rPr>
      </w:pPr>
    </w:p>
    <w:p w:rsidR="006F2CA0" w:rsidP="000B1BB0" w:rsidRDefault="00650AE2" w14:paraId="03A45519" w14:textId="024F9E66">
      <w:pPr>
        <w:spacing w:line="276" w:lineRule="auto"/>
        <w:rPr>
          <w:rFonts w:ascii="Palatino Linotype" w:hAnsi="Palatino Linotype" w:eastAsia="Palatino Linotype" w:cs="Times New Roman"/>
          <w:b/>
          <w:color w:val="000000" w:themeColor="text1"/>
          <w:kern w:val="0"/>
          <w14:ligatures w14:val="none"/>
        </w:rPr>
      </w:pPr>
      <w:r w:rsidRPr="00650AE2">
        <w:rPr>
          <w:rFonts w:ascii="Palatino Linotype" w:hAnsi="Palatino Linotype" w:eastAsia="Palatino Linotype" w:cs="Times New Roman"/>
          <w:b/>
          <w:color w:val="000000" w:themeColor="text1"/>
          <w:kern w:val="0"/>
          <w14:ligatures w14:val="none"/>
        </w:rPr>
        <w:t xml:space="preserve">Summary of </w:t>
      </w:r>
      <w:r w:rsidRPr="004C5DEA" w:rsidR="004C5DEA">
        <w:rPr>
          <w:rFonts w:ascii="Palatino Linotype" w:hAnsi="Palatino Linotype"/>
          <w:b/>
          <w:bCs/>
          <w:color w:val="000000" w:themeColor="text1"/>
        </w:rPr>
        <w:t>SoCalGas</w:t>
      </w:r>
      <w:r w:rsidRPr="00650AE2">
        <w:rPr>
          <w:rFonts w:ascii="Palatino Linotype" w:hAnsi="Palatino Linotype" w:eastAsia="Palatino Linotype" w:cs="Times New Roman"/>
          <w:b/>
          <w:color w:val="000000" w:themeColor="text1"/>
          <w:kern w:val="0"/>
          <w14:ligatures w14:val="none"/>
        </w:rPr>
        <w:t>’ Advice Letter</w:t>
      </w:r>
      <w:r w:rsidR="00A15D57">
        <w:rPr>
          <w:rFonts w:ascii="Palatino Linotype" w:hAnsi="Palatino Linotype" w:eastAsia="Palatino Linotype" w:cs="Times New Roman"/>
          <w:b/>
          <w:color w:val="000000" w:themeColor="text1"/>
          <w:kern w:val="0"/>
          <w14:ligatures w14:val="none"/>
        </w:rPr>
        <w:t xml:space="preserve"> 649</w:t>
      </w:r>
      <w:r w:rsidR="003D4D9E">
        <w:rPr>
          <w:rFonts w:ascii="Palatino Linotype" w:hAnsi="Palatino Linotype" w:eastAsia="Palatino Linotype" w:cs="Times New Roman"/>
          <w:b/>
          <w:color w:val="000000" w:themeColor="text1"/>
          <w:kern w:val="0"/>
          <w14:ligatures w14:val="none"/>
        </w:rPr>
        <w:t>6</w:t>
      </w:r>
      <w:r w:rsidRPr="00650AE2">
        <w:rPr>
          <w:rFonts w:ascii="Palatino Linotype" w:hAnsi="Palatino Linotype" w:eastAsia="Palatino Linotype" w:cs="Times New Roman"/>
          <w:b/>
          <w:color w:val="000000" w:themeColor="text1"/>
          <w:kern w:val="0"/>
          <w14:ligatures w14:val="none"/>
        </w:rPr>
        <w:t>-G</w:t>
      </w:r>
      <w:r w:rsidR="003D4D9E">
        <w:rPr>
          <w:rFonts w:ascii="Palatino Linotype" w:hAnsi="Palatino Linotype" w:eastAsia="Palatino Linotype" w:cs="Times New Roman"/>
          <w:b/>
          <w:color w:val="000000" w:themeColor="text1"/>
          <w:kern w:val="0"/>
          <w14:ligatures w14:val="none"/>
        </w:rPr>
        <w:t>-A</w:t>
      </w:r>
      <w:r w:rsidRPr="00650AE2">
        <w:rPr>
          <w:rFonts w:ascii="Palatino Linotype" w:hAnsi="Palatino Linotype" w:eastAsia="Palatino Linotype" w:cs="Times New Roman"/>
          <w:b/>
          <w:color w:val="000000" w:themeColor="text1"/>
          <w:kern w:val="0"/>
          <w14:ligatures w14:val="none"/>
        </w:rPr>
        <w:t>: 2025 Gas RD&amp;D Plan</w:t>
      </w:r>
    </w:p>
    <w:p w:rsidR="000B1BB0" w:rsidP="000B1BB0" w:rsidRDefault="004C5DEA" w14:paraId="24590A15" w14:textId="08A787AD">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000B1BB0">
        <w:rPr>
          <w:rFonts w:ascii="Palatino Linotype" w:hAnsi="Palatino Linotype" w:eastAsia="Palatino Linotype" w:cs="Times New Roman"/>
          <w:bCs/>
          <w:color w:val="000000" w:themeColor="text1"/>
          <w:kern w:val="0"/>
          <w14:ligatures w14:val="none"/>
        </w:rPr>
        <w:t xml:space="preserve"> submitted its 2025 Plan (AL 649</w:t>
      </w:r>
      <w:r w:rsidR="00117648">
        <w:rPr>
          <w:rFonts w:ascii="Palatino Linotype" w:hAnsi="Palatino Linotype" w:eastAsia="Palatino Linotype" w:cs="Times New Roman"/>
          <w:bCs/>
          <w:color w:val="000000" w:themeColor="text1"/>
          <w:kern w:val="0"/>
          <w14:ligatures w14:val="none"/>
        </w:rPr>
        <w:t>6</w:t>
      </w:r>
      <w:r w:rsidR="000B1BB0">
        <w:rPr>
          <w:rFonts w:ascii="Palatino Linotype" w:hAnsi="Palatino Linotype" w:eastAsia="Palatino Linotype" w:cs="Times New Roman"/>
          <w:bCs/>
          <w:color w:val="000000" w:themeColor="text1"/>
          <w:kern w:val="0"/>
          <w14:ligatures w14:val="none"/>
        </w:rPr>
        <w:t>-G) on June 27, 2025, and subsequently submitted its modified 202</w:t>
      </w:r>
      <w:r w:rsidR="00117648">
        <w:rPr>
          <w:rFonts w:ascii="Palatino Linotype" w:hAnsi="Palatino Linotype" w:eastAsia="Palatino Linotype" w:cs="Times New Roman"/>
          <w:bCs/>
          <w:color w:val="000000" w:themeColor="text1"/>
          <w:kern w:val="0"/>
          <w14:ligatures w14:val="none"/>
        </w:rPr>
        <w:t>5</w:t>
      </w:r>
      <w:r w:rsidR="000B1BB0">
        <w:rPr>
          <w:rFonts w:ascii="Palatino Linotype" w:hAnsi="Palatino Linotype" w:eastAsia="Palatino Linotype" w:cs="Times New Roman"/>
          <w:bCs/>
          <w:color w:val="000000" w:themeColor="text1"/>
          <w:kern w:val="0"/>
          <w14:ligatures w14:val="none"/>
        </w:rPr>
        <w:t xml:space="preserve"> Plan via supplemental AL 649</w:t>
      </w:r>
      <w:r w:rsidR="00117648">
        <w:rPr>
          <w:rFonts w:ascii="Palatino Linotype" w:hAnsi="Palatino Linotype" w:eastAsia="Palatino Linotype" w:cs="Times New Roman"/>
          <w:bCs/>
          <w:color w:val="000000" w:themeColor="text1"/>
          <w:kern w:val="0"/>
          <w14:ligatures w14:val="none"/>
        </w:rPr>
        <w:t>6</w:t>
      </w:r>
      <w:r w:rsidR="000B1BB0">
        <w:rPr>
          <w:rFonts w:ascii="Palatino Linotype" w:hAnsi="Palatino Linotype" w:eastAsia="Palatino Linotype" w:cs="Times New Roman"/>
          <w:bCs/>
          <w:color w:val="000000" w:themeColor="text1"/>
          <w:kern w:val="0"/>
          <w14:ligatures w14:val="none"/>
        </w:rPr>
        <w:t>-G-A on April 3, 2026.</w:t>
      </w:r>
    </w:p>
    <w:p w:rsidR="000B1BB0" w:rsidP="000B1BB0" w:rsidRDefault="000B1BB0" w14:paraId="06E4939C" w14:textId="77777777">
      <w:pPr>
        <w:spacing w:after="0" w:line="276" w:lineRule="auto"/>
        <w:rPr>
          <w:rFonts w:ascii="Palatino Linotype" w:hAnsi="Palatino Linotype" w:eastAsia="Palatino Linotype" w:cs="Times New Roman"/>
          <w:bCs/>
          <w:color w:val="000000" w:themeColor="text1"/>
          <w:kern w:val="0"/>
          <w14:ligatures w14:val="none"/>
        </w:rPr>
      </w:pPr>
    </w:p>
    <w:p w:rsidR="007740F7" w:rsidP="007740F7" w:rsidRDefault="007740F7" w14:paraId="7E49799F" w14:textId="61FBF302">
      <w:pPr>
        <w:spacing w:line="276" w:lineRule="auto"/>
        <w:rPr>
          <w:rFonts w:ascii="Palatino Linotype" w:hAnsi="Palatino Linotype" w:eastAsia="Palatino Linotype" w:cs="Times New Roman"/>
          <w:bCs/>
          <w:color w:val="000000" w:themeColor="text1"/>
          <w:kern w:val="0"/>
          <w:u w:val="single"/>
          <w14:ligatures w14:val="none"/>
        </w:rPr>
      </w:pPr>
      <w:r>
        <w:rPr>
          <w:rFonts w:ascii="Palatino Linotype" w:hAnsi="Palatino Linotype" w:eastAsia="Palatino Linotype" w:cs="Times New Roman"/>
          <w:bCs/>
          <w:color w:val="000000" w:themeColor="text1"/>
          <w:kern w:val="0"/>
          <w:u w:val="single"/>
          <w14:ligatures w14:val="none"/>
        </w:rPr>
        <w:t xml:space="preserve">Summary of Modifications to </w:t>
      </w:r>
      <w:r w:rsidRPr="004C5DEA" w:rsidR="004C5DEA">
        <w:rPr>
          <w:rFonts w:ascii="Palatino Linotype" w:hAnsi="Palatino Linotype"/>
          <w:color w:val="000000" w:themeColor="text1"/>
          <w:u w:val="single"/>
        </w:rPr>
        <w:t>SoCalGas</w:t>
      </w:r>
      <w:r>
        <w:rPr>
          <w:rFonts w:ascii="Palatino Linotype" w:hAnsi="Palatino Linotype" w:eastAsia="Palatino Linotype" w:cs="Times New Roman"/>
          <w:bCs/>
          <w:color w:val="000000" w:themeColor="text1"/>
          <w:kern w:val="0"/>
          <w:u w:val="single"/>
          <w14:ligatures w14:val="none"/>
        </w:rPr>
        <w:t>’ 2025 Gas RD&amp;D Plan via Supplement</w:t>
      </w:r>
      <w:r w:rsidR="00973303">
        <w:rPr>
          <w:rFonts w:ascii="Palatino Linotype" w:hAnsi="Palatino Linotype" w:eastAsia="Palatino Linotype" w:cs="Times New Roman"/>
          <w:bCs/>
          <w:color w:val="000000" w:themeColor="text1"/>
          <w:kern w:val="0"/>
          <w:u w:val="single"/>
          <w14:ligatures w14:val="none"/>
        </w:rPr>
        <w:t xml:space="preserve"> </w:t>
      </w:r>
      <w:r w:rsidR="009432AD">
        <w:rPr>
          <w:rFonts w:ascii="Palatino Linotype" w:hAnsi="Palatino Linotype" w:eastAsia="Palatino Linotype" w:cs="Times New Roman"/>
          <w:bCs/>
          <w:color w:val="000000" w:themeColor="text1"/>
          <w:kern w:val="0"/>
          <w:u w:val="single"/>
          <w14:ligatures w14:val="none"/>
        </w:rPr>
        <w:br/>
      </w:r>
      <w:r w:rsidR="00973303">
        <w:rPr>
          <w:rFonts w:ascii="Palatino Linotype" w:hAnsi="Palatino Linotype" w:eastAsia="Palatino Linotype" w:cs="Times New Roman"/>
          <w:bCs/>
          <w:color w:val="000000" w:themeColor="text1"/>
          <w:kern w:val="0"/>
          <w:u w:val="single"/>
          <w14:ligatures w14:val="none"/>
        </w:rPr>
        <w:t>(AL 6496-G-A)</w:t>
      </w:r>
    </w:p>
    <w:p w:rsidRPr="007740F7" w:rsidR="007740F7" w:rsidP="007740F7" w:rsidRDefault="004C5DEA" w14:paraId="10BCCEFC" w14:textId="060F81ED">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7740F7" w:rsidR="007740F7">
        <w:rPr>
          <w:rFonts w:ascii="Palatino Linotype" w:hAnsi="Palatino Linotype" w:eastAsia="Palatino Linotype" w:cs="Times New Roman"/>
          <w:bCs/>
          <w:color w:val="000000" w:themeColor="text1"/>
          <w:kern w:val="0"/>
          <w14:ligatures w14:val="none"/>
        </w:rPr>
        <w:t xml:space="preserve"> states that “[i]n alignment with Energy Division staff guidance and the recommendations above, SoCalGas has updated the Research Plan as follows:</w:t>
      </w:r>
    </w:p>
    <w:p w:rsidRPr="007740F7" w:rsidR="007740F7" w:rsidP="00477204" w:rsidRDefault="007740F7" w14:paraId="365D54D1" w14:textId="6FFB34F8">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7740F7">
        <w:rPr>
          <w:rFonts w:ascii="Palatino Linotype" w:hAnsi="Palatino Linotype" w:eastAsia="Palatino Linotype" w:cs="Times New Roman"/>
          <w:bCs/>
          <w:color w:val="000000" w:themeColor="text1"/>
          <w:kern w:val="0"/>
          <w14:ligatures w14:val="none"/>
        </w:rPr>
        <w:t>Budget tables for each theme and initiative were updated, reallocating funds from hydrogen-related areas into other initiatives.</w:t>
      </w:r>
    </w:p>
    <w:p w:rsidRPr="007740F7" w:rsidR="007740F7" w:rsidP="00477204" w:rsidRDefault="007740F7" w14:paraId="358BA367" w14:textId="77777777">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7740F7">
        <w:rPr>
          <w:rFonts w:ascii="Palatino Linotype" w:hAnsi="Palatino Linotype" w:eastAsia="Palatino Linotype" w:cs="Times New Roman"/>
          <w:bCs/>
          <w:color w:val="000000" w:themeColor="text1"/>
          <w:kern w:val="0"/>
          <w14:ligatures w14:val="none"/>
        </w:rPr>
        <w:t>New charts have been added to each initiative showing progression from completed and active projects to potential research areas that address identified gaps.</w:t>
      </w:r>
    </w:p>
    <w:p w:rsidRPr="007740F7" w:rsidR="007740F7" w:rsidP="00477204" w:rsidRDefault="007740F7" w14:paraId="49087937" w14:textId="77777777">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7740F7">
        <w:rPr>
          <w:rFonts w:ascii="Palatino Linotype" w:hAnsi="Palatino Linotype" w:eastAsia="Palatino Linotype" w:cs="Times New Roman"/>
          <w:bCs/>
          <w:color w:val="000000" w:themeColor="text1"/>
          <w:kern w:val="0"/>
          <w14:ligatures w14:val="none"/>
        </w:rPr>
        <w:t>Additional information was provided to describe how program administration funds cover consortia dues.</w:t>
      </w:r>
    </w:p>
    <w:p w:rsidRPr="007740F7" w:rsidR="007740F7" w:rsidP="00477204" w:rsidRDefault="007740F7" w14:paraId="651F01CE" w14:textId="2FB1CE66">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7740F7">
        <w:rPr>
          <w:rFonts w:ascii="Palatino Linotype" w:hAnsi="Palatino Linotype" w:eastAsia="Palatino Linotype" w:cs="Times New Roman"/>
          <w:bCs/>
          <w:color w:val="000000" w:themeColor="text1"/>
          <w:kern w:val="0"/>
          <w14:ligatures w14:val="none"/>
        </w:rPr>
        <w:t>Selected metrics from the EPIC Uniform Impacts Analysis Framework have been incorporated where applicable to the 2025 initiatives, that will be further developed to demonstrate anticipated benefits for ratepayers.</w:t>
      </w:r>
    </w:p>
    <w:p w:rsidRPr="007740F7" w:rsidR="007740F7" w:rsidP="00477204" w:rsidRDefault="007740F7" w14:paraId="719518F8" w14:textId="77777777">
      <w:pPr>
        <w:pStyle w:val="ListParagraph"/>
        <w:numPr>
          <w:ilvl w:val="0"/>
          <w:numId w:val="16"/>
        </w:numPr>
        <w:spacing w:after="0" w:line="276" w:lineRule="auto"/>
        <w:rPr>
          <w:rFonts w:ascii="Palatino Linotype" w:hAnsi="Palatino Linotype" w:eastAsia="Palatino Linotype" w:cs="Times New Roman"/>
          <w:bCs/>
          <w:color w:val="000000" w:themeColor="text1"/>
          <w:kern w:val="0"/>
          <w14:ligatures w14:val="none"/>
        </w:rPr>
      </w:pPr>
      <w:r w:rsidRPr="007740F7">
        <w:rPr>
          <w:rFonts w:ascii="Palatino Linotype" w:hAnsi="Palatino Linotype" w:eastAsia="Palatino Linotype" w:cs="Times New Roman"/>
          <w:bCs/>
          <w:color w:val="000000" w:themeColor="text1"/>
          <w:kern w:val="0"/>
          <w14:ligatures w14:val="none"/>
        </w:rPr>
        <w:t>The project details spreadsheet has been updated and now includes citations for all required fields.”</w:t>
      </w:r>
      <w:r w:rsidRPr="007740F7">
        <w:rPr>
          <w:rStyle w:val="FootnoteReference"/>
          <w:rFonts w:ascii="Palatino Linotype" w:hAnsi="Palatino Linotype" w:eastAsia="Palatino Linotype" w:cs="Times New Roman"/>
          <w:bCs/>
          <w:color w:val="000000" w:themeColor="text1"/>
          <w:kern w:val="0"/>
          <w14:ligatures w14:val="none"/>
        </w:rPr>
        <w:footnoteReference w:id="33"/>
      </w:r>
    </w:p>
    <w:p w:rsidR="007740F7" w:rsidP="000B1BB0" w:rsidRDefault="007740F7" w14:paraId="5B559BDE" w14:textId="77777777">
      <w:pPr>
        <w:spacing w:after="0" w:line="276" w:lineRule="auto"/>
        <w:rPr>
          <w:rFonts w:ascii="Palatino Linotype" w:hAnsi="Palatino Linotype" w:eastAsia="Palatino Linotype" w:cs="Times New Roman"/>
          <w:bCs/>
          <w:color w:val="000000" w:themeColor="text1"/>
          <w:kern w:val="0"/>
          <w14:ligatures w14:val="none"/>
        </w:rPr>
      </w:pPr>
    </w:p>
    <w:p w:rsidRPr="00403D2A" w:rsidR="000B1BB0" w:rsidP="000B1BB0" w:rsidRDefault="004C5DEA" w14:paraId="09FF8232" w14:textId="3D2F2CC2">
      <w:pPr>
        <w:spacing w:line="276" w:lineRule="auto"/>
        <w:rPr>
          <w:rFonts w:ascii="Palatino Linotype" w:hAnsi="Palatino Linotype" w:eastAsia="Palatino Linotype" w:cs="Times New Roman"/>
          <w:bCs/>
          <w:color w:val="000000" w:themeColor="text1"/>
          <w:kern w:val="0"/>
          <w:u w:val="single"/>
          <w14:ligatures w14:val="none"/>
        </w:rPr>
      </w:pPr>
      <w:r w:rsidRPr="004C5DEA">
        <w:rPr>
          <w:rFonts w:ascii="Palatino Linotype" w:hAnsi="Palatino Linotype"/>
          <w:color w:val="000000" w:themeColor="text1"/>
          <w:u w:val="single"/>
        </w:rPr>
        <w:t>SoCalGas</w:t>
      </w:r>
      <w:r w:rsidRPr="00403D2A" w:rsidR="000B1BB0">
        <w:rPr>
          <w:rFonts w:ascii="Palatino Linotype" w:hAnsi="Palatino Linotype" w:eastAsia="Palatino Linotype" w:cs="Times New Roman"/>
          <w:bCs/>
          <w:color w:val="000000" w:themeColor="text1"/>
          <w:kern w:val="0"/>
          <w:u w:val="single"/>
          <w14:ligatures w14:val="none"/>
        </w:rPr>
        <w:t>’ Request for 202</w:t>
      </w:r>
      <w:r w:rsidR="000B1BB0">
        <w:rPr>
          <w:rFonts w:ascii="Palatino Linotype" w:hAnsi="Palatino Linotype" w:eastAsia="Palatino Linotype" w:cs="Times New Roman"/>
          <w:bCs/>
          <w:color w:val="000000" w:themeColor="text1"/>
          <w:kern w:val="0"/>
          <w:u w:val="single"/>
          <w14:ligatures w14:val="none"/>
        </w:rPr>
        <w:t>5</w:t>
      </w:r>
      <w:r w:rsidRPr="00403D2A" w:rsidR="000B1BB0">
        <w:rPr>
          <w:rFonts w:ascii="Palatino Linotype" w:hAnsi="Palatino Linotype" w:eastAsia="Palatino Linotype" w:cs="Times New Roman"/>
          <w:bCs/>
          <w:color w:val="000000" w:themeColor="text1"/>
          <w:kern w:val="0"/>
          <w:u w:val="single"/>
          <w14:ligatures w14:val="none"/>
        </w:rPr>
        <w:t xml:space="preserve"> Gas RD&amp;D Plan </w:t>
      </w:r>
    </w:p>
    <w:p w:rsidRPr="00650AE2" w:rsidR="006F2CA0" w:rsidP="000B1BB0" w:rsidRDefault="004C5DEA" w14:paraId="7D3C4AAF" w14:textId="19A68552">
      <w:pPr>
        <w:spacing w:after="0" w:line="276" w:lineRule="auto"/>
        <w:rPr>
          <w:rFonts w:ascii="Palatino Linotype" w:hAnsi="Palatino Linotype" w:eastAsia="Palatino Linotype" w:cs="Times New Roman"/>
          <w:b/>
          <w:color w:val="000000" w:themeColor="text1"/>
          <w:kern w:val="0"/>
          <w14:ligatures w14:val="none"/>
        </w:rPr>
      </w:pPr>
      <w:r>
        <w:rPr>
          <w:rFonts w:ascii="Palatino Linotype" w:hAnsi="Palatino Linotype"/>
          <w:color w:val="000000" w:themeColor="text1"/>
        </w:rPr>
        <w:t>SoCalGas</w:t>
      </w:r>
      <w:r w:rsidR="000B1BB0">
        <w:rPr>
          <w:rFonts w:ascii="Palatino Linotype" w:hAnsi="Palatino Linotype" w:eastAsia="Palatino Linotype" w:cs="Times New Roman"/>
          <w:bCs/>
          <w:color w:val="000000" w:themeColor="text1"/>
          <w:kern w:val="0"/>
          <w14:ligatures w14:val="none"/>
        </w:rPr>
        <w:t xml:space="preserve"> </w:t>
      </w:r>
      <w:r w:rsidRPr="00BE17A9" w:rsidR="000B1BB0">
        <w:rPr>
          <w:rFonts w:ascii="Palatino Linotype" w:hAnsi="Palatino Linotype" w:eastAsia="Palatino Linotype" w:cs="Times New Roman"/>
          <w:bCs/>
          <w:color w:val="000000" w:themeColor="text1"/>
          <w:kern w:val="0"/>
          <w14:ligatures w14:val="none"/>
        </w:rPr>
        <w:t>seeks approval of its proposed Gas RD&amp;D Investment Plan for 202</w:t>
      </w:r>
      <w:r w:rsidR="00BA7FC9">
        <w:rPr>
          <w:rFonts w:ascii="Palatino Linotype" w:hAnsi="Palatino Linotype" w:eastAsia="Palatino Linotype" w:cs="Times New Roman"/>
          <w:bCs/>
          <w:color w:val="000000" w:themeColor="text1"/>
          <w:kern w:val="0"/>
          <w14:ligatures w14:val="none"/>
        </w:rPr>
        <w:t>5</w:t>
      </w:r>
      <w:r w:rsidRPr="00BE17A9" w:rsidR="000B1BB0">
        <w:rPr>
          <w:rFonts w:ascii="Palatino Linotype" w:hAnsi="Palatino Linotype" w:eastAsia="Palatino Linotype" w:cs="Times New Roman"/>
          <w:bCs/>
          <w:color w:val="000000" w:themeColor="text1"/>
          <w:kern w:val="0"/>
          <w14:ligatures w14:val="none"/>
        </w:rPr>
        <w:t xml:space="preserve"> in </w:t>
      </w:r>
      <w:r w:rsidR="009432AD">
        <w:rPr>
          <w:rFonts w:ascii="Palatino Linotype" w:hAnsi="Palatino Linotype" w:eastAsia="Palatino Linotype" w:cs="Times New Roman"/>
          <w:bCs/>
          <w:color w:val="000000" w:themeColor="text1"/>
          <w:kern w:val="0"/>
          <w14:ligatures w14:val="none"/>
        </w:rPr>
        <w:br/>
      </w:r>
      <w:r w:rsidRPr="00BE17A9" w:rsidR="000B1BB0">
        <w:rPr>
          <w:rFonts w:ascii="Palatino Linotype" w:hAnsi="Palatino Linotype" w:eastAsia="Palatino Linotype" w:cs="Times New Roman"/>
          <w:bCs/>
          <w:color w:val="000000" w:themeColor="text1"/>
          <w:kern w:val="0"/>
          <w14:ligatures w14:val="none"/>
        </w:rPr>
        <w:t xml:space="preserve">AL </w:t>
      </w:r>
      <w:r w:rsidR="000B1BB0">
        <w:rPr>
          <w:rFonts w:ascii="Palatino Linotype" w:hAnsi="Palatino Linotype" w:eastAsia="Palatino Linotype" w:cs="Times New Roman"/>
          <w:bCs/>
          <w:color w:val="000000" w:themeColor="text1"/>
          <w:kern w:val="0"/>
          <w14:ligatures w14:val="none"/>
        </w:rPr>
        <w:t>649</w:t>
      </w:r>
      <w:r w:rsidR="00BA7FC9">
        <w:rPr>
          <w:rFonts w:ascii="Palatino Linotype" w:hAnsi="Palatino Linotype" w:eastAsia="Palatino Linotype" w:cs="Times New Roman"/>
          <w:bCs/>
          <w:color w:val="000000" w:themeColor="text1"/>
          <w:kern w:val="0"/>
          <w14:ligatures w14:val="none"/>
        </w:rPr>
        <w:t>6</w:t>
      </w:r>
      <w:r w:rsidR="000B1BB0">
        <w:rPr>
          <w:rFonts w:ascii="Palatino Linotype" w:hAnsi="Palatino Linotype" w:eastAsia="Palatino Linotype" w:cs="Times New Roman"/>
          <w:bCs/>
          <w:color w:val="000000" w:themeColor="text1"/>
          <w:kern w:val="0"/>
          <w14:ligatures w14:val="none"/>
        </w:rPr>
        <w:t>-G-A</w:t>
      </w:r>
      <w:r w:rsidRPr="00BE17A9" w:rsidR="000B1BB0">
        <w:rPr>
          <w:rFonts w:ascii="Palatino Linotype" w:hAnsi="Palatino Linotype" w:eastAsia="Palatino Linotype" w:cs="Times New Roman"/>
          <w:bCs/>
          <w:color w:val="000000" w:themeColor="text1"/>
          <w:kern w:val="0"/>
          <w14:ligatures w14:val="none"/>
        </w:rPr>
        <w:t>, authorized by D.2</w:t>
      </w:r>
      <w:r w:rsidR="000B1BB0">
        <w:rPr>
          <w:rFonts w:ascii="Palatino Linotype" w:hAnsi="Palatino Linotype" w:eastAsia="Palatino Linotype" w:cs="Times New Roman"/>
          <w:bCs/>
          <w:color w:val="000000" w:themeColor="text1"/>
          <w:kern w:val="0"/>
          <w14:ligatures w14:val="none"/>
        </w:rPr>
        <w:t>4-12-074</w:t>
      </w:r>
      <w:r w:rsidRPr="00BE17A9" w:rsidR="000B1BB0">
        <w:rPr>
          <w:rFonts w:ascii="Palatino Linotype" w:hAnsi="Palatino Linotype" w:eastAsia="Palatino Linotype" w:cs="Times New Roman"/>
          <w:bCs/>
          <w:color w:val="000000" w:themeColor="text1"/>
          <w:kern w:val="0"/>
          <w14:ligatures w14:val="none"/>
        </w:rPr>
        <w:t xml:space="preserve"> at $</w:t>
      </w:r>
      <w:r w:rsidR="000B1BB0">
        <w:rPr>
          <w:rFonts w:ascii="Palatino Linotype" w:hAnsi="Palatino Linotype" w:eastAsia="Palatino Linotype" w:cs="Times New Roman"/>
          <w:bCs/>
          <w:color w:val="000000" w:themeColor="text1"/>
          <w:kern w:val="0"/>
          <w14:ligatures w14:val="none"/>
        </w:rPr>
        <w:t>1</w:t>
      </w:r>
      <w:r w:rsidR="00C23F5F">
        <w:rPr>
          <w:rFonts w:ascii="Palatino Linotype" w:hAnsi="Palatino Linotype" w:eastAsia="Palatino Linotype" w:cs="Times New Roman"/>
          <w:bCs/>
          <w:color w:val="000000" w:themeColor="text1"/>
          <w:kern w:val="0"/>
          <w14:ligatures w14:val="none"/>
        </w:rPr>
        <w:t>8</w:t>
      </w:r>
      <w:r w:rsidRPr="6F1FEA14" w:rsidR="6682D840">
        <w:rPr>
          <w:rFonts w:ascii="Palatino Linotype" w:hAnsi="Palatino Linotype" w:eastAsia="Palatino Linotype" w:cs="Times New Roman"/>
          <w:color w:val="000000" w:themeColor="text1"/>
        </w:rPr>
        <w:t>,</w:t>
      </w:r>
      <w:r w:rsidRPr="6F1FEA14" w:rsidR="00C23F5F">
        <w:rPr>
          <w:rFonts w:ascii="Palatino Linotype" w:hAnsi="Palatino Linotype" w:eastAsia="Palatino Linotype" w:cs="Times New Roman"/>
          <w:color w:val="000000" w:themeColor="text1"/>
        </w:rPr>
        <w:t>389</w:t>
      </w:r>
      <w:r w:rsidRPr="6F1FEA14" w:rsidR="1F13687A">
        <w:rPr>
          <w:rFonts w:ascii="Palatino Linotype" w:hAnsi="Palatino Linotype" w:eastAsia="Palatino Linotype" w:cs="Times New Roman"/>
          <w:color w:val="000000" w:themeColor="text1"/>
        </w:rPr>
        <w:t>,000</w:t>
      </w:r>
      <w:r w:rsidRPr="6F1FEA14" w:rsidR="000B1BB0">
        <w:rPr>
          <w:rFonts w:ascii="Palatino Linotype" w:hAnsi="Palatino Linotype" w:eastAsia="Palatino Linotype" w:cs="Times New Roman"/>
          <w:color w:val="000000" w:themeColor="text1"/>
        </w:rPr>
        <w:t xml:space="preserve"> with the following proposed budget allocations to various Initiatives</w:t>
      </w:r>
      <w:r w:rsidRPr="6F1FEA14" w:rsidR="00D94874">
        <w:rPr>
          <w:rFonts w:ascii="Palatino Linotype" w:hAnsi="Palatino Linotype" w:eastAsia="Palatino Linotype" w:cs="Times New Roman"/>
          <w:color w:val="000000" w:themeColor="text1"/>
        </w:rPr>
        <w:t>:</w:t>
      </w:r>
      <w:r w:rsidRPr="6F1FEA14" w:rsidR="00D94874">
        <w:rPr>
          <w:rStyle w:val="FootnoteReference"/>
          <w:rFonts w:ascii="Palatino Linotype" w:hAnsi="Palatino Linotype" w:eastAsia="Palatino Linotype" w:cs="Times New Roman"/>
          <w:color w:val="000000" w:themeColor="text1"/>
        </w:rPr>
        <w:footnoteReference w:id="34"/>
      </w:r>
    </w:p>
    <w:p w:rsidR="00650AE2" w:rsidP="00F97978" w:rsidRDefault="00650AE2" w14:paraId="1FBBBA21" w14:textId="77777777">
      <w:pPr>
        <w:spacing w:after="0" w:line="276" w:lineRule="auto"/>
        <w:rPr>
          <w:rFonts w:ascii="Palatino Linotype" w:hAnsi="Palatino Linotype" w:eastAsia="Palatino Linotype" w:cs="Times New Roman"/>
          <w:bCs/>
          <w:color w:val="000000" w:themeColor="text1"/>
          <w:kern w:val="0"/>
          <w14:ligatures w14:val="none"/>
        </w:rPr>
      </w:pPr>
    </w:p>
    <w:tbl>
      <w:tblPr>
        <w:tblStyle w:val="TableGrid"/>
        <w:tblW w:w="0" w:type="auto"/>
        <w:tblLook w:val="04A0" w:firstRow="1" w:lastRow="0" w:firstColumn="1" w:lastColumn="0" w:noHBand="0" w:noVBand="1"/>
      </w:tblPr>
      <w:tblGrid>
        <w:gridCol w:w="2442"/>
        <w:gridCol w:w="4933"/>
        <w:gridCol w:w="630"/>
        <w:gridCol w:w="1345"/>
      </w:tblGrid>
      <w:tr w:rsidRPr="00C736B0" w:rsidR="00917EF7" w:rsidTr="008B0199" w14:paraId="3F768DB4" w14:textId="77777777">
        <w:tc>
          <w:tcPr>
            <w:tcW w:w="9350" w:type="dxa"/>
            <w:gridSpan w:val="4"/>
          </w:tcPr>
          <w:p w:rsidRPr="00C736B0" w:rsidR="00917EF7" w:rsidP="00705C5B" w:rsidRDefault="00917EF7" w14:paraId="2890360E" w14:textId="266C7DF6">
            <w:pPr>
              <w:keepNext/>
              <w:spacing w:line="276" w:lineRule="auto"/>
              <w:jc w:val="center"/>
              <w:outlineLvl w:val="0"/>
              <w:rPr>
                <w:rFonts w:ascii="Palatino Linotype" w:hAnsi="Palatino Linotype" w:eastAsia="Palatino Linotype" w:cs="Times New Roman"/>
                <w:b/>
                <w:color w:val="000000" w:themeColor="text1"/>
                <w:sz w:val="22"/>
                <w:szCs w:val="22"/>
              </w:rPr>
            </w:pPr>
            <w:r>
              <w:rPr>
                <w:rFonts w:ascii="Palatino Linotype" w:hAnsi="Palatino Linotype" w:eastAsia="Palatino Linotype" w:cs="Times New Roman"/>
                <w:b/>
                <w:color w:val="000000" w:themeColor="text1"/>
              </w:rPr>
              <w:t xml:space="preserve">Table 3: </w:t>
            </w:r>
            <w:r w:rsidRPr="00C736B0">
              <w:rPr>
                <w:rFonts w:ascii="Palatino Linotype" w:hAnsi="Palatino Linotype" w:eastAsia="Palatino Linotype" w:cs="Times New Roman"/>
                <w:b/>
                <w:color w:val="000000" w:themeColor="text1"/>
              </w:rPr>
              <w:t>202</w:t>
            </w:r>
            <w:r>
              <w:rPr>
                <w:rFonts w:ascii="Palatino Linotype" w:hAnsi="Palatino Linotype" w:eastAsia="Palatino Linotype" w:cs="Times New Roman"/>
                <w:b/>
                <w:color w:val="000000" w:themeColor="text1"/>
              </w:rPr>
              <w:t>5</w:t>
            </w:r>
            <w:r w:rsidRPr="00C736B0">
              <w:rPr>
                <w:rFonts w:ascii="Palatino Linotype" w:hAnsi="Palatino Linotype" w:eastAsia="Palatino Linotype" w:cs="Times New Roman"/>
                <w:b/>
                <w:color w:val="000000" w:themeColor="text1"/>
              </w:rPr>
              <w:t xml:space="preserve"> Gas RD&amp;D Plan Proposed Budget</w:t>
            </w:r>
          </w:p>
        </w:tc>
      </w:tr>
      <w:tr w:rsidRPr="00C736B0" w:rsidR="00917EF7" w:rsidTr="00917EF7" w14:paraId="538BCE65" w14:textId="77777777">
        <w:tc>
          <w:tcPr>
            <w:tcW w:w="2442" w:type="dxa"/>
          </w:tcPr>
          <w:p w:rsidRPr="00C736B0" w:rsidR="00917EF7" w:rsidP="00705C5B" w:rsidRDefault="00917EF7" w14:paraId="42270B55"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Investment Theme</w:t>
            </w:r>
          </w:p>
        </w:tc>
        <w:tc>
          <w:tcPr>
            <w:tcW w:w="4933" w:type="dxa"/>
          </w:tcPr>
          <w:p w:rsidRPr="00C736B0" w:rsidR="00917EF7" w:rsidP="00705C5B" w:rsidRDefault="00917EF7" w14:paraId="6EEA86A8"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Initiative Title</w:t>
            </w:r>
          </w:p>
        </w:tc>
        <w:tc>
          <w:tcPr>
            <w:tcW w:w="1975" w:type="dxa"/>
            <w:gridSpan w:val="2"/>
            <w:tcBorders>
              <w:bottom w:val="single" w:color="auto" w:sz="4" w:space="0"/>
            </w:tcBorders>
          </w:tcPr>
          <w:p w:rsidRPr="00C736B0" w:rsidR="00917EF7" w:rsidP="00705C5B" w:rsidRDefault="00917EF7" w14:paraId="363CBF83" w14:textId="7A156CA1">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202</w:t>
            </w:r>
            <w:r>
              <w:rPr>
                <w:rFonts w:ascii="Palatino Linotype" w:hAnsi="Palatino Linotype"/>
                <w:b/>
                <w:color w:val="000000" w:themeColor="text1"/>
                <w:sz w:val="22"/>
                <w:szCs w:val="22"/>
              </w:rPr>
              <w:t>5</w:t>
            </w:r>
            <w:r w:rsidRPr="00C736B0">
              <w:rPr>
                <w:rFonts w:ascii="Palatino Linotype" w:hAnsi="Palatino Linotype"/>
                <w:b/>
                <w:color w:val="000000" w:themeColor="text1"/>
                <w:sz w:val="22"/>
                <w:szCs w:val="22"/>
              </w:rPr>
              <w:t xml:space="preserve"> Plan Budget</w:t>
            </w:r>
          </w:p>
        </w:tc>
      </w:tr>
      <w:tr w:rsidRPr="00C736B0" w:rsidR="00917EF7" w:rsidTr="00917EF7" w14:paraId="664F1F89" w14:textId="77777777">
        <w:tc>
          <w:tcPr>
            <w:tcW w:w="2442" w:type="dxa"/>
            <w:vMerge w:val="restart"/>
          </w:tcPr>
          <w:p w:rsidRPr="00C736B0" w:rsidR="00917EF7" w:rsidP="00705C5B" w:rsidRDefault="00917EF7" w14:paraId="3579CF4F"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Gas</w:t>
            </w:r>
            <w:r w:rsidRPr="00C736B0">
              <w:rPr>
                <w:rFonts w:ascii="Palatino Linotype" w:hAnsi="Palatino Linotype" w:eastAsia="Palatino Linotype" w:cs="Times New Roman"/>
                <w:bCs w:val="0"/>
                <w:color w:val="000000" w:themeColor="text1"/>
                <w:sz w:val="22"/>
                <w:szCs w:val="22"/>
              </w:rPr>
              <w:t xml:space="preserve"> System Integrity </w:t>
            </w:r>
          </w:p>
        </w:tc>
        <w:tc>
          <w:tcPr>
            <w:tcW w:w="4933" w:type="dxa"/>
            <w:tcBorders>
              <w:right w:val="single" w:color="auto" w:sz="4" w:space="0"/>
            </w:tcBorders>
          </w:tcPr>
          <w:p w:rsidRPr="00C736B0" w:rsidR="00917EF7" w:rsidP="00705C5B" w:rsidRDefault="00917EF7" w14:paraId="1D12E2A4"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Environmental &amp; Safety</w:t>
            </w:r>
          </w:p>
        </w:tc>
        <w:tc>
          <w:tcPr>
            <w:tcW w:w="630" w:type="dxa"/>
            <w:tcBorders>
              <w:top w:val="single" w:color="auto" w:sz="4" w:space="0"/>
              <w:left w:val="single" w:color="auto" w:sz="4" w:space="0"/>
              <w:bottom w:val="single" w:color="auto" w:sz="4" w:space="0"/>
              <w:right w:val="nil"/>
            </w:tcBorders>
          </w:tcPr>
          <w:p w:rsidRPr="00EF28B8" w:rsidR="00917EF7" w:rsidP="00705C5B" w:rsidRDefault="00917EF7" w14:paraId="6629C979" w14:textId="2D87D3B3">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788D785A" w14:textId="5B52B6E4">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EF28B8">
              <w:rPr>
                <w:rFonts w:ascii="Palatino Linotype" w:hAnsi="Palatino Linotype" w:eastAsia="Palatino Linotype" w:cs="Times New Roman"/>
                <w:color w:val="000000" w:themeColor="text1"/>
                <w:sz w:val="22"/>
                <w:szCs w:val="22"/>
              </w:rPr>
              <w:t>1,655,010</w:t>
            </w:r>
          </w:p>
        </w:tc>
      </w:tr>
      <w:tr w:rsidRPr="00C736B0" w:rsidR="00917EF7" w:rsidTr="00917EF7" w14:paraId="4890AF12" w14:textId="77777777">
        <w:tc>
          <w:tcPr>
            <w:tcW w:w="2442" w:type="dxa"/>
            <w:vMerge/>
          </w:tcPr>
          <w:p w:rsidRPr="00C736B0" w:rsidR="00917EF7" w:rsidP="00917EF7" w:rsidRDefault="00917EF7" w14:paraId="0479BAF1"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917EF7" w:rsidRDefault="00917EF7" w14:paraId="4D055FCE"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Operations Technology</w:t>
            </w:r>
          </w:p>
        </w:tc>
        <w:tc>
          <w:tcPr>
            <w:tcW w:w="630" w:type="dxa"/>
            <w:tcBorders>
              <w:top w:val="single" w:color="auto" w:sz="4" w:space="0"/>
              <w:left w:val="single" w:color="auto" w:sz="4" w:space="0"/>
              <w:bottom w:val="single" w:color="auto" w:sz="4" w:space="0"/>
              <w:right w:val="nil"/>
            </w:tcBorders>
          </w:tcPr>
          <w:p w:rsidRPr="00EF28B8" w:rsidR="00917EF7" w:rsidP="00917EF7" w:rsidRDefault="00917EF7" w14:paraId="4E89EAC1" w14:textId="1E6041D2">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62393AC6" w14:textId="781C79C0">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EF28B8">
              <w:rPr>
                <w:rFonts w:ascii="Palatino Linotype" w:hAnsi="Palatino Linotype" w:eastAsia="Palatino Linotype" w:cs="Times New Roman"/>
                <w:color w:val="000000" w:themeColor="text1"/>
                <w:sz w:val="22"/>
                <w:szCs w:val="22"/>
              </w:rPr>
              <w:t>827,505</w:t>
            </w:r>
          </w:p>
        </w:tc>
      </w:tr>
      <w:tr w:rsidRPr="00C736B0" w:rsidR="00917EF7" w:rsidTr="00917EF7" w14:paraId="6BF61D49" w14:textId="77777777">
        <w:tc>
          <w:tcPr>
            <w:tcW w:w="2442" w:type="dxa"/>
            <w:vMerge/>
          </w:tcPr>
          <w:p w:rsidRPr="00C736B0" w:rsidR="00917EF7" w:rsidP="00917EF7" w:rsidRDefault="00917EF7" w14:paraId="71992A04"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917EF7" w:rsidRDefault="00917EF7" w14:paraId="1BEDCB8C"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System Design &amp; Materials</w:t>
            </w:r>
          </w:p>
        </w:tc>
        <w:tc>
          <w:tcPr>
            <w:tcW w:w="630" w:type="dxa"/>
            <w:tcBorders>
              <w:top w:val="single" w:color="auto" w:sz="4" w:space="0"/>
              <w:left w:val="single" w:color="auto" w:sz="4" w:space="0"/>
              <w:bottom w:val="single" w:color="auto" w:sz="4" w:space="0"/>
              <w:right w:val="nil"/>
            </w:tcBorders>
          </w:tcPr>
          <w:p w:rsidRPr="00EF28B8" w:rsidR="00917EF7" w:rsidP="00917EF7" w:rsidRDefault="00917EF7" w14:paraId="3BA1FF59" w14:textId="6DC9E8FB">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0CA68983" w14:textId="1C5523FC">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EF28B8">
              <w:rPr>
                <w:rFonts w:ascii="Palatino Linotype" w:hAnsi="Palatino Linotype" w:eastAsia="Palatino Linotype" w:cs="Times New Roman"/>
                <w:color w:val="000000" w:themeColor="text1"/>
                <w:sz w:val="22"/>
                <w:szCs w:val="22"/>
              </w:rPr>
              <w:t>2,151,513</w:t>
            </w:r>
          </w:p>
        </w:tc>
      </w:tr>
      <w:tr w:rsidRPr="00C736B0" w:rsidR="00917EF7" w:rsidTr="00917EF7" w14:paraId="36A70456" w14:textId="77777777">
        <w:tc>
          <w:tcPr>
            <w:tcW w:w="2442" w:type="dxa"/>
            <w:vMerge/>
          </w:tcPr>
          <w:p w:rsidRPr="00C736B0" w:rsidR="00917EF7" w:rsidP="00917EF7" w:rsidRDefault="00917EF7" w14:paraId="5BCE6A49"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917EF7" w:rsidRDefault="00917EF7" w14:paraId="18D05A99"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System Inspection &amp; Monitoring</w:t>
            </w:r>
          </w:p>
        </w:tc>
        <w:tc>
          <w:tcPr>
            <w:tcW w:w="630" w:type="dxa"/>
            <w:tcBorders>
              <w:top w:val="single" w:color="auto" w:sz="4" w:space="0"/>
              <w:left w:val="single" w:color="auto" w:sz="4" w:space="0"/>
              <w:bottom w:val="single" w:color="auto" w:sz="4" w:space="0"/>
              <w:right w:val="nil"/>
            </w:tcBorders>
          </w:tcPr>
          <w:p w:rsidRPr="00EF28B8" w:rsidR="00917EF7" w:rsidP="00917EF7" w:rsidRDefault="00917EF7" w14:paraId="191317D1" w14:textId="75FBE143">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0C305E86" w14:textId="7DA007C7">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EF28B8">
              <w:rPr>
                <w:rFonts w:ascii="Palatino Linotype" w:hAnsi="Palatino Linotype" w:eastAsia="Palatino Linotype" w:cs="Times New Roman"/>
                <w:color w:val="000000" w:themeColor="text1"/>
                <w:sz w:val="22"/>
                <w:szCs w:val="22"/>
              </w:rPr>
              <w:t>2,482,515</w:t>
            </w:r>
          </w:p>
        </w:tc>
      </w:tr>
      <w:tr w:rsidRPr="00C736B0" w:rsidR="00917EF7" w:rsidTr="00917EF7" w14:paraId="2B67DA94" w14:textId="77777777">
        <w:tc>
          <w:tcPr>
            <w:tcW w:w="2442" w:type="dxa"/>
            <w:vMerge/>
          </w:tcPr>
          <w:p w:rsidRPr="00C736B0" w:rsidR="00917EF7" w:rsidP="00917EF7" w:rsidRDefault="00917EF7" w14:paraId="405E1FEC"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917EF7" w:rsidRDefault="00917EF7" w14:paraId="75FB81EA"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RNG Infrastructure Optimization</w:t>
            </w:r>
          </w:p>
        </w:tc>
        <w:tc>
          <w:tcPr>
            <w:tcW w:w="630" w:type="dxa"/>
            <w:tcBorders>
              <w:top w:val="single" w:color="auto" w:sz="4" w:space="0"/>
              <w:left w:val="single" w:color="auto" w:sz="4" w:space="0"/>
              <w:bottom w:val="single" w:color="auto" w:sz="4" w:space="0"/>
              <w:right w:val="nil"/>
            </w:tcBorders>
          </w:tcPr>
          <w:p w:rsidRPr="00EF28B8" w:rsidR="00917EF7" w:rsidP="00917EF7" w:rsidRDefault="00917EF7" w14:paraId="4E6719CC" w14:textId="5AFDBFC0">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4CB3DE66" w14:textId="0B3A1543">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EF28B8">
              <w:rPr>
                <w:rFonts w:ascii="Palatino Linotype" w:hAnsi="Palatino Linotype" w:eastAsia="Palatino Linotype" w:cs="Times New Roman"/>
                <w:color w:val="000000" w:themeColor="text1"/>
                <w:sz w:val="22"/>
                <w:szCs w:val="22"/>
              </w:rPr>
              <w:t>2,534,522</w:t>
            </w:r>
          </w:p>
        </w:tc>
      </w:tr>
      <w:tr w:rsidRPr="00C736B0" w:rsidR="00917EF7" w:rsidTr="00917EF7" w14:paraId="7549FFBC" w14:textId="77777777">
        <w:tc>
          <w:tcPr>
            <w:tcW w:w="2442" w:type="dxa"/>
            <w:vMerge w:val="restart"/>
          </w:tcPr>
          <w:p w:rsidRPr="00C736B0" w:rsidR="00917EF7" w:rsidP="00917EF7" w:rsidRDefault="00917EF7" w14:paraId="4A392C58"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bCs w:val="0"/>
                <w:color w:val="000000" w:themeColor="text1"/>
                <w:sz w:val="22"/>
                <w:szCs w:val="22"/>
              </w:rPr>
              <w:t>Decarbonization</w:t>
            </w:r>
          </w:p>
        </w:tc>
        <w:tc>
          <w:tcPr>
            <w:tcW w:w="4933" w:type="dxa"/>
            <w:tcBorders>
              <w:right w:val="single" w:color="auto" w:sz="4" w:space="0"/>
            </w:tcBorders>
          </w:tcPr>
          <w:p w:rsidRPr="00C736B0" w:rsidR="00917EF7" w:rsidP="00917EF7" w:rsidRDefault="00917EF7" w14:paraId="0E66F7E0"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Low-Carbon Fuels Technologies</w:t>
            </w:r>
          </w:p>
        </w:tc>
        <w:tc>
          <w:tcPr>
            <w:tcW w:w="630" w:type="dxa"/>
            <w:tcBorders>
              <w:top w:val="single" w:color="auto" w:sz="4" w:space="0"/>
              <w:left w:val="single" w:color="auto" w:sz="4" w:space="0"/>
              <w:bottom w:val="single" w:color="auto" w:sz="4" w:space="0"/>
              <w:right w:val="nil"/>
            </w:tcBorders>
          </w:tcPr>
          <w:p w:rsidRPr="000C6988" w:rsidR="00917EF7" w:rsidP="00917EF7" w:rsidRDefault="00917EF7" w14:paraId="7CC5B320" w14:textId="53B1FEB1">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1F3FFFEE" w14:textId="76644390">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0C6988">
              <w:rPr>
                <w:rFonts w:ascii="Palatino Linotype" w:hAnsi="Palatino Linotype" w:eastAsia="Palatino Linotype" w:cs="Times New Roman"/>
                <w:color w:val="000000" w:themeColor="text1"/>
                <w:sz w:val="22"/>
                <w:szCs w:val="22"/>
              </w:rPr>
              <w:t>2,482,515</w:t>
            </w:r>
          </w:p>
        </w:tc>
      </w:tr>
      <w:tr w:rsidRPr="00C736B0" w:rsidR="00917EF7" w:rsidTr="00917EF7" w14:paraId="309F0084" w14:textId="77777777">
        <w:tc>
          <w:tcPr>
            <w:tcW w:w="2442" w:type="dxa"/>
            <w:vMerge/>
          </w:tcPr>
          <w:p w:rsidRPr="00C736B0" w:rsidR="00917EF7" w:rsidP="00917EF7" w:rsidRDefault="00917EF7" w14:paraId="32E4CAEE"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917EF7" w:rsidRDefault="00917EF7" w14:paraId="0E49DB37"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Energy Reliability &amp; Resilience</w:t>
            </w:r>
          </w:p>
        </w:tc>
        <w:tc>
          <w:tcPr>
            <w:tcW w:w="630" w:type="dxa"/>
            <w:tcBorders>
              <w:top w:val="single" w:color="auto" w:sz="4" w:space="0"/>
              <w:left w:val="single" w:color="auto" w:sz="4" w:space="0"/>
              <w:bottom w:val="single" w:color="auto" w:sz="4" w:space="0"/>
              <w:right w:val="nil"/>
            </w:tcBorders>
          </w:tcPr>
          <w:p w:rsidRPr="000C6988" w:rsidR="00917EF7" w:rsidP="00917EF7" w:rsidRDefault="00917EF7" w14:paraId="16B718E6" w14:textId="6E84B340">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426B7CC9" w14:textId="2D25D7AF">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0C6988">
              <w:rPr>
                <w:rFonts w:ascii="Palatino Linotype" w:hAnsi="Palatino Linotype" w:eastAsia="Palatino Linotype" w:cs="Times New Roman"/>
                <w:color w:val="000000" w:themeColor="text1"/>
                <w:sz w:val="22"/>
                <w:szCs w:val="22"/>
              </w:rPr>
              <w:t>2,482,515</w:t>
            </w:r>
          </w:p>
        </w:tc>
      </w:tr>
      <w:tr w:rsidRPr="00C736B0" w:rsidR="00917EF7" w:rsidTr="00917EF7" w14:paraId="762AFEE7" w14:textId="77777777">
        <w:tc>
          <w:tcPr>
            <w:tcW w:w="2442" w:type="dxa"/>
            <w:vMerge/>
          </w:tcPr>
          <w:p w:rsidRPr="00C736B0" w:rsidR="00917EF7" w:rsidP="00917EF7" w:rsidRDefault="00917EF7" w14:paraId="5EE38518"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917EF7" w:rsidRDefault="00917EF7" w14:paraId="5975CBF3"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Building &amp; Facility Systems</w:t>
            </w:r>
          </w:p>
        </w:tc>
        <w:tc>
          <w:tcPr>
            <w:tcW w:w="630" w:type="dxa"/>
            <w:tcBorders>
              <w:top w:val="single" w:color="auto" w:sz="4" w:space="0"/>
              <w:left w:val="single" w:color="auto" w:sz="4" w:space="0"/>
              <w:bottom w:val="single" w:color="auto" w:sz="4" w:space="0"/>
              <w:right w:val="nil"/>
            </w:tcBorders>
          </w:tcPr>
          <w:p w:rsidRPr="000C6988" w:rsidR="00917EF7" w:rsidP="00917EF7" w:rsidRDefault="00917EF7" w14:paraId="7C1795B9" w14:textId="73DD8E1D">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171E0824" w14:textId="02CCC8CB">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0C6988">
              <w:rPr>
                <w:rFonts w:ascii="Palatino Linotype" w:hAnsi="Palatino Linotype" w:eastAsia="Palatino Linotype" w:cs="Times New Roman"/>
                <w:color w:val="000000" w:themeColor="text1"/>
                <w:sz w:val="22"/>
                <w:szCs w:val="22"/>
              </w:rPr>
              <w:t>1,934,005</w:t>
            </w:r>
          </w:p>
        </w:tc>
      </w:tr>
      <w:tr w:rsidRPr="00C736B0" w:rsidR="00917EF7" w:rsidTr="00917EF7" w14:paraId="11EE49EA" w14:textId="77777777">
        <w:tc>
          <w:tcPr>
            <w:tcW w:w="7375" w:type="dxa"/>
            <w:gridSpan w:val="2"/>
            <w:tcBorders>
              <w:right w:val="single" w:color="auto" w:sz="4" w:space="0"/>
            </w:tcBorders>
          </w:tcPr>
          <w:p w:rsidRPr="00C736B0" w:rsidR="00917EF7" w:rsidP="00705C5B" w:rsidRDefault="00917EF7" w14:paraId="6A81DC1A"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Program Administration</w:t>
            </w:r>
          </w:p>
        </w:tc>
        <w:tc>
          <w:tcPr>
            <w:tcW w:w="630" w:type="dxa"/>
            <w:tcBorders>
              <w:top w:val="single" w:color="auto" w:sz="4" w:space="0"/>
              <w:left w:val="single" w:color="auto" w:sz="4" w:space="0"/>
              <w:bottom w:val="single" w:color="auto" w:sz="4" w:space="0"/>
              <w:right w:val="nil"/>
            </w:tcBorders>
          </w:tcPr>
          <w:p w:rsidRPr="00BF2920" w:rsidR="00917EF7" w:rsidP="00705C5B" w:rsidRDefault="00917EF7" w14:paraId="0BA11BD7" w14:textId="10490FCB">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12E5B8C6" w14:textId="6A1DF9C7">
            <w:pPr>
              <w:keepNext/>
              <w:spacing w:line="276" w:lineRule="auto"/>
              <w:jc w:val="right"/>
              <w:outlineLvl w:val="0"/>
              <w:rPr>
                <w:rFonts w:ascii="Palatino Linotype" w:hAnsi="Palatino Linotype" w:eastAsia="Palatino Linotype" w:cs="Times New Roman"/>
                <w:bCs w:val="0"/>
                <w:color w:val="000000" w:themeColor="text1"/>
                <w:sz w:val="22"/>
                <w:szCs w:val="22"/>
              </w:rPr>
            </w:pPr>
            <w:r w:rsidRPr="00BF2920">
              <w:rPr>
                <w:rFonts w:ascii="Palatino Linotype" w:hAnsi="Palatino Linotype" w:eastAsia="Palatino Linotype" w:cs="Times New Roman"/>
                <w:color w:val="000000" w:themeColor="text1"/>
                <w:sz w:val="22"/>
                <w:szCs w:val="22"/>
              </w:rPr>
              <w:t>1,838,900</w:t>
            </w:r>
          </w:p>
        </w:tc>
      </w:tr>
      <w:tr w:rsidRPr="00C736B0" w:rsidR="00917EF7" w:rsidTr="00917EF7" w14:paraId="0476F2B8" w14:textId="77777777">
        <w:tc>
          <w:tcPr>
            <w:tcW w:w="7375" w:type="dxa"/>
            <w:gridSpan w:val="2"/>
            <w:tcBorders>
              <w:right w:val="single" w:color="auto" w:sz="4" w:space="0"/>
            </w:tcBorders>
          </w:tcPr>
          <w:p w:rsidRPr="00C736B0" w:rsidR="00917EF7" w:rsidP="00705C5B" w:rsidRDefault="00917EF7" w14:paraId="7D966282" w14:textId="77777777">
            <w:pPr>
              <w:keepNext/>
              <w:spacing w:line="276" w:lineRule="auto"/>
              <w:jc w:val="right"/>
              <w:outlineLvl w:val="0"/>
              <w:rPr>
                <w:rFonts w:ascii="Palatino Linotype" w:hAnsi="Palatino Linotype" w:eastAsia="Palatino Linotype" w:cs="Times New Roman"/>
                <w:b/>
                <w:color w:val="000000" w:themeColor="text1"/>
                <w:sz w:val="22"/>
                <w:szCs w:val="22"/>
              </w:rPr>
            </w:pPr>
            <w:r w:rsidRPr="00C736B0">
              <w:rPr>
                <w:rFonts w:ascii="Palatino Linotype" w:hAnsi="Palatino Linotype" w:eastAsia="Palatino Linotype" w:cs="Times New Roman"/>
                <w:b/>
                <w:color w:val="000000" w:themeColor="text1"/>
                <w:sz w:val="22"/>
                <w:szCs w:val="22"/>
              </w:rPr>
              <w:t>ANNUAL TOTAL:</w:t>
            </w:r>
          </w:p>
        </w:tc>
        <w:tc>
          <w:tcPr>
            <w:tcW w:w="630" w:type="dxa"/>
            <w:tcBorders>
              <w:top w:val="single" w:color="auto" w:sz="4" w:space="0"/>
              <w:left w:val="single" w:color="auto" w:sz="4" w:space="0"/>
              <w:bottom w:val="single" w:color="auto" w:sz="4" w:space="0"/>
              <w:right w:val="nil"/>
            </w:tcBorders>
          </w:tcPr>
          <w:p w:rsidRPr="00BF2920" w:rsidR="00917EF7" w:rsidP="00705C5B" w:rsidRDefault="00917EF7" w14:paraId="697B3AB4" w14:textId="6F31310B">
            <w:pPr>
              <w:keepNext/>
              <w:spacing w:line="276" w:lineRule="auto"/>
              <w:outlineLvl w:val="0"/>
              <w:rPr>
                <w:rFonts w:ascii="Palatino Linotype" w:hAnsi="Palatino Linotype" w:eastAsia="Palatino Linotype" w:cs="Times New Roman"/>
                <w:b/>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917EF7" w:rsidRDefault="00917EF7" w14:paraId="0D4E0087" w14:textId="17B6F641">
            <w:pPr>
              <w:keepNext/>
              <w:spacing w:line="276" w:lineRule="auto"/>
              <w:jc w:val="right"/>
              <w:outlineLvl w:val="0"/>
              <w:rPr>
                <w:rFonts w:ascii="Palatino Linotype" w:hAnsi="Palatino Linotype" w:eastAsia="Palatino Linotype" w:cs="Times New Roman"/>
                <w:b/>
                <w:color w:val="000000" w:themeColor="text1"/>
                <w:sz w:val="22"/>
                <w:szCs w:val="22"/>
              </w:rPr>
            </w:pPr>
            <w:r w:rsidRPr="00BF2920">
              <w:rPr>
                <w:rFonts w:ascii="Palatino Linotype" w:hAnsi="Palatino Linotype" w:eastAsia="Palatino Linotype" w:cs="Times New Roman"/>
                <w:b/>
                <w:color w:val="000000" w:themeColor="text1"/>
                <w:sz w:val="22"/>
                <w:szCs w:val="22"/>
              </w:rPr>
              <w:t>18,389,000</w:t>
            </w:r>
          </w:p>
        </w:tc>
      </w:tr>
    </w:tbl>
    <w:p w:rsidR="00650AE2" w:rsidP="00F97978" w:rsidRDefault="00650AE2" w14:paraId="3EAF9EA6" w14:textId="77777777">
      <w:pPr>
        <w:spacing w:after="0" w:line="276" w:lineRule="auto"/>
        <w:rPr>
          <w:rFonts w:ascii="Palatino Linotype" w:hAnsi="Palatino Linotype" w:eastAsia="Palatino Linotype" w:cs="Times New Roman"/>
          <w:bCs/>
          <w:color w:val="000000" w:themeColor="text1"/>
          <w:kern w:val="0"/>
          <w14:ligatures w14:val="none"/>
        </w:rPr>
      </w:pPr>
    </w:p>
    <w:p w:rsidR="00FD0F87" w:rsidP="00FD0F87" w:rsidRDefault="00FD0F87" w14:paraId="6CD0AD51" w14:textId="77777777">
      <w:pPr>
        <w:spacing w:after="0" w:line="276" w:lineRule="auto"/>
        <w:rPr>
          <w:rFonts w:ascii="Palatino Linotype" w:hAnsi="Palatino Linotype" w:eastAsia="Palatino Linotype" w:cs="Palatino Linotype"/>
          <w:i/>
          <w:iCs/>
          <w:color w:val="000000" w:themeColor="text1"/>
        </w:rPr>
      </w:pPr>
      <w:r w:rsidRPr="46A2B744">
        <w:rPr>
          <w:rFonts w:ascii="Palatino Linotype" w:hAnsi="Palatino Linotype" w:eastAsia="Palatino Linotype" w:cs="Palatino Linotype"/>
          <w:i/>
          <w:iCs/>
          <w:color w:val="000000" w:themeColor="text1"/>
        </w:rPr>
        <w:t>Gas System Integrity Theme Proposed Initiatives</w:t>
      </w:r>
    </w:p>
    <w:p w:rsidR="007F1FB6" w:rsidP="004A7DB6" w:rsidRDefault="007F1FB6" w14:paraId="01F175A9" w14:textId="77777777">
      <w:pPr>
        <w:spacing w:after="0" w:line="276" w:lineRule="auto"/>
        <w:rPr>
          <w:rFonts w:ascii="Palatino Linotype" w:hAnsi="Palatino Linotype"/>
          <w:color w:val="000000" w:themeColor="text1"/>
        </w:rPr>
      </w:pPr>
    </w:p>
    <w:p w:rsidRPr="0063476E" w:rsidR="004A7DB6" w:rsidP="004A7DB6" w:rsidRDefault="004C5DEA" w14:paraId="0E7CA46A" w14:textId="7959B7EA">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it seeks to develop Initiatives within the Gas System Integrity Theme t</w:t>
      </w:r>
      <w:r w:rsidR="004A7DB6">
        <w:rPr>
          <w:rFonts w:ascii="Palatino Linotype" w:hAnsi="Palatino Linotype" w:eastAsia="Palatino Linotype" w:cs="Times New Roman"/>
          <w:bCs/>
          <w:color w:val="000000" w:themeColor="text1"/>
          <w:kern w:val="0"/>
          <w14:ligatures w14:val="none"/>
        </w:rPr>
        <w:t xml:space="preserve">hat </w:t>
      </w:r>
      <w:proofErr w:type="gramStart"/>
      <w:r w:rsidR="004A7DB6">
        <w:rPr>
          <w:rFonts w:ascii="Palatino Linotype" w:hAnsi="Palatino Linotype" w:eastAsia="Palatino Linotype" w:cs="Times New Roman"/>
          <w:bCs/>
          <w:color w:val="000000" w:themeColor="text1"/>
          <w:kern w:val="0"/>
          <w14:ligatures w14:val="none"/>
        </w:rPr>
        <w:t>support “</w:t>
      </w:r>
      <w:r w:rsidRPr="0063476E" w:rsidR="004A7DB6">
        <w:rPr>
          <w:rFonts w:ascii="Palatino Linotype" w:hAnsi="Palatino Linotype" w:eastAsia="Palatino Linotype" w:cs="Times New Roman"/>
          <w:bCs/>
          <w:color w:val="000000" w:themeColor="text1"/>
          <w:kern w:val="0"/>
          <w14:ligatures w14:val="none"/>
        </w:rPr>
        <w:t>the</w:t>
      </w:r>
      <w:proofErr w:type="gramEnd"/>
      <w:r w:rsidRPr="0063476E" w:rsidR="004A7DB6">
        <w:rPr>
          <w:rFonts w:ascii="Palatino Linotype" w:hAnsi="Palatino Linotype" w:eastAsia="Palatino Linotype" w:cs="Times New Roman"/>
          <w:bCs/>
          <w:color w:val="000000" w:themeColor="text1"/>
          <w:kern w:val="0"/>
          <w14:ligatures w14:val="none"/>
        </w:rPr>
        <w:t xml:space="preserve"> safe and affordable transportation, distribution, and storage</w:t>
      </w:r>
    </w:p>
    <w:p w:rsidRPr="004970BE" w:rsidR="004A7DB6" w:rsidP="004A7DB6" w:rsidRDefault="004A7DB6" w14:paraId="5EBC220A" w14:textId="4F42DB17">
      <w:pPr>
        <w:spacing w:after="0" w:line="276" w:lineRule="auto"/>
        <w:rPr>
          <w:rFonts w:ascii="Palatino Linotype" w:hAnsi="Palatino Linotype" w:eastAsia="Palatino Linotype" w:cs="Times New Roman"/>
          <w:bCs/>
          <w:color w:val="000000" w:themeColor="text1"/>
          <w:kern w:val="0"/>
          <w14:ligatures w14:val="none"/>
        </w:rPr>
      </w:pPr>
      <w:r w:rsidRPr="0063476E">
        <w:rPr>
          <w:rFonts w:ascii="Palatino Linotype" w:hAnsi="Palatino Linotype" w:eastAsia="Palatino Linotype" w:cs="Times New Roman"/>
          <w:bCs/>
          <w:color w:val="000000" w:themeColor="text1"/>
          <w:kern w:val="0"/>
          <w14:ligatures w14:val="none"/>
        </w:rPr>
        <w:t>of natural gas and RNG through the SoCalGas pipeline network by developing, testing,</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and introducing</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innovations that:</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Improve infrastructure, public, contractor and employee safety</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Maintain and improve system reliability and integrity</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Improve affordability by increasing operational efficiency and effectiveness</w:t>
      </w:r>
      <w:r>
        <w:rPr>
          <w:rFonts w:ascii="Palatino Linotype" w:hAnsi="Palatino Linotype" w:eastAsia="Palatino Linotype" w:cs="Times New Roman"/>
          <w:bCs/>
          <w:color w:val="000000" w:themeColor="text1"/>
          <w:kern w:val="0"/>
          <w14:ligatures w14:val="none"/>
        </w:rPr>
        <w:t xml:space="preserve">; </w:t>
      </w:r>
      <w:r w:rsidRPr="0063476E">
        <w:rPr>
          <w:rFonts w:ascii="Palatino Linotype" w:hAnsi="Palatino Linotype" w:eastAsia="Palatino Linotype" w:cs="Times New Roman"/>
          <w:bCs/>
          <w:color w:val="000000" w:themeColor="text1"/>
          <w:kern w:val="0"/>
          <w14:ligatures w14:val="none"/>
        </w:rPr>
        <w:t>Improve air quality and reduce GHG impacts by minimizing system emissions</w:t>
      </w:r>
      <w:r>
        <w:rPr>
          <w:rFonts w:ascii="Palatino Linotype" w:hAnsi="Palatino Linotype" w:eastAsia="Palatino Linotype" w:cs="Times New Roman"/>
          <w:bCs/>
          <w:color w:val="000000" w:themeColor="text1"/>
          <w:kern w:val="0"/>
          <w14:ligatures w14:val="none"/>
        </w:rPr>
        <w:t>.”</w:t>
      </w:r>
      <w:r>
        <w:rPr>
          <w:rStyle w:val="FootnoteReference"/>
          <w:rFonts w:ascii="Palatino Linotype" w:hAnsi="Palatino Linotype" w:eastAsia="Palatino Linotype" w:cs="Times New Roman"/>
          <w:bCs/>
          <w:color w:val="000000" w:themeColor="text1"/>
          <w:kern w:val="0"/>
          <w14:ligatures w14:val="none"/>
        </w:rPr>
        <w:footnoteReference w:id="35"/>
      </w:r>
    </w:p>
    <w:p w:rsidRPr="004970BE" w:rsidR="00B25228" w:rsidP="00B25228" w:rsidRDefault="00B25228" w14:paraId="7E11D419"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B25228" w:rsidP="00477204" w:rsidRDefault="00B25228" w14:paraId="0D02B5A7" w14:textId="19F9A525">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Environmental &amp; Safety</w:t>
      </w:r>
      <w:r w:rsidR="00186164">
        <w:rPr>
          <w:rStyle w:val="FootnoteReference"/>
          <w:rFonts w:ascii="Palatino Linotype" w:hAnsi="Palatino Linotype" w:eastAsia="Palatino Linotype" w:cs="Times New Roman"/>
          <w:bCs/>
          <w:color w:val="000000" w:themeColor="text1"/>
          <w:kern w:val="0"/>
          <w14:ligatures w14:val="none"/>
        </w:rPr>
        <w:footnoteReference w:id="36"/>
      </w:r>
    </w:p>
    <w:p w:rsidRPr="004970BE" w:rsidR="00B25228" w:rsidP="002B01ED" w:rsidRDefault="004C5DEA" w14:paraId="3BFF70CE" w14:textId="12DD3801">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w:t>
      </w:r>
      <w:r w:rsidR="004A7DB6">
        <w:rPr>
          <w:rFonts w:ascii="Palatino Linotype" w:hAnsi="Palatino Linotype" w:eastAsia="Palatino Linotype" w:cs="Times New Roman"/>
          <w:bCs/>
          <w:color w:val="000000" w:themeColor="text1"/>
          <w:kern w:val="0"/>
          <w14:ligatures w14:val="none"/>
        </w:rPr>
        <w:t>t</w:t>
      </w:r>
      <w:r w:rsidRPr="004970BE" w:rsidR="004A7DB6">
        <w:rPr>
          <w:rFonts w:ascii="Palatino Linotype" w:hAnsi="Palatino Linotype" w:eastAsia="Palatino Linotype" w:cs="Times New Roman"/>
          <w:bCs/>
          <w:color w:val="000000" w:themeColor="text1"/>
          <w:kern w:val="0"/>
          <w14:ligatures w14:val="none"/>
        </w:rPr>
        <w:t xml:space="preserve"> seeks to develop projects within the </w:t>
      </w:r>
      <w:r w:rsidRPr="00B25228" w:rsidR="004A7DB6">
        <w:rPr>
          <w:rFonts w:ascii="Palatino Linotype" w:hAnsi="Palatino Linotype" w:eastAsia="Palatino Linotype" w:cs="Times New Roman"/>
          <w:bCs/>
          <w:color w:val="000000" w:themeColor="text1"/>
          <w:kern w:val="0"/>
          <w14:ligatures w14:val="none"/>
        </w:rPr>
        <w:t>Environmental &amp; Safety</w:t>
      </w:r>
      <w:r w:rsidRPr="004970BE" w:rsidR="004A7DB6">
        <w:rPr>
          <w:rFonts w:ascii="Palatino Linotype" w:hAnsi="Palatino Linotype" w:eastAsia="Palatino Linotype" w:cs="Times New Roman"/>
          <w:bCs/>
          <w:color w:val="000000" w:themeColor="text1"/>
          <w:kern w:val="0"/>
          <w14:ligatures w14:val="none"/>
        </w:rPr>
        <w:t xml:space="preserve"> Initiative to </w:t>
      </w:r>
      <w:r w:rsidR="004A7DB6">
        <w:rPr>
          <w:rFonts w:ascii="Palatino Linotype" w:hAnsi="Palatino Linotype" w:eastAsia="Palatino Linotype" w:cs="Times New Roman"/>
          <w:bCs/>
          <w:color w:val="000000" w:themeColor="text1"/>
          <w:kern w:val="0"/>
          <w14:ligatures w14:val="none"/>
        </w:rPr>
        <w:t>m</w:t>
      </w:r>
      <w:r w:rsidRPr="004100F4" w:rsidR="004A7DB6">
        <w:rPr>
          <w:rFonts w:ascii="Palatino Linotype" w:hAnsi="Palatino Linotype" w:eastAsia="Palatino Linotype" w:cs="Times New Roman"/>
          <w:bCs/>
          <w:color w:val="000000" w:themeColor="text1"/>
          <w:kern w:val="0"/>
          <w14:ligatures w14:val="none"/>
        </w:rPr>
        <w:t>aintain system</w:t>
      </w:r>
      <w:r w:rsidR="004A7DB6">
        <w:rPr>
          <w:rFonts w:ascii="Palatino Linotype" w:hAnsi="Palatino Linotype" w:eastAsia="Palatino Linotype" w:cs="Times New Roman"/>
          <w:bCs/>
          <w:color w:val="000000" w:themeColor="text1"/>
          <w:kern w:val="0"/>
          <w14:ligatures w14:val="none"/>
        </w:rPr>
        <w:t xml:space="preserve"> </w:t>
      </w:r>
      <w:r w:rsidRPr="004100F4" w:rsidR="004A7DB6">
        <w:rPr>
          <w:rFonts w:ascii="Palatino Linotype" w:hAnsi="Palatino Linotype" w:eastAsia="Palatino Linotype" w:cs="Times New Roman"/>
          <w:bCs/>
          <w:color w:val="000000" w:themeColor="text1"/>
          <w:kern w:val="0"/>
          <w14:ligatures w14:val="none"/>
        </w:rPr>
        <w:t>infrastructure with safe and environmentally conscious methods</w:t>
      </w:r>
      <w:r w:rsidR="004A7DB6">
        <w:rPr>
          <w:rFonts w:ascii="Palatino Linotype" w:hAnsi="Palatino Linotype" w:eastAsia="Palatino Linotype" w:cs="Times New Roman"/>
          <w:bCs/>
          <w:color w:val="000000" w:themeColor="text1"/>
          <w:kern w:val="0"/>
          <w14:ligatures w14:val="none"/>
        </w:rPr>
        <w:t>. Research Topics include</w:t>
      </w:r>
      <w:r w:rsidR="00287CD9">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(i) optimizing o</w:t>
      </w:r>
      <w:r w:rsidRPr="00EE3489" w:rsidR="004A7DB6">
        <w:rPr>
          <w:rFonts w:ascii="Palatino Linotype" w:hAnsi="Palatino Linotype" w:eastAsia="Palatino Linotype" w:cs="Times New Roman"/>
          <w:bCs/>
          <w:color w:val="000000" w:themeColor="text1"/>
          <w:kern w:val="0"/>
          <w14:ligatures w14:val="none"/>
        </w:rPr>
        <w:t>perations</w:t>
      </w:r>
      <w:r w:rsidR="004A7DB6">
        <w:rPr>
          <w:rFonts w:ascii="Palatino Linotype" w:hAnsi="Palatino Linotype" w:eastAsia="Palatino Linotype" w:cs="Times New Roman"/>
          <w:bCs/>
          <w:color w:val="000000" w:themeColor="text1"/>
          <w:kern w:val="0"/>
          <w14:ligatures w14:val="none"/>
        </w:rPr>
        <w:t xml:space="preserve"> </w:t>
      </w:r>
      <w:r w:rsidRPr="00EE3489" w:rsidR="004A7DB6">
        <w:rPr>
          <w:rFonts w:ascii="Palatino Linotype" w:hAnsi="Palatino Linotype" w:eastAsia="Palatino Linotype" w:cs="Times New Roman"/>
          <w:bCs/>
          <w:color w:val="000000" w:themeColor="text1"/>
          <w:kern w:val="0"/>
          <w14:ligatures w14:val="none"/>
        </w:rPr>
        <w:t>with new</w:t>
      </w:r>
      <w:r w:rsidR="004A7DB6">
        <w:rPr>
          <w:rFonts w:ascii="Palatino Linotype" w:hAnsi="Palatino Linotype" w:eastAsia="Palatino Linotype" w:cs="Times New Roman"/>
          <w:bCs/>
          <w:color w:val="000000" w:themeColor="text1"/>
          <w:kern w:val="0"/>
          <w14:ligatures w14:val="none"/>
        </w:rPr>
        <w:t xml:space="preserve"> </w:t>
      </w:r>
      <w:r w:rsidRPr="00EE3489" w:rsidR="004A7DB6">
        <w:rPr>
          <w:rFonts w:ascii="Palatino Linotype" w:hAnsi="Palatino Linotype" w:eastAsia="Palatino Linotype" w:cs="Times New Roman"/>
          <w:bCs/>
          <w:color w:val="000000" w:themeColor="text1"/>
          <w:kern w:val="0"/>
          <w14:ligatures w14:val="none"/>
        </w:rPr>
        <w:t>technologies</w:t>
      </w:r>
      <w:r w:rsidR="004A7DB6">
        <w:rPr>
          <w:rFonts w:ascii="Palatino Linotype" w:hAnsi="Palatino Linotype" w:eastAsia="Palatino Linotype" w:cs="Times New Roman"/>
          <w:bCs/>
          <w:color w:val="000000" w:themeColor="text1"/>
          <w:kern w:val="0"/>
          <w14:ligatures w14:val="none"/>
        </w:rPr>
        <w:t xml:space="preserve">, (ii) detecting </w:t>
      </w:r>
      <w:r w:rsidRPr="00993837" w:rsidR="004A7DB6">
        <w:rPr>
          <w:rFonts w:ascii="Palatino Linotype" w:hAnsi="Palatino Linotype" w:eastAsia="Palatino Linotype" w:cs="Times New Roman"/>
          <w:bCs/>
          <w:color w:val="000000" w:themeColor="text1"/>
          <w:kern w:val="0"/>
          <w14:ligatures w14:val="none"/>
        </w:rPr>
        <w:t>conditions tha</w:t>
      </w:r>
      <w:r w:rsidR="004A7DB6">
        <w:rPr>
          <w:rFonts w:ascii="Palatino Linotype" w:hAnsi="Palatino Linotype" w:eastAsia="Palatino Linotype" w:cs="Times New Roman"/>
          <w:bCs/>
          <w:color w:val="000000" w:themeColor="text1"/>
          <w:kern w:val="0"/>
          <w14:ligatures w14:val="none"/>
        </w:rPr>
        <w:t xml:space="preserve">t </w:t>
      </w:r>
      <w:r w:rsidRPr="00993837" w:rsidR="004A7DB6">
        <w:rPr>
          <w:rFonts w:ascii="Palatino Linotype" w:hAnsi="Palatino Linotype" w:eastAsia="Palatino Linotype" w:cs="Times New Roman"/>
          <w:bCs/>
          <w:color w:val="000000" w:themeColor="text1"/>
          <w:kern w:val="0"/>
          <w14:ligatures w14:val="none"/>
        </w:rPr>
        <w:t>damage</w:t>
      </w:r>
      <w:r w:rsidR="004A7DB6">
        <w:rPr>
          <w:rFonts w:ascii="Palatino Linotype" w:hAnsi="Palatino Linotype" w:eastAsia="Palatino Linotype" w:cs="Times New Roman"/>
          <w:bCs/>
          <w:color w:val="000000" w:themeColor="text1"/>
          <w:kern w:val="0"/>
          <w14:ligatures w14:val="none"/>
        </w:rPr>
        <w:t xml:space="preserve"> </w:t>
      </w:r>
      <w:r w:rsidRPr="00993837" w:rsidR="004A7DB6">
        <w:rPr>
          <w:rFonts w:ascii="Palatino Linotype" w:hAnsi="Palatino Linotype" w:eastAsia="Palatino Linotype" w:cs="Times New Roman"/>
          <w:bCs/>
          <w:color w:val="000000" w:themeColor="text1"/>
          <w:kern w:val="0"/>
          <w14:ligatures w14:val="none"/>
        </w:rPr>
        <w:t>infrastructure</w:t>
      </w:r>
      <w:r w:rsidR="004A7DB6">
        <w:rPr>
          <w:rFonts w:ascii="Palatino Linotype" w:hAnsi="Palatino Linotype" w:eastAsia="Palatino Linotype" w:cs="Times New Roman"/>
          <w:bCs/>
          <w:color w:val="000000" w:themeColor="text1"/>
          <w:kern w:val="0"/>
          <w14:ligatures w14:val="none"/>
        </w:rPr>
        <w:t>, and (iii) p</w:t>
      </w:r>
      <w:r w:rsidRPr="00993837" w:rsidR="004A7DB6">
        <w:rPr>
          <w:rFonts w:ascii="Palatino Linotype" w:hAnsi="Palatino Linotype" w:eastAsia="Palatino Linotype" w:cs="Times New Roman"/>
          <w:bCs/>
          <w:color w:val="000000" w:themeColor="text1"/>
          <w:kern w:val="0"/>
          <w14:ligatures w14:val="none"/>
        </w:rPr>
        <w:t>rotect</w:t>
      </w:r>
      <w:r w:rsidR="004A7DB6">
        <w:rPr>
          <w:rFonts w:ascii="Palatino Linotype" w:hAnsi="Palatino Linotype" w:eastAsia="Palatino Linotype" w:cs="Times New Roman"/>
          <w:bCs/>
          <w:color w:val="000000" w:themeColor="text1"/>
          <w:kern w:val="0"/>
          <w14:ligatures w14:val="none"/>
        </w:rPr>
        <w:t xml:space="preserve">ing </w:t>
      </w:r>
      <w:r w:rsidRPr="00993837" w:rsidR="004A7DB6">
        <w:rPr>
          <w:rFonts w:ascii="Palatino Linotype" w:hAnsi="Palatino Linotype" w:eastAsia="Palatino Linotype" w:cs="Times New Roman"/>
          <w:bCs/>
          <w:color w:val="000000" w:themeColor="text1"/>
          <w:kern w:val="0"/>
          <w14:ligatures w14:val="none"/>
        </w:rPr>
        <w:t>infrastructure</w:t>
      </w:r>
      <w:r w:rsidR="004A7DB6">
        <w:rPr>
          <w:rFonts w:ascii="Palatino Linotype" w:hAnsi="Palatino Linotype" w:eastAsia="Palatino Linotype" w:cs="Times New Roman"/>
          <w:bCs/>
          <w:color w:val="000000" w:themeColor="text1"/>
          <w:kern w:val="0"/>
          <w14:ligatures w14:val="none"/>
        </w:rPr>
        <w:t xml:space="preserve"> </w:t>
      </w:r>
      <w:r w:rsidRPr="00993837" w:rsidR="004A7DB6">
        <w:rPr>
          <w:rFonts w:ascii="Palatino Linotype" w:hAnsi="Palatino Linotype" w:eastAsia="Palatino Linotype" w:cs="Times New Roman"/>
          <w:bCs/>
          <w:color w:val="000000" w:themeColor="text1"/>
          <w:kern w:val="0"/>
          <w14:ligatures w14:val="none"/>
        </w:rPr>
        <w:t>in novel ways</w:t>
      </w:r>
      <w:r w:rsidRPr="002B01ED" w:rsidR="004A7DB6">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004A7DB6">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reductions in both greenhouse gas (GHG) emissions attributed to loss of containment and criteria </w:t>
      </w:r>
      <w:r w:rsidR="004A7DB6">
        <w:rPr>
          <w:rFonts w:ascii="Palatino Linotype" w:hAnsi="Palatino Linotype" w:eastAsia="Palatino Linotype" w:cs="Times New Roman"/>
          <w:bCs/>
          <w:color w:val="000000" w:themeColor="text1"/>
          <w:kern w:val="0"/>
          <w14:ligatures w14:val="none"/>
        </w:rPr>
        <w:lastRenderedPageBreak/>
        <w:t>air pollutant emissions associated with equipment optimization.</w:t>
      </w:r>
      <w:r w:rsidRPr="004970BE" w:rsidR="004A7DB6">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Pr="004970BE" w:rsidR="00B25228">
        <w:rPr>
          <w:rFonts w:ascii="Palatino Linotype" w:hAnsi="Palatino Linotype" w:eastAsia="Palatino Linotype" w:cs="Times New Roman"/>
          <w:bCs/>
          <w:color w:val="000000" w:themeColor="text1"/>
          <w:kern w:val="0"/>
          <w14:ligatures w14:val="none"/>
        </w:rPr>
        <w:t xml:space="preserve"> proposes to </w:t>
      </w:r>
      <w:r w:rsidR="00B25228">
        <w:rPr>
          <w:rFonts w:ascii="Palatino Linotype" w:hAnsi="Palatino Linotype" w:eastAsia="Palatino Linotype" w:cs="Times New Roman"/>
          <w:bCs/>
          <w:color w:val="000000" w:themeColor="text1"/>
          <w:kern w:val="0"/>
          <w14:ligatures w14:val="none"/>
        </w:rPr>
        <w:t xml:space="preserve">allocate </w:t>
      </w:r>
      <w:r w:rsidRPr="004D03F6" w:rsidR="004D03F6">
        <w:rPr>
          <w:rFonts w:ascii="Palatino Linotype" w:hAnsi="Palatino Linotype" w:eastAsia="Palatino Linotype" w:cs="Times New Roman"/>
          <w:bCs/>
          <w:color w:val="000000" w:themeColor="text1"/>
          <w:kern w:val="0"/>
          <w14:ligatures w14:val="none"/>
        </w:rPr>
        <w:t>$1,655,010</w:t>
      </w:r>
      <w:r w:rsidR="004D03F6">
        <w:rPr>
          <w:rFonts w:ascii="Palatino Linotype" w:hAnsi="Palatino Linotype" w:eastAsia="Palatino Linotype" w:cs="Times New Roman"/>
          <w:bCs/>
          <w:color w:val="000000" w:themeColor="text1"/>
          <w:kern w:val="0"/>
          <w14:ligatures w14:val="none"/>
        </w:rPr>
        <w:t xml:space="preserve"> </w:t>
      </w:r>
      <w:proofErr w:type="gramStart"/>
      <w:r w:rsidR="00B25228">
        <w:rPr>
          <w:rFonts w:ascii="Palatino Linotype" w:hAnsi="Palatino Linotype" w:eastAsia="Palatino Linotype" w:cs="Times New Roman"/>
          <w:bCs/>
          <w:color w:val="000000" w:themeColor="text1"/>
          <w:kern w:val="0"/>
          <w14:ligatures w14:val="none"/>
        </w:rPr>
        <w:t>in</w:t>
      </w:r>
      <w:proofErr w:type="gramEnd"/>
      <w:r w:rsidR="00B25228">
        <w:rPr>
          <w:rFonts w:ascii="Palatino Linotype" w:hAnsi="Palatino Linotype" w:eastAsia="Palatino Linotype" w:cs="Times New Roman"/>
          <w:bCs/>
          <w:color w:val="000000" w:themeColor="text1"/>
          <w:kern w:val="0"/>
          <w14:ligatures w14:val="none"/>
        </w:rPr>
        <w:t xml:space="preserve"> its 202</w:t>
      </w:r>
      <w:r w:rsidR="00A5507D">
        <w:rPr>
          <w:rFonts w:ascii="Palatino Linotype" w:hAnsi="Palatino Linotype" w:eastAsia="Palatino Linotype" w:cs="Times New Roman"/>
          <w:bCs/>
          <w:color w:val="000000" w:themeColor="text1"/>
          <w:kern w:val="0"/>
          <w14:ligatures w14:val="none"/>
        </w:rPr>
        <w:t>5</w:t>
      </w:r>
      <w:r w:rsidR="00B25228">
        <w:rPr>
          <w:rFonts w:ascii="Palatino Linotype" w:hAnsi="Palatino Linotype" w:eastAsia="Palatino Linotype" w:cs="Times New Roman"/>
          <w:bCs/>
          <w:color w:val="000000" w:themeColor="text1"/>
          <w:kern w:val="0"/>
          <w14:ligatures w14:val="none"/>
        </w:rPr>
        <w:t xml:space="preserve"> Plan.</w:t>
      </w:r>
    </w:p>
    <w:p w:rsidRPr="004970BE" w:rsidR="00B25228" w:rsidP="00B25228" w:rsidRDefault="00B25228" w14:paraId="51975DF6"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B25228" w:rsidP="00477204" w:rsidRDefault="00B25228" w14:paraId="36FC7904" w14:textId="6A3F74C6">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Operations Technology</w:t>
      </w:r>
      <w:r w:rsidR="00186164">
        <w:rPr>
          <w:rStyle w:val="FootnoteReference"/>
          <w:rFonts w:ascii="Palatino Linotype" w:hAnsi="Palatino Linotype" w:eastAsia="Palatino Linotype" w:cs="Times New Roman"/>
          <w:bCs/>
          <w:color w:val="000000" w:themeColor="text1"/>
          <w:kern w:val="0"/>
          <w14:ligatures w14:val="none"/>
        </w:rPr>
        <w:footnoteReference w:id="37"/>
      </w:r>
    </w:p>
    <w:p w:rsidRPr="004970BE" w:rsidR="00B25228" w:rsidP="00B25228" w:rsidRDefault="004C5DEA" w14:paraId="0EBB4F58" w14:textId="352881BA">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w:t>
      </w:r>
      <w:r w:rsidR="004A7DB6">
        <w:rPr>
          <w:rFonts w:ascii="Palatino Linotype" w:hAnsi="Palatino Linotype" w:eastAsia="Palatino Linotype" w:cs="Times New Roman"/>
          <w:bCs/>
          <w:color w:val="000000" w:themeColor="text1"/>
          <w:kern w:val="0"/>
          <w14:ligatures w14:val="none"/>
        </w:rPr>
        <w:t>t</w:t>
      </w:r>
      <w:r w:rsidRPr="004970BE" w:rsidR="004A7DB6">
        <w:rPr>
          <w:rFonts w:ascii="Palatino Linotype" w:hAnsi="Palatino Linotype" w:eastAsia="Palatino Linotype" w:cs="Times New Roman"/>
          <w:bCs/>
          <w:color w:val="000000" w:themeColor="text1"/>
          <w:kern w:val="0"/>
          <w14:ligatures w14:val="none"/>
        </w:rPr>
        <w:t xml:space="preserve"> seeks to develop projects within the </w:t>
      </w:r>
      <w:r w:rsidRPr="00B25228" w:rsidR="004A7DB6">
        <w:rPr>
          <w:rFonts w:ascii="Palatino Linotype" w:hAnsi="Palatino Linotype" w:eastAsia="Palatino Linotype" w:cs="Times New Roman"/>
          <w:bCs/>
          <w:color w:val="000000" w:themeColor="text1"/>
          <w:kern w:val="0"/>
          <w14:ligatures w14:val="none"/>
        </w:rPr>
        <w:t>Operations Technology</w:t>
      </w:r>
      <w:r w:rsidRPr="004970BE" w:rsidR="004A7DB6">
        <w:rPr>
          <w:rFonts w:ascii="Palatino Linotype" w:hAnsi="Palatino Linotype" w:eastAsia="Palatino Linotype" w:cs="Times New Roman"/>
          <w:bCs/>
          <w:color w:val="000000" w:themeColor="text1"/>
          <w:kern w:val="0"/>
          <w14:ligatures w14:val="none"/>
        </w:rPr>
        <w:t xml:space="preserve"> Initiative to </w:t>
      </w:r>
      <w:r w:rsidR="004A7DB6">
        <w:rPr>
          <w:rFonts w:ascii="Palatino Linotype" w:hAnsi="Palatino Linotype" w:eastAsia="Palatino Linotype" w:cs="Times New Roman"/>
          <w:bCs/>
          <w:color w:val="000000" w:themeColor="text1"/>
          <w:kern w:val="0"/>
          <w14:ligatures w14:val="none"/>
        </w:rPr>
        <w:t>empower their</w:t>
      </w:r>
      <w:r w:rsidRPr="009F1D5C" w:rsidR="004A7DB6">
        <w:rPr>
          <w:rFonts w:ascii="Palatino Linotype" w:hAnsi="Palatino Linotype" w:eastAsia="Palatino Linotype" w:cs="Times New Roman"/>
          <w:bCs/>
          <w:color w:val="000000" w:themeColor="text1"/>
          <w:kern w:val="0"/>
          <w14:ligatures w14:val="none"/>
        </w:rPr>
        <w:t xml:space="preserve"> workforce with state-of-the-art tools and techniques that enhance safety, strengthen</w:t>
      </w:r>
      <w:r w:rsidR="004A7DB6">
        <w:rPr>
          <w:rFonts w:ascii="Palatino Linotype" w:hAnsi="Palatino Linotype" w:eastAsia="Palatino Linotype" w:cs="Times New Roman"/>
          <w:bCs/>
          <w:color w:val="000000" w:themeColor="text1"/>
          <w:kern w:val="0"/>
          <w14:ligatures w14:val="none"/>
        </w:rPr>
        <w:t xml:space="preserve"> </w:t>
      </w:r>
      <w:r w:rsidRPr="009F1D5C" w:rsidR="004A7DB6">
        <w:rPr>
          <w:rFonts w:ascii="Palatino Linotype" w:hAnsi="Palatino Linotype" w:eastAsia="Palatino Linotype" w:cs="Times New Roman"/>
          <w:bCs/>
          <w:color w:val="000000" w:themeColor="text1"/>
          <w:kern w:val="0"/>
          <w14:ligatures w14:val="none"/>
        </w:rPr>
        <w:t>reliability, and increase affordability</w:t>
      </w:r>
      <w:r w:rsidRPr="004970BE" w:rsidR="004A7DB6">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Research Topics include</w:t>
      </w:r>
      <w:r w:rsidR="00207085">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(i) a</w:t>
      </w:r>
      <w:r w:rsidRPr="00E94905" w:rsidR="004A7DB6">
        <w:rPr>
          <w:rFonts w:ascii="Palatino Linotype" w:hAnsi="Palatino Linotype" w:eastAsia="Palatino Linotype" w:cs="Times New Roman"/>
          <w:bCs/>
          <w:color w:val="000000" w:themeColor="text1"/>
          <w:kern w:val="0"/>
          <w14:ligatures w14:val="none"/>
        </w:rPr>
        <w:t>dvanc</w:t>
      </w:r>
      <w:r w:rsidR="004A7DB6">
        <w:rPr>
          <w:rFonts w:ascii="Palatino Linotype" w:hAnsi="Palatino Linotype" w:eastAsia="Palatino Linotype" w:cs="Times New Roman"/>
          <w:bCs/>
          <w:color w:val="000000" w:themeColor="text1"/>
          <w:kern w:val="0"/>
          <w14:ligatures w14:val="none"/>
        </w:rPr>
        <w:t>e m</w:t>
      </w:r>
      <w:r w:rsidRPr="00E94905" w:rsidR="004A7DB6">
        <w:rPr>
          <w:rFonts w:ascii="Palatino Linotype" w:hAnsi="Palatino Linotype" w:eastAsia="Palatino Linotype" w:cs="Times New Roman"/>
          <w:bCs/>
          <w:color w:val="000000" w:themeColor="text1"/>
          <w:kern w:val="0"/>
          <w14:ligatures w14:val="none"/>
        </w:rPr>
        <w:t>apping &amp;</w:t>
      </w:r>
      <w:r w:rsidR="004A7DB6">
        <w:rPr>
          <w:rFonts w:ascii="Palatino Linotype" w:hAnsi="Palatino Linotype" w:eastAsia="Palatino Linotype" w:cs="Times New Roman"/>
          <w:bCs/>
          <w:color w:val="000000" w:themeColor="text1"/>
          <w:kern w:val="0"/>
          <w14:ligatures w14:val="none"/>
        </w:rPr>
        <w:t xml:space="preserve"> l</w:t>
      </w:r>
      <w:r w:rsidRPr="00E94905" w:rsidR="004A7DB6">
        <w:rPr>
          <w:rFonts w:ascii="Palatino Linotype" w:hAnsi="Palatino Linotype" w:eastAsia="Palatino Linotype" w:cs="Times New Roman"/>
          <w:bCs/>
          <w:color w:val="000000" w:themeColor="text1"/>
          <w:kern w:val="0"/>
          <w14:ligatures w14:val="none"/>
        </w:rPr>
        <w:t>ocating</w:t>
      </w:r>
      <w:r w:rsidR="004A7DB6">
        <w:rPr>
          <w:rFonts w:ascii="Palatino Linotype" w:hAnsi="Palatino Linotype" w:eastAsia="Palatino Linotype" w:cs="Times New Roman"/>
          <w:bCs/>
          <w:color w:val="000000" w:themeColor="text1"/>
          <w:kern w:val="0"/>
          <w14:ligatures w14:val="none"/>
        </w:rPr>
        <w:t xml:space="preserve"> t</w:t>
      </w:r>
      <w:r w:rsidRPr="00E94905" w:rsidR="004A7DB6">
        <w:rPr>
          <w:rFonts w:ascii="Palatino Linotype" w:hAnsi="Palatino Linotype" w:eastAsia="Palatino Linotype" w:cs="Times New Roman"/>
          <w:bCs/>
          <w:color w:val="000000" w:themeColor="text1"/>
          <w:kern w:val="0"/>
          <w14:ligatures w14:val="none"/>
        </w:rPr>
        <w:t>echnologi</w:t>
      </w:r>
      <w:r w:rsidR="004A7DB6">
        <w:rPr>
          <w:rFonts w:ascii="Palatino Linotype" w:hAnsi="Palatino Linotype" w:eastAsia="Palatino Linotype" w:cs="Times New Roman"/>
          <w:bCs/>
          <w:color w:val="000000" w:themeColor="text1"/>
          <w:kern w:val="0"/>
          <w14:ligatures w14:val="none"/>
        </w:rPr>
        <w:t xml:space="preserve">es, </w:t>
      </w:r>
      <w:r w:rsidR="00CE0245">
        <w:rPr>
          <w:rFonts w:ascii="Palatino Linotype" w:hAnsi="Palatino Linotype" w:eastAsia="Palatino Linotype" w:cs="Times New Roman"/>
          <w:bCs/>
          <w:color w:val="000000" w:themeColor="text1"/>
          <w:kern w:val="0"/>
          <w14:ligatures w14:val="none"/>
        </w:rPr>
        <w:br/>
      </w:r>
      <w:r w:rsidR="004A7DB6">
        <w:rPr>
          <w:rFonts w:ascii="Palatino Linotype" w:hAnsi="Palatino Linotype" w:eastAsia="Palatino Linotype" w:cs="Times New Roman"/>
          <w:bCs/>
          <w:color w:val="000000" w:themeColor="text1"/>
          <w:kern w:val="0"/>
          <w14:ligatures w14:val="none"/>
        </w:rPr>
        <w:t>(ii) p</w:t>
      </w:r>
      <w:r w:rsidRPr="00183062" w:rsidR="004A7DB6">
        <w:rPr>
          <w:rFonts w:ascii="Palatino Linotype" w:hAnsi="Palatino Linotype" w:eastAsia="Palatino Linotype" w:cs="Times New Roman"/>
          <w:bCs/>
          <w:color w:val="000000" w:themeColor="text1"/>
          <w:kern w:val="0"/>
          <w14:ligatures w14:val="none"/>
        </w:rPr>
        <w:t>ipeline repair</w:t>
      </w:r>
      <w:r w:rsidR="004A7DB6">
        <w:rPr>
          <w:rFonts w:ascii="Palatino Linotype" w:hAnsi="Palatino Linotype" w:eastAsia="Palatino Linotype" w:cs="Times New Roman"/>
          <w:bCs/>
          <w:color w:val="000000" w:themeColor="text1"/>
          <w:kern w:val="0"/>
          <w14:ligatures w14:val="none"/>
        </w:rPr>
        <w:t xml:space="preserve"> </w:t>
      </w:r>
      <w:r w:rsidRPr="00183062" w:rsidR="004A7DB6">
        <w:rPr>
          <w:rFonts w:ascii="Palatino Linotype" w:hAnsi="Palatino Linotype" w:eastAsia="Palatino Linotype" w:cs="Times New Roman"/>
          <w:bCs/>
          <w:color w:val="000000" w:themeColor="text1"/>
          <w:kern w:val="0"/>
          <w14:ligatures w14:val="none"/>
        </w:rPr>
        <w:t>technologies</w:t>
      </w:r>
      <w:r w:rsidR="004A7DB6">
        <w:rPr>
          <w:rFonts w:ascii="Palatino Linotype" w:hAnsi="Palatino Linotype" w:eastAsia="Palatino Linotype" w:cs="Times New Roman"/>
          <w:bCs/>
          <w:color w:val="000000" w:themeColor="text1"/>
          <w:kern w:val="0"/>
          <w14:ligatures w14:val="none"/>
        </w:rPr>
        <w:t xml:space="preserve"> </w:t>
      </w:r>
      <w:r w:rsidRPr="00183062" w:rsidR="004A7DB6">
        <w:rPr>
          <w:rFonts w:ascii="Palatino Linotype" w:hAnsi="Palatino Linotype" w:eastAsia="Palatino Linotype" w:cs="Times New Roman"/>
          <w:bCs/>
          <w:color w:val="000000" w:themeColor="text1"/>
          <w:kern w:val="0"/>
          <w14:ligatures w14:val="none"/>
        </w:rPr>
        <w:t>that optimize</w:t>
      </w:r>
      <w:r w:rsidR="004A7DB6">
        <w:rPr>
          <w:rFonts w:ascii="Palatino Linotype" w:hAnsi="Palatino Linotype" w:eastAsia="Palatino Linotype" w:cs="Times New Roman"/>
          <w:bCs/>
          <w:color w:val="000000" w:themeColor="text1"/>
          <w:kern w:val="0"/>
          <w14:ligatures w14:val="none"/>
        </w:rPr>
        <w:t xml:space="preserve"> </w:t>
      </w:r>
      <w:r w:rsidRPr="00183062" w:rsidR="004A7DB6">
        <w:rPr>
          <w:rFonts w:ascii="Palatino Linotype" w:hAnsi="Palatino Linotype" w:eastAsia="Palatino Linotype" w:cs="Times New Roman"/>
          <w:bCs/>
          <w:color w:val="000000" w:themeColor="text1"/>
          <w:kern w:val="0"/>
          <w14:ligatures w14:val="none"/>
        </w:rPr>
        <w:t>operational</w:t>
      </w:r>
      <w:r w:rsidR="004A7DB6">
        <w:rPr>
          <w:rFonts w:ascii="Palatino Linotype" w:hAnsi="Palatino Linotype" w:eastAsia="Palatino Linotype" w:cs="Times New Roman"/>
          <w:bCs/>
          <w:color w:val="000000" w:themeColor="text1"/>
          <w:kern w:val="0"/>
          <w14:ligatures w14:val="none"/>
        </w:rPr>
        <w:t xml:space="preserve"> </w:t>
      </w:r>
      <w:r w:rsidRPr="00183062" w:rsidR="004A7DB6">
        <w:rPr>
          <w:rFonts w:ascii="Palatino Linotype" w:hAnsi="Palatino Linotype" w:eastAsia="Palatino Linotype" w:cs="Times New Roman"/>
          <w:bCs/>
          <w:color w:val="000000" w:themeColor="text1"/>
          <w:kern w:val="0"/>
          <w14:ligatures w14:val="none"/>
        </w:rPr>
        <w:t>efficiency</w:t>
      </w:r>
      <w:r w:rsidR="004A7DB6">
        <w:rPr>
          <w:rFonts w:ascii="Palatino Linotype" w:hAnsi="Palatino Linotype" w:eastAsia="Palatino Linotype" w:cs="Times New Roman"/>
          <w:bCs/>
          <w:color w:val="000000" w:themeColor="text1"/>
          <w:kern w:val="0"/>
          <w14:ligatures w14:val="none"/>
        </w:rPr>
        <w:t xml:space="preserve">, and </w:t>
      </w:r>
      <w:r w:rsidR="00CE0245">
        <w:rPr>
          <w:rFonts w:ascii="Palatino Linotype" w:hAnsi="Palatino Linotype" w:eastAsia="Palatino Linotype" w:cs="Times New Roman"/>
          <w:bCs/>
          <w:color w:val="000000" w:themeColor="text1"/>
          <w:kern w:val="0"/>
          <w14:ligatures w14:val="none"/>
        </w:rPr>
        <w:br/>
      </w:r>
      <w:r w:rsidR="004A7DB6">
        <w:rPr>
          <w:rFonts w:ascii="Palatino Linotype" w:hAnsi="Palatino Linotype" w:eastAsia="Palatino Linotype" w:cs="Times New Roman"/>
          <w:bCs/>
          <w:color w:val="000000" w:themeColor="text1"/>
          <w:kern w:val="0"/>
          <w14:ligatures w14:val="none"/>
        </w:rPr>
        <w:t>(iii) r</w:t>
      </w:r>
      <w:r w:rsidRPr="00436068" w:rsidR="004A7DB6">
        <w:rPr>
          <w:rFonts w:ascii="Palatino Linotype" w:hAnsi="Palatino Linotype" w:eastAsia="Palatino Linotype" w:cs="Times New Roman"/>
          <w:bCs/>
          <w:color w:val="000000" w:themeColor="text1"/>
          <w:kern w:val="0"/>
          <w14:ligatures w14:val="none"/>
        </w:rPr>
        <w:t>educing</w:t>
      </w:r>
      <w:r w:rsidR="004A7DB6">
        <w:rPr>
          <w:rFonts w:ascii="Palatino Linotype" w:hAnsi="Palatino Linotype" w:eastAsia="Palatino Linotype" w:cs="Times New Roman"/>
          <w:bCs/>
          <w:color w:val="000000" w:themeColor="text1"/>
          <w:kern w:val="0"/>
          <w14:ligatures w14:val="none"/>
        </w:rPr>
        <w:t xml:space="preserve"> </w:t>
      </w:r>
      <w:r w:rsidRPr="00436068" w:rsidR="004A7DB6">
        <w:rPr>
          <w:rFonts w:ascii="Palatino Linotype" w:hAnsi="Palatino Linotype" w:eastAsia="Palatino Linotype" w:cs="Times New Roman"/>
          <w:bCs/>
          <w:color w:val="000000" w:themeColor="text1"/>
          <w:kern w:val="0"/>
          <w14:ligatures w14:val="none"/>
        </w:rPr>
        <w:t>cybersecurity</w:t>
      </w:r>
      <w:r w:rsidR="004A7DB6">
        <w:rPr>
          <w:rFonts w:ascii="Palatino Linotype" w:hAnsi="Palatino Linotype" w:eastAsia="Palatino Linotype" w:cs="Times New Roman"/>
          <w:bCs/>
          <w:color w:val="000000" w:themeColor="text1"/>
          <w:kern w:val="0"/>
          <w14:ligatures w14:val="none"/>
        </w:rPr>
        <w:t xml:space="preserve"> </w:t>
      </w:r>
      <w:r w:rsidRPr="00436068" w:rsidR="004A7DB6">
        <w:rPr>
          <w:rFonts w:ascii="Palatino Linotype" w:hAnsi="Palatino Linotype" w:eastAsia="Palatino Linotype" w:cs="Times New Roman"/>
          <w:bCs/>
          <w:color w:val="000000" w:themeColor="text1"/>
          <w:kern w:val="0"/>
          <w14:ligatures w14:val="none"/>
        </w:rPr>
        <w:t>vulnerabilities</w:t>
      </w:r>
      <w:r w:rsidR="004A7DB6">
        <w:rPr>
          <w:rFonts w:ascii="Palatino Linotype" w:hAnsi="Palatino Linotype" w:eastAsia="Palatino Linotype" w:cs="Times New Roman"/>
          <w:bCs/>
          <w:color w:val="000000" w:themeColor="text1"/>
          <w:kern w:val="0"/>
          <w14:ligatures w14:val="none"/>
        </w:rPr>
        <w:t xml:space="preserve"> </w:t>
      </w:r>
      <w:r w:rsidRPr="00436068" w:rsidR="004A7DB6">
        <w:rPr>
          <w:rFonts w:ascii="Palatino Linotype" w:hAnsi="Palatino Linotype" w:eastAsia="Palatino Linotype" w:cs="Times New Roman"/>
          <w:bCs/>
          <w:color w:val="000000" w:themeColor="text1"/>
          <w:kern w:val="0"/>
          <w14:ligatures w14:val="none"/>
        </w:rPr>
        <w:t>of remotely</w:t>
      </w:r>
      <w:r w:rsidR="004A7DB6">
        <w:rPr>
          <w:rFonts w:ascii="Palatino Linotype" w:hAnsi="Palatino Linotype" w:eastAsia="Palatino Linotype" w:cs="Times New Roman"/>
          <w:bCs/>
          <w:color w:val="000000" w:themeColor="text1"/>
          <w:kern w:val="0"/>
          <w14:ligatures w14:val="none"/>
        </w:rPr>
        <w:t xml:space="preserve"> </w:t>
      </w:r>
      <w:r w:rsidRPr="00436068" w:rsidR="004A7DB6">
        <w:rPr>
          <w:rFonts w:ascii="Palatino Linotype" w:hAnsi="Palatino Linotype" w:eastAsia="Palatino Linotype" w:cs="Times New Roman"/>
          <w:bCs/>
          <w:color w:val="000000" w:themeColor="text1"/>
          <w:kern w:val="0"/>
          <w14:ligatures w14:val="none"/>
        </w:rPr>
        <w:t>operated</w:t>
      </w:r>
      <w:r w:rsidR="004A7DB6">
        <w:rPr>
          <w:rFonts w:ascii="Palatino Linotype" w:hAnsi="Palatino Linotype" w:eastAsia="Palatino Linotype" w:cs="Times New Roman"/>
          <w:bCs/>
          <w:color w:val="000000" w:themeColor="text1"/>
          <w:kern w:val="0"/>
          <w14:ligatures w14:val="none"/>
        </w:rPr>
        <w:t xml:space="preserve"> </w:t>
      </w:r>
      <w:r w:rsidRPr="00436068" w:rsidR="004A7DB6">
        <w:rPr>
          <w:rFonts w:ascii="Palatino Linotype" w:hAnsi="Palatino Linotype" w:eastAsia="Palatino Linotype" w:cs="Times New Roman"/>
          <w:bCs/>
          <w:color w:val="000000" w:themeColor="text1"/>
          <w:kern w:val="0"/>
          <w14:ligatures w14:val="none"/>
        </w:rPr>
        <w:t>infrastructure</w:t>
      </w:r>
      <w:r w:rsidR="004A7DB6">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004A7DB6">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reductions in both </w:t>
      </w:r>
      <w:r w:rsidRPr="00DA27B1" w:rsidR="004A7DB6">
        <w:rPr>
          <w:rFonts w:ascii="Palatino Linotype" w:hAnsi="Palatino Linotype" w:eastAsia="Palatino Linotype" w:cs="Times New Roman"/>
          <w:bCs/>
          <w:color w:val="000000" w:themeColor="text1"/>
          <w:kern w:val="0"/>
          <w14:ligatures w14:val="none"/>
        </w:rPr>
        <w:t>paving and construction costs associated with advances i</w:t>
      </w:r>
      <w:r w:rsidR="004A7DB6">
        <w:rPr>
          <w:rFonts w:ascii="Palatino Linotype" w:hAnsi="Palatino Linotype" w:eastAsia="Palatino Linotype" w:cs="Times New Roman"/>
          <w:bCs/>
          <w:color w:val="000000" w:themeColor="text1"/>
          <w:kern w:val="0"/>
          <w14:ligatures w14:val="none"/>
        </w:rPr>
        <w:t xml:space="preserve">n </w:t>
      </w:r>
      <w:r w:rsidRPr="00DA27B1" w:rsidR="004A7DB6">
        <w:rPr>
          <w:rFonts w:ascii="Palatino Linotype" w:hAnsi="Palatino Linotype" w:eastAsia="Palatino Linotype" w:cs="Times New Roman"/>
          <w:bCs/>
          <w:color w:val="000000" w:themeColor="text1"/>
          <w:kern w:val="0"/>
          <w14:ligatures w14:val="none"/>
        </w:rPr>
        <w:t>construction techniques</w:t>
      </w:r>
      <w:r w:rsidR="004A7DB6">
        <w:rPr>
          <w:rFonts w:ascii="Palatino Linotype" w:hAnsi="Palatino Linotype" w:eastAsia="Palatino Linotype" w:cs="Times New Roman"/>
          <w:bCs/>
          <w:color w:val="000000" w:themeColor="text1"/>
          <w:kern w:val="0"/>
          <w14:ligatures w14:val="none"/>
        </w:rPr>
        <w:t xml:space="preserve"> and </w:t>
      </w:r>
      <w:r w:rsidRPr="00DA27B1" w:rsidR="004A7DB6">
        <w:rPr>
          <w:rFonts w:ascii="Palatino Linotype" w:hAnsi="Palatino Linotype" w:eastAsia="Palatino Linotype" w:cs="Times New Roman"/>
          <w:bCs/>
          <w:color w:val="000000" w:themeColor="text1"/>
          <w:kern w:val="0"/>
          <w14:ligatures w14:val="none"/>
        </w:rPr>
        <w:t>maintenance costs associated with locating inaccuracies</w:t>
      </w:r>
      <w:r w:rsidR="004A7DB6">
        <w:rPr>
          <w:rFonts w:ascii="Palatino Linotype" w:hAnsi="Palatino Linotype" w:eastAsia="Palatino Linotype" w:cs="Times New Roman"/>
          <w:bCs/>
          <w:color w:val="000000" w:themeColor="text1"/>
          <w:kern w:val="0"/>
          <w14:ligatures w14:val="none"/>
        </w:rPr>
        <w:t xml:space="preserve"> </w:t>
      </w:r>
      <w:r w:rsidRPr="00DA27B1" w:rsidR="004A7DB6">
        <w:rPr>
          <w:rFonts w:ascii="Palatino Linotype" w:hAnsi="Palatino Linotype" w:eastAsia="Palatino Linotype" w:cs="Times New Roman"/>
          <w:bCs/>
          <w:color w:val="000000" w:themeColor="text1"/>
          <w:kern w:val="0"/>
          <w14:ligatures w14:val="none"/>
        </w:rPr>
        <w:t>and third-party damage.</w:t>
      </w:r>
      <w:r w:rsidR="004A7DB6">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Pr="004970BE" w:rsidR="00B25228">
        <w:rPr>
          <w:rFonts w:ascii="Palatino Linotype" w:hAnsi="Palatino Linotype" w:eastAsia="Palatino Linotype" w:cs="Times New Roman"/>
          <w:bCs/>
          <w:color w:val="000000" w:themeColor="text1"/>
          <w:kern w:val="0"/>
          <w14:ligatures w14:val="none"/>
        </w:rPr>
        <w:t xml:space="preserve"> proposes to </w:t>
      </w:r>
      <w:r w:rsidR="00B25228">
        <w:rPr>
          <w:rFonts w:ascii="Palatino Linotype" w:hAnsi="Palatino Linotype" w:eastAsia="Palatino Linotype" w:cs="Times New Roman"/>
          <w:bCs/>
          <w:color w:val="000000" w:themeColor="text1"/>
          <w:kern w:val="0"/>
          <w14:ligatures w14:val="none"/>
        </w:rPr>
        <w:t xml:space="preserve">allocate </w:t>
      </w:r>
      <w:r w:rsidRPr="00A5507D" w:rsidR="00A5507D">
        <w:rPr>
          <w:rFonts w:ascii="Palatino Linotype" w:hAnsi="Palatino Linotype" w:eastAsia="Palatino Linotype" w:cs="Times New Roman"/>
          <w:bCs/>
          <w:color w:val="000000" w:themeColor="text1"/>
          <w:kern w:val="0"/>
          <w14:ligatures w14:val="none"/>
        </w:rPr>
        <w:t>$827,505</w:t>
      </w:r>
      <w:r w:rsidR="00A5507D">
        <w:rPr>
          <w:rFonts w:ascii="Palatino Linotype" w:hAnsi="Palatino Linotype" w:eastAsia="Palatino Linotype" w:cs="Times New Roman"/>
          <w:bCs/>
          <w:color w:val="000000" w:themeColor="text1"/>
          <w:kern w:val="0"/>
          <w14:ligatures w14:val="none"/>
        </w:rPr>
        <w:t xml:space="preserve"> </w:t>
      </w:r>
      <w:r w:rsidR="00B25228">
        <w:rPr>
          <w:rFonts w:ascii="Palatino Linotype" w:hAnsi="Palatino Linotype" w:eastAsia="Palatino Linotype" w:cs="Times New Roman"/>
          <w:bCs/>
          <w:color w:val="000000" w:themeColor="text1"/>
          <w:kern w:val="0"/>
          <w14:ligatures w14:val="none"/>
        </w:rPr>
        <w:t>in its 202</w:t>
      </w:r>
      <w:r w:rsidR="00EA05F5">
        <w:rPr>
          <w:rFonts w:ascii="Palatino Linotype" w:hAnsi="Palatino Linotype" w:eastAsia="Palatino Linotype" w:cs="Times New Roman"/>
          <w:bCs/>
          <w:color w:val="000000" w:themeColor="text1"/>
          <w:kern w:val="0"/>
          <w14:ligatures w14:val="none"/>
        </w:rPr>
        <w:t>5</w:t>
      </w:r>
      <w:r w:rsidR="00B25228">
        <w:rPr>
          <w:rFonts w:ascii="Palatino Linotype" w:hAnsi="Palatino Linotype" w:eastAsia="Palatino Linotype" w:cs="Times New Roman"/>
          <w:bCs/>
          <w:color w:val="000000" w:themeColor="text1"/>
          <w:kern w:val="0"/>
          <w14:ligatures w14:val="none"/>
        </w:rPr>
        <w:t xml:space="preserve"> Plan.</w:t>
      </w:r>
    </w:p>
    <w:p w:rsidRPr="004970BE" w:rsidR="00B25228" w:rsidP="00B25228" w:rsidRDefault="00B25228" w14:paraId="42DFA1FC" w14:textId="77777777">
      <w:pPr>
        <w:spacing w:after="0" w:line="276" w:lineRule="auto"/>
        <w:ind w:left="720"/>
        <w:rPr>
          <w:rFonts w:ascii="Palatino Linotype" w:hAnsi="Palatino Linotype" w:eastAsia="Palatino Linotype" w:cs="Times New Roman"/>
          <w:bCs/>
          <w:color w:val="000000" w:themeColor="text1"/>
          <w:kern w:val="0"/>
          <w14:ligatures w14:val="none"/>
        </w:rPr>
      </w:pPr>
    </w:p>
    <w:p w:rsidRPr="001D3D47" w:rsidR="00B25228" w:rsidP="00477204" w:rsidRDefault="00B25228" w14:paraId="1856112C" w14:textId="0BE18578">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System Design &amp; Materials</w:t>
      </w:r>
      <w:r w:rsidR="00186164">
        <w:rPr>
          <w:rStyle w:val="FootnoteReference"/>
          <w:rFonts w:ascii="Palatino Linotype" w:hAnsi="Palatino Linotype" w:eastAsia="Palatino Linotype" w:cs="Times New Roman"/>
          <w:bCs/>
          <w:color w:val="000000" w:themeColor="text1"/>
          <w:kern w:val="0"/>
          <w14:ligatures w14:val="none"/>
        </w:rPr>
        <w:footnoteReference w:id="38"/>
      </w:r>
    </w:p>
    <w:p w:rsidRPr="004970BE" w:rsidR="00B25228" w:rsidP="00B25228" w:rsidRDefault="004C5DEA" w14:paraId="38DD898B" w14:textId="1C5B3308">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w:t>
      </w:r>
      <w:r w:rsidR="004A7DB6">
        <w:rPr>
          <w:rFonts w:ascii="Palatino Linotype" w:hAnsi="Palatino Linotype" w:eastAsia="Palatino Linotype" w:cs="Times New Roman"/>
          <w:bCs/>
          <w:color w:val="000000" w:themeColor="text1"/>
          <w:kern w:val="0"/>
          <w14:ligatures w14:val="none"/>
        </w:rPr>
        <w:t>t</w:t>
      </w:r>
      <w:r w:rsidRPr="004970BE" w:rsidR="004A7DB6">
        <w:rPr>
          <w:rFonts w:ascii="Palatino Linotype" w:hAnsi="Palatino Linotype" w:eastAsia="Palatino Linotype" w:cs="Times New Roman"/>
          <w:bCs/>
          <w:color w:val="000000" w:themeColor="text1"/>
          <w:kern w:val="0"/>
          <w14:ligatures w14:val="none"/>
        </w:rPr>
        <w:t xml:space="preserve"> seeks to develop projects within the </w:t>
      </w:r>
      <w:r w:rsidRPr="00B25228" w:rsidR="004A7DB6">
        <w:rPr>
          <w:rFonts w:ascii="Palatino Linotype" w:hAnsi="Palatino Linotype" w:eastAsia="Palatino Linotype" w:cs="Times New Roman"/>
          <w:bCs/>
          <w:color w:val="000000" w:themeColor="text1"/>
          <w:kern w:val="0"/>
          <w14:ligatures w14:val="none"/>
        </w:rPr>
        <w:t>System Design &amp; Materials</w:t>
      </w:r>
      <w:r w:rsidRPr="004970BE" w:rsidR="004A7DB6">
        <w:rPr>
          <w:rFonts w:ascii="Palatino Linotype" w:hAnsi="Palatino Linotype" w:eastAsia="Palatino Linotype" w:cs="Times New Roman"/>
          <w:bCs/>
          <w:color w:val="000000" w:themeColor="text1"/>
          <w:kern w:val="0"/>
          <w14:ligatures w14:val="none"/>
        </w:rPr>
        <w:t xml:space="preserve"> Initiative to </w:t>
      </w:r>
      <w:r w:rsidR="004A7DB6">
        <w:rPr>
          <w:rFonts w:ascii="Palatino Linotype" w:hAnsi="Palatino Linotype" w:eastAsia="Palatino Linotype" w:cs="Times New Roman"/>
          <w:bCs/>
          <w:color w:val="000000" w:themeColor="text1"/>
          <w:kern w:val="0"/>
          <w14:ligatures w14:val="none"/>
        </w:rPr>
        <w:t>m</w:t>
      </w:r>
      <w:r w:rsidRPr="00200702" w:rsidR="004A7DB6">
        <w:rPr>
          <w:rFonts w:ascii="Palatino Linotype" w:hAnsi="Palatino Linotype" w:eastAsia="Palatino Linotype" w:cs="Times New Roman"/>
          <w:bCs/>
          <w:color w:val="000000" w:themeColor="text1"/>
          <w:kern w:val="0"/>
          <w14:ligatures w14:val="none"/>
        </w:rPr>
        <w:t>odernize infrastructure to accommodate new fuel sources,</w:t>
      </w:r>
      <w:r w:rsidR="004A7DB6">
        <w:rPr>
          <w:rFonts w:ascii="Palatino Linotype" w:hAnsi="Palatino Linotype" w:eastAsia="Palatino Linotype" w:cs="Times New Roman"/>
          <w:bCs/>
          <w:color w:val="000000" w:themeColor="text1"/>
          <w:kern w:val="0"/>
          <w14:ligatures w14:val="none"/>
        </w:rPr>
        <w:t xml:space="preserve"> </w:t>
      </w:r>
      <w:r w:rsidRPr="00200702" w:rsidR="004A7DB6">
        <w:rPr>
          <w:rFonts w:ascii="Palatino Linotype" w:hAnsi="Palatino Linotype" w:eastAsia="Palatino Linotype" w:cs="Times New Roman"/>
          <w:bCs/>
          <w:color w:val="000000" w:themeColor="text1"/>
          <w:kern w:val="0"/>
          <w14:ligatures w14:val="none"/>
        </w:rPr>
        <w:t>incorporate modern technology, and align</w:t>
      </w:r>
      <w:r w:rsidR="004A7DB6">
        <w:rPr>
          <w:rFonts w:ascii="Palatino Linotype" w:hAnsi="Palatino Linotype" w:eastAsia="Palatino Linotype" w:cs="Times New Roman"/>
          <w:bCs/>
          <w:color w:val="000000" w:themeColor="text1"/>
          <w:kern w:val="0"/>
          <w14:ligatures w14:val="none"/>
        </w:rPr>
        <w:t xml:space="preserve"> </w:t>
      </w:r>
      <w:r w:rsidRPr="00200702" w:rsidR="004A7DB6">
        <w:rPr>
          <w:rFonts w:ascii="Palatino Linotype" w:hAnsi="Palatino Linotype" w:eastAsia="Palatino Linotype" w:cs="Times New Roman"/>
          <w:bCs/>
          <w:color w:val="000000" w:themeColor="text1"/>
          <w:kern w:val="0"/>
          <w14:ligatures w14:val="none"/>
        </w:rPr>
        <w:t>with regulatory policies.</w:t>
      </w:r>
      <w:r w:rsidR="004A7DB6">
        <w:rPr>
          <w:rFonts w:ascii="Palatino Linotype" w:hAnsi="Palatino Linotype" w:eastAsia="Palatino Linotype" w:cs="Times New Roman"/>
          <w:bCs/>
          <w:color w:val="000000" w:themeColor="text1"/>
          <w:kern w:val="0"/>
          <w14:ligatures w14:val="none"/>
        </w:rPr>
        <w:t xml:space="preserve"> Research Topics include</w:t>
      </w:r>
      <w:r w:rsidR="00207085">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(i) increased life of assets, (ii) optimize system materials, (iii) i</w:t>
      </w:r>
      <w:r w:rsidRPr="00404BE4" w:rsidR="004A7DB6">
        <w:rPr>
          <w:rFonts w:ascii="Palatino Linotype" w:hAnsi="Palatino Linotype" w:eastAsia="Palatino Linotype" w:cs="Times New Roman"/>
          <w:bCs/>
          <w:color w:val="000000" w:themeColor="text1"/>
          <w:kern w:val="0"/>
          <w14:ligatures w14:val="none"/>
        </w:rPr>
        <w:t>nfrastructure</w:t>
      </w:r>
      <w:r w:rsidR="004A7DB6">
        <w:rPr>
          <w:rFonts w:ascii="Palatino Linotype" w:hAnsi="Palatino Linotype" w:eastAsia="Palatino Linotype" w:cs="Times New Roman"/>
          <w:bCs/>
          <w:color w:val="000000" w:themeColor="text1"/>
          <w:kern w:val="0"/>
          <w14:ligatures w14:val="none"/>
        </w:rPr>
        <w:t xml:space="preserve"> </w:t>
      </w:r>
      <w:r w:rsidRPr="00404BE4" w:rsidR="004A7DB6">
        <w:rPr>
          <w:rFonts w:ascii="Palatino Linotype" w:hAnsi="Palatino Linotype" w:eastAsia="Palatino Linotype" w:cs="Times New Roman"/>
          <w:bCs/>
          <w:color w:val="000000" w:themeColor="text1"/>
          <w:kern w:val="0"/>
          <w14:ligatures w14:val="none"/>
        </w:rPr>
        <w:t>compatibility</w:t>
      </w:r>
      <w:r w:rsidR="004A7DB6">
        <w:rPr>
          <w:rFonts w:ascii="Palatino Linotype" w:hAnsi="Palatino Linotype" w:eastAsia="Palatino Linotype" w:cs="Times New Roman"/>
          <w:bCs/>
          <w:color w:val="000000" w:themeColor="text1"/>
          <w:kern w:val="0"/>
          <w14:ligatures w14:val="none"/>
        </w:rPr>
        <w:t xml:space="preserve"> </w:t>
      </w:r>
      <w:r w:rsidRPr="00404BE4" w:rsidR="004A7DB6">
        <w:rPr>
          <w:rFonts w:ascii="Palatino Linotype" w:hAnsi="Palatino Linotype" w:eastAsia="Palatino Linotype" w:cs="Times New Roman"/>
          <w:bCs/>
          <w:color w:val="000000" w:themeColor="text1"/>
          <w:kern w:val="0"/>
          <w14:ligatures w14:val="none"/>
        </w:rPr>
        <w:t>with RNG</w:t>
      </w:r>
      <w:r w:rsidR="004A7DB6">
        <w:rPr>
          <w:rFonts w:ascii="Palatino Linotype" w:hAnsi="Palatino Linotype" w:eastAsia="Palatino Linotype" w:cs="Times New Roman"/>
          <w:bCs/>
          <w:color w:val="000000" w:themeColor="text1"/>
          <w:kern w:val="0"/>
          <w14:ligatures w14:val="none"/>
        </w:rPr>
        <w:t xml:space="preserve"> </w:t>
      </w:r>
      <w:r w:rsidRPr="00404BE4" w:rsidR="004A7DB6">
        <w:rPr>
          <w:rFonts w:ascii="Palatino Linotype" w:hAnsi="Palatino Linotype" w:eastAsia="Palatino Linotype" w:cs="Times New Roman"/>
          <w:bCs/>
          <w:color w:val="000000" w:themeColor="text1"/>
          <w:kern w:val="0"/>
          <w14:ligatures w14:val="none"/>
        </w:rPr>
        <w:t>feedstocks and</w:t>
      </w:r>
      <w:r w:rsidR="004A7DB6">
        <w:rPr>
          <w:rFonts w:ascii="Palatino Linotype" w:hAnsi="Palatino Linotype" w:eastAsia="Palatino Linotype" w:cs="Times New Roman"/>
          <w:bCs/>
          <w:color w:val="000000" w:themeColor="text1"/>
          <w:kern w:val="0"/>
          <w14:ligatures w14:val="none"/>
        </w:rPr>
        <w:t xml:space="preserve"> </w:t>
      </w:r>
      <w:r w:rsidRPr="00404BE4" w:rsidR="004A7DB6">
        <w:rPr>
          <w:rFonts w:ascii="Palatino Linotype" w:hAnsi="Palatino Linotype" w:eastAsia="Palatino Linotype" w:cs="Times New Roman"/>
          <w:bCs/>
          <w:color w:val="000000" w:themeColor="text1"/>
          <w:kern w:val="0"/>
          <w14:ligatures w14:val="none"/>
        </w:rPr>
        <w:t>non-pipeline</w:t>
      </w:r>
      <w:r w:rsidR="004A7DB6">
        <w:rPr>
          <w:rFonts w:ascii="Palatino Linotype" w:hAnsi="Palatino Linotype" w:eastAsia="Palatino Linotype" w:cs="Times New Roman"/>
          <w:bCs/>
          <w:color w:val="000000" w:themeColor="text1"/>
          <w:kern w:val="0"/>
          <w14:ligatures w14:val="none"/>
        </w:rPr>
        <w:t xml:space="preserve"> </w:t>
      </w:r>
      <w:r w:rsidRPr="00404BE4" w:rsidR="004A7DB6">
        <w:rPr>
          <w:rFonts w:ascii="Palatino Linotype" w:hAnsi="Palatino Linotype" w:eastAsia="Palatino Linotype" w:cs="Times New Roman"/>
          <w:bCs/>
          <w:color w:val="000000" w:themeColor="text1"/>
          <w:kern w:val="0"/>
          <w14:ligatures w14:val="none"/>
        </w:rPr>
        <w:t>alternatives</w:t>
      </w:r>
      <w:r w:rsidR="004A7DB6">
        <w:rPr>
          <w:rFonts w:ascii="Palatino Linotype" w:hAnsi="Palatino Linotype" w:eastAsia="Palatino Linotype" w:cs="Times New Roman"/>
          <w:bCs/>
          <w:color w:val="000000" w:themeColor="text1"/>
          <w:kern w:val="0"/>
          <w14:ligatures w14:val="none"/>
        </w:rPr>
        <w:t>, and (iv) n</w:t>
      </w:r>
      <w:r w:rsidRPr="00404BE4" w:rsidR="004A7DB6">
        <w:rPr>
          <w:rFonts w:ascii="Palatino Linotype" w:hAnsi="Palatino Linotype" w:eastAsia="Palatino Linotype" w:cs="Times New Roman"/>
          <w:bCs/>
          <w:color w:val="000000" w:themeColor="text1"/>
          <w:kern w:val="0"/>
          <w14:ligatures w14:val="none"/>
        </w:rPr>
        <w:t>ew/updated</w:t>
      </w:r>
      <w:r w:rsidR="004A7DB6">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004A7DB6">
        <w:rPr>
          <w:rFonts w:ascii="Palatino Linotype" w:hAnsi="Palatino Linotype" w:eastAsia="Palatino Linotype" w:cs="Times New Roman"/>
          <w:bCs/>
          <w:color w:val="000000" w:themeColor="text1"/>
          <w:kern w:val="0"/>
          <w14:ligatures w14:val="none"/>
        </w:rPr>
        <w:t>-</w:t>
      </w:r>
      <w:r w:rsidRPr="00404BE4" w:rsidR="004A7DB6">
        <w:rPr>
          <w:rFonts w:ascii="Palatino Linotype" w:hAnsi="Palatino Linotype" w:eastAsia="Palatino Linotype" w:cs="Times New Roman"/>
          <w:bCs/>
          <w:color w:val="000000" w:themeColor="text1"/>
          <w:kern w:val="0"/>
          <w14:ligatures w14:val="none"/>
        </w:rPr>
        <w:t>specific models</w:t>
      </w:r>
      <w:r w:rsidR="004A7DB6">
        <w:rPr>
          <w:rFonts w:ascii="Palatino Linotype" w:hAnsi="Palatino Linotype" w:eastAsia="Palatino Linotype" w:cs="Times New Roman"/>
          <w:bCs/>
          <w:color w:val="000000" w:themeColor="text1"/>
          <w:kern w:val="0"/>
          <w14:ligatures w14:val="none"/>
        </w:rPr>
        <w:t xml:space="preserve"> </w:t>
      </w:r>
      <w:r w:rsidRPr="00404BE4" w:rsidR="004A7DB6">
        <w:rPr>
          <w:rFonts w:ascii="Palatino Linotype" w:hAnsi="Palatino Linotype" w:eastAsia="Palatino Linotype" w:cs="Times New Roman"/>
          <w:bCs/>
          <w:color w:val="000000" w:themeColor="text1"/>
          <w:kern w:val="0"/>
          <w14:ligatures w14:val="none"/>
        </w:rPr>
        <w:t>and risk</w:t>
      </w:r>
      <w:r w:rsidR="004A7DB6">
        <w:rPr>
          <w:rFonts w:ascii="Palatino Linotype" w:hAnsi="Palatino Linotype" w:eastAsia="Palatino Linotype" w:cs="Times New Roman"/>
          <w:bCs/>
          <w:color w:val="000000" w:themeColor="text1"/>
          <w:kern w:val="0"/>
          <w14:ligatures w14:val="none"/>
        </w:rPr>
        <w:t xml:space="preserve"> </w:t>
      </w:r>
      <w:r w:rsidRPr="00404BE4" w:rsidR="004A7DB6">
        <w:rPr>
          <w:rFonts w:ascii="Palatino Linotype" w:hAnsi="Palatino Linotype" w:eastAsia="Palatino Linotype" w:cs="Times New Roman"/>
          <w:bCs/>
          <w:color w:val="000000" w:themeColor="text1"/>
          <w:kern w:val="0"/>
          <w14:ligatures w14:val="none"/>
        </w:rPr>
        <w:t>analyses</w:t>
      </w:r>
      <w:r w:rsidR="004A7DB6">
        <w:rPr>
          <w:rFonts w:ascii="Palatino Linotype" w:hAnsi="Palatino Linotype" w:eastAsia="Palatino Linotype" w:cs="Times New Roman"/>
          <w:bCs/>
          <w:color w:val="000000" w:themeColor="text1"/>
          <w:kern w:val="0"/>
          <w14:ligatures w14:val="none"/>
        </w:rPr>
        <w:t>. S</w:t>
      </w:r>
      <w:r w:rsidR="00315BEC">
        <w:rPr>
          <w:rFonts w:ascii="Palatino Linotype" w:hAnsi="Palatino Linotype" w:eastAsia="Palatino Linotype" w:cs="Times New Roman"/>
          <w:bCs/>
          <w:color w:val="000000" w:themeColor="text1"/>
          <w:kern w:val="0"/>
          <w14:ligatures w14:val="none"/>
        </w:rPr>
        <w:t>o</w:t>
      </w:r>
      <w:r w:rsidR="004A7DB6">
        <w:rPr>
          <w:rFonts w:ascii="Palatino Linotype" w:hAnsi="Palatino Linotype" w:eastAsia="Palatino Linotype" w:cs="Times New Roman"/>
          <w:bCs/>
          <w:color w:val="000000" w:themeColor="text1"/>
          <w:kern w:val="0"/>
          <w14:ligatures w14:val="none"/>
        </w:rPr>
        <w:t>C</w:t>
      </w:r>
      <w:r w:rsidR="00315BEC">
        <w:rPr>
          <w:rFonts w:ascii="Palatino Linotype" w:hAnsi="Palatino Linotype" w:eastAsia="Palatino Linotype" w:cs="Times New Roman"/>
          <w:bCs/>
          <w:color w:val="000000" w:themeColor="text1"/>
          <w:kern w:val="0"/>
          <w14:ligatures w14:val="none"/>
        </w:rPr>
        <w:t>al</w:t>
      </w:r>
      <w:r w:rsidR="004A7DB6">
        <w:rPr>
          <w:rFonts w:ascii="Palatino Linotype" w:hAnsi="Palatino Linotype" w:eastAsia="Palatino Linotype" w:cs="Times New Roman"/>
          <w:bCs/>
          <w:color w:val="000000" w:themeColor="text1"/>
          <w:kern w:val="0"/>
          <w14:ligatures w14:val="none"/>
        </w:rPr>
        <w:t>G</w:t>
      </w:r>
      <w:r w:rsidR="00315BEC">
        <w:rPr>
          <w:rFonts w:ascii="Palatino Linotype" w:hAnsi="Palatino Linotype" w:eastAsia="Palatino Linotype" w:cs="Times New Roman"/>
          <w:bCs/>
          <w:color w:val="000000" w:themeColor="text1"/>
          <w:kern w:val="0"/>
          <w14:ligatures w14:val="none"/>
        </w:rPr>
        <w:t>as</w:t>
      </w:r>
      <w:r w:rsidR="004A7DB6">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reductions in both </w:t>
      </w:r>
      <w:r w:rsidRPr="00FD5F44" w:rsidR="004A7DB6">
        <w:rPr>
          <w:rFonts w:ascii="Palatino Linotype" w:hAnsi="Palatino Linotype" w:eastAsia="Palatino Linotype" w:cs="Times New Roman"/>
          <w:bCs/>
          <w:color w:val="000000" w:themeColor="text1"/>
          <w:kern w:val="0"/>
          <w14:ligatures w14:val="none"/>
        </w:rPr>
        <w:t>operating costs associated with physical emergency</w:t>
      </w:r>
      <w:r w:rsidR="004A7DB6">
        <w:rPr>
          <w:rFonts w:ascii="Palatino Linotype" w:hAnsi="Palatino Linotype" w:eastAsia="Palatino Linotype" w:cs="Times New Roman"/>
          <w:bCs/>
          <w:color w:val="000000" w:themeColor="text1"/>
          <w:kern w:val="0"/>
          <w14:ligatures w14:val="none"/>
        </w:rPr>
        <w:t xml:space="preserve"> </w:t>
      </w:r>
      <w:r w:rsidRPr="00FD5F44" w:rsidR="004A7DB6">
        <w:rPr>
          <w:rFonts w:ascii="Palatino Linotype" w:hAnsi="Palatino Linotype" w:eastAsia="Palatino Linotype" w:cs="Times New Roman"/>
          <w:bCs/>
          <w:color w:val="000000" w:themeColor="text1"/>
          <w:kern w:val="0"/>
          <w14:ligatures w14:val="none"/>
        </w:rPr>
        <w:t>response through equipment automation</w:t>
      </w:r>
      <w:r w:rsidR="004A7DB6">
        <w:rPr>
          <w:rFonts w:ascii="Palatino Linotype" w:hAnsi="Palatino Linotype" w:eastAsia="Palatino Linotype" w:cs="Times New Roman"/>
          <w:bCs/>
          <w:color w:val="000000" w:themeColor="text1"/>
          <w:kern w:val="0"/>
          <w14:ligatures w14:val="none"/>
        </w:rPr>
        <w:t xml:space="preserve"> and </w:t>
      </w:r>
      <w:r w:rsidRPr="00FD5F44" w:rsidR="004A7DB6">
        <w:rPr>
          <w:rFonts w:ascii="Palatino Linotype" w:hAnsi="Palatino Linotype" w:eastAsia="Palatino Linotype" w:cs="Times New Roman"/>
          <w:bCs/>
          <w:color w:val="000000" w:themeColor="text1"/>
          <w:kern w:val="0"/>
          <w14:ligatures w14:val="none"/>
        </w:rPr>
        <w:t>installation costs associated with optimizing corrosion</w:t>
      </w:r>
      <w:r w:rsidR="004A7DB6">
        <w:rPr>
          <w:rFonts w:ascii="Palatino Linotype" w:hAnsi="Palatino Linotype" w:eastAsia="Palatino Linotype" w:cs="Times New Roman"/>
          <w:bCs/>
          <w:color w:val="000000" w:themeColor="text1"/>
          <w:kern w:val="0"/>
          <w14:ligatures w14:val="none"/>
        </w:rPr>
        <w:t xml:space="preserve"> </w:t>
      </w:r>
      <w:r w:rsidRPr="00FD5F44" w:rsidR="004A7DB6">
        <w:rPr>
          <w:rFonts w:ascii="Palatino Linotype" w:hAnsi="Palatino Linotype" w:eastAsia="Palatino Linotype" w:cs="Times New Roman"/>
          <w:bCs/>
          <w:color w:val="000000" w:themeColor="text1"/>
          <w:kern w:val="0"/>
          <w14:ligatures w14:val="none"/>
        </w:rPr>
        <w:t>control practices.</w:t>
      </w:r>
      <w:r w:rsidR="004A7DB6">
        <w:rPr>
          <w:rFonts w:ascii="Palatino Linotype" w:hAnsi="Palatino Linotype" w:eastAsia="Palatino Linotype" w:cs="Times New Roman"/>
          <w:bCs/>
          <w:color w:val="000000" w:themeColor="text1"/>
          <w:kern w:val="0"/>
          <w14:ligatures w14:val="none"/>
        </w:rPr>
        <w:t xml:space="preserve"> </w:t>
      </w:r>
      <w:r>
        <w:rPr>
          <w:rFonts w:ascii="Palatino Linotype" w:hAnsi="Palatino Linotype"/>
          <w:color w:val="000000" w:themeColor="text1"/>
        </w:rPr>
        <w:t>SoCalGas</w:t>
      </w:r>
      <w:r w:rsidRPr="004970BE" w:rsidR="00B25228">
        <w:rPr>
          <w:rFonts w:ascii="Palatino Linotype" w:hAnsi="Palatino Linotype" w:eastAsia="Palatino Linotype" w:cs="Times New Roman"/>
          <w:bCs/>
          <w:color w:val="000000" w:themeColor="text1"/>
          <w:kern w:val="0"/>
          <w14:ligatures w14:val="none"/>
        </w:rPr>
        <w:t xml:space="preserve"> proposes to </w:t>
      </w:r>
      <w:r w:rsidR="00B25228">
        <w:rPr>
          <w:rFonts w:ascii="Palatino Linotype" w:hAnsi="Palatino Linotype" w:eastAsia="Palatino Linotype" w:cs="Times New Roman"/>
          <w:bCs/>
          <w:color w:val="000000" w:themeColor="text1"/>
          <w:kern w:val="0"/>
          <w14:ligatures w14:val="none"/>
        </w:rPr>
        <w:t xml:space="preserve">allocate </w:t>
      </w:r>
      <w:r w:rsidRPr="00EA05F5" w:rsidR="00EA05F5">
        <w:rPr>
          <w:rFonts w:ascii="Palatino Linotype" w:hAnsi="Palatino Linotype" w:eastAsia="Palatino Linotype" w:cs="Times New Roman"/>
          <w:bCs/>
          <w:color w:val="000000" w:themeColor="text1"/>
          <w:kern w:val="0"/>
          <w14:ligatures w14:val="none"/>
        </w:rPr>
        <w:t>$2,151,513</w:t>
      </w:r>
      <w:r w:rsidR="00EA05F5">
        <w:rPr>
          <w:rFonts w:ascii="Palatino Linotype" w:hAnsi="Palatino Linotype" w:eastAsia="Palatino Linotype" w:cs="Times New Roman"/>
          <w:bCs/>
          <w:color w:val="000000" w:themeColor="text1"/>
          <w:kern w:val="0"/>
          <w14:ligatures w14:val="none"/>
        </w:rPr>
        <w:t xml:space="preserve"> </w:t>
      </w:r>
      <w:r w:rsidR="00B25228">
        <w:rPr>
          <w:rFonts w:ascii="Palatino Linotype" w:hAnsi="Palatino Linotype" w:eastAsia="Palatino Linotype" w:cs="Times New Roman"/>
          <w:bCs/>
          <w:color w:val="000000" w:themeColor="text1"/>
          <w:kern w:val="0"/>
          <w14:ligatures w14:val="none"/>
        </w:rPr>
        <w:t>in its 202</w:t>
      </w:r>
      <w:r w:rsidR="00E33953">
        <w:rPr>
          <w:rFonts w:ascii="Palatino Linotype" w:hAnsi="Palatino Linotype" w:eastAsia="Palatino Linotype" w:cs="Times New Roman"/>
          <w:bCs/>
          <w:color w:val="000000" w:themeColor="text1"/>
          <w:kern w:val="0"/>
          <w14:ligatures w14:val="none"/>
        </w:rPr>
        <w:t>5</w:t>
      </w:r>
      <w:r w:rsidR="00B25228">
        <w:rPr>
          <w:rFonts w:ascii="Palatino Linotype" w:hAnsi="Palatino Linotype" w:eastAsia="Palatino Linotype" w:cs="Times New Roman"/>
          <w:bCs/>
          <w:color w:val="000000" w:themeColor="text1"/>
          <w:kern w:val="0"/>
          <w14:ligatures w14:val="none"/>
        </w:rPr>
        <w:t xml:space="preserve"> Plan.</w:t>
      </w:r>
    </w:p>
    <w:p w:rsidRPr="004970BE" w:rsidR="00B25228" w:rsidP="00B25228" w:rsidRDefault="00B25228" w14:paraId="25F27B0E" w14:textId="77777777">
      <w:pPr>
        <w:spacing w:after="0" w:line="276" w:lineRule="auto"/>
        <w:ind w:left="720"/>
        <w:rPr>
          <w:rFonts w:ascii="Palatino Linotype" w:hAnsi="Palatino Linotype" w:eastAsia="Palatino Linotype" w:cs="Times New Roman"/>
          <w:bCs/>
          <w:color w:val="000000" w:themeColor="text1"/>
          <w:kern w:val="0"/>
          <w14:ligatures w14:val="none"/>
        </w:rPr>
      </w:pPr>
    </w:p>
    <w:p w:rsidRPr="001D3D47" w:rsidR="00B25228" w:rsidP="007579CD" w:rsidRDefault="00B25228" w14:paraId="62678E97" w14:textId="7DC8B85C">
      <w:pPr>
        <w:pStyle w:val="ListParagraph"/>
        <w:keepNext/>
        <w:numPr>
          <w:ilvl w:val="0"/>
          <w:numId w:val="15"/>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lastRenderedPageBreak/>
        <w:t>System Inspection &amp; Monitoring</w:t>
      </w:r>
      <w:r w:rsidR="00186164">
        <w:rPr>
          <w:rStyle w:val="FootnoteReference"/>
          <w:rFonts w:ascii="Palatino Linotype" w:hAnsi="Palatino Linotype" w:eastAsia="Palatino Linotype" w:cs="Times New Roman"/>
          <w:bCs/>
          <w:color w:val="000000" w:themeColor="text1"/>
          <w:kern w:val="0"/>
          <w14:ligatures w14:val="none"/>
        </w:rPr>
        <w:footnoteReference w:id="39"/>
      </w:r>
    </w:p>
    <w:p w:rsidRPr="004970BE" w:rsidR="00B25228" w:rsidP="007579CD" w:rsidRDefault="004C5DEA" w14:paraId="39D63423" w14:textId="57539ED0">
      <w:pPr>
        <w:keepNext/>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w:t>
      </w:r>
      <w:r w:rsidR="004A7DB6">
        <w:rPr>
          <w:rFonts w:ascii="Palatino Linotype" w:hAnsi="Palatino Linotype" w:eastAsia="Palatino Linotype" w:cs="Times New Roman"/>
          <w:bCs/>
          <w:color w:val="000000" w:themeColor="text1"/>
          <w:kern w:val="0"/>
          <w14:ligatures w14:val="none"/>
        </w:rPr>
        <w:t>t</w:t>
      </w:r>
      <w:r w:rsidRPr="004970BE" w:rsidR="004A7DB6">
        <w:rPr>
          <w:rFonts w:ascii="Palatino Linotype" w:hAnsi="Palatino Linotype" w:eastAsia="Palatino Linotype" w:cs="Times New Roman"/>
          <w:bCs/>
          <w:color w:val="000000" w:themeColor="text1"/>
          <w:kern w:val="0"/>
          <w14:ligatures w14:val="none"/>
        </w:rPr>
        <w:t xml:space="preserve"> </w:t>
      </w:r>
      <w:r w:rsidRPr="36D0653E" w:rsidR="004A7DB6">
        <w:rPr>
          <w:rFonts w:ascii="Palatino Linotype" w:hAnsi="Palatino Linotype" w:eastAsia="Palatino Linotype" w:cs="Times New Roman"/>
          <w:color w:val="000000" w:themeColor="text1"/>
        </w:rPr>
        <w:t xml:space="preserve">seeks to develop projects within the </w:t>
      </w:r>
      <w:r w:rsidRPr="00B25228" w:rsidR="004A7DB6">
        <w:rPr>
          <w:rFonts w:ascii="Palatino Linotype" w:hAnsi="Palatino Linotype" w:eastAsia="Palatino Linotype" w:cs="Times New Roman"/>
          <w:bCs/>
          <w:color w:val="000000" w:themeColor="text1"/>
          <w:kern w:val="0"/>
          <w14:ligatures w14:val="none"/>
        </w:rPr>
        <w:t>System Inspection &amp; Monitoring</w:t>
      </w:r>
      <w:r w:rsidRPr="004970BE" w:rsidR="004A7DB6">
        <w:rPr>
          <w:rFonts w:ascii="Palatino Linotype" w:hAnsi="Palatino Linotype" w:eastAsia="Palatino Linotype" w:cs="Times New Roman"/>
          <w:bCs/>
          <w:color w:val="000000" w:themeColor="text1"/>
          <w:kern w:val="0"/>
          <w14:ligatures w14:val="none"/>
        </w:rPr>
        <w:t xml:space="preserve"> Initiative to </w:t>
      </w:r>
      <w:r w:rsidR="004A7DB6">
        <w:rPr>
          <w:rFonts w:ascii="Palatino Linotype" w:hAnsi="Palatino Linotype" w:eastAsia="Palatino Linotype" w:cs="Times New Roman"/>
          <w:bCs/>
          <w:color w:val="000000" w:themeColor="text1"/>
          <w:kern w:val="0"/>
          <w14:ligatures w14:val="none"/>
        </w:rPr>
        <w:t>a</w:t>
      </w:r>
      <w:r w:rsidRPr="00D35E13" w:rsidR="004A7DB6">
        <w:rPr>
          <w:rFonts w:ascii="Palatino Linotype" w:hAnsi="Palatino Linotype" w:eastAsia="Palatino Linotype" w:cs="Times New Roman"/>
          <w:bCs/>
          <w:color w:val="000000" w:themeColor="text1"/>
          <w:kern w:val="0"/>
          <w14:ligatures w14:val="none"/>
        </w:rPr>
        <w:t>dvance real-time pipeline and storage infrastructure inspection and monitoring technologies to deliver</w:t>
      </w:r>
      <w:r w:rsidR="004A7DB6">
        <w:rPr>
          <w:rFonts w:ascii="Palatino Linotype" w:hAnsi="Palatino Linotype" w:eastAsia="Palatino Linotype" w:cs="Times New Roman"/>
          <w:bCs/>
          <w:color w:val="000000" w:themeColor="text1"/>
          <w:kern w:val="0"/>
          <w14:ligatures w14:val="none"/>
        </w:rPr>
        <w:t xml:space="preserve"> </w:t>
      </w:r>
      <w:r w:rsidRPr="00D35E13" w:rsidR="004A7DB6">
        <w:rPr>
          <w:rFonts w:ascii="Palatino Linotype" w:hAnsi="Palatino Linotype" w:eastAsia="Palatino Linotype" w:cs="Times New Roman"/>
          <w:bCs/>
          <w:color w:val="000000" w:themeColor="text1"/>
          <w:kern w:val="0"/>
          <w14:ligatures w14:val="none"/>
        </w:rPr>
        <w:t>higher-fidelity data faster—enhancing safety, reliability, and operational efficiency</w:t>
      </w:r>
      <w:r w:rsidRPr="004970BE" w:rsidR="004A7DB6">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Research Topics </w:t>
      </w:r>
      <w:proofErr w:type="gramStart"/>
      <w:r w:rsidRPr="281EEB49" w:rsidR="004A7DB6">
        <w:rPr>
          <w:rFonts w:ascii="Palatino Linotype" w:hAnsi="Palatino Linotype" w:eastAsia="Palatino Linotype" w:cs="Times New Roman"/>
          <w:color w:val="000000" w:themeColor="text1"/>
          <w:kern w:val="0"/>
          <w14:ligatures w14:val="none"/>
        </w:rPr>
        <w:t>include</w:t>
      </w:r>
      <w:r w:rsidR="00A6657A">
        <w:rPr>
          <w:rFonts w:ascii="Palatino Linotype" w:hAnsi="Palatino Linotype" w:eastAsia="Palatino Linotype" w:cs="Times New Roman"/>
          <w:bCs/>
          <w:color w:val="000000" w:themeColor="text1"/>
          <w:kern w:val="0"/>
          <w14:ligatures w14:val="none"/>
        </w:rPr>
        <w:t>:</w:t>
      </w:r>
      <w:proofErr w:type="gramEnd"/>
      <w:r w:rsidR="004A7DB6">
        <w:rPr>
          <w:rFonts w:ascii="Palatino Linotype" w:hAnsi="Palatino Linotype" w:eastAsia="Palatino Linotype" w:cs="Times New Roman"/>
          <w:bCs/>
          <w:color w:val="000000" w:themeColor="text1"/>
          <w:kern w:val="0"/>
          <w14:ligatures w14:val="none"/>
        </w:rPr>
        <w:t xml:space="preserve"> </w:t>
      </w:r>
      <w:r w:rsidRPr="281EEB49" w:rsidR="004A7DB6">
        <w:rPr>
          <w:rFonts w:ascii="Palatino Linotype" w:hAnsi="Palatino Linotype" w:eastAsia="Palatino Linotype" w:cs="Times New Roman"/>
          <w:color w:val="000000" w:themeColor="text1"/>
          <w:kern w:val="0"/>
          <w14:ligatures w14:val="none"/>
        </w:rPr>
        <w:t>advanc</w:t>
      </w:r>
      <w:r w:rsidRPr="281EEB49" w:rsidR="41CD01B1">
        <w:rPr>
          <w:rFonts w:ascii="Palatino Linotype" w:hAnsi="Palatino Linotype" w:eastAsia="Palatino Linotype" w:cs="Times New Roman"/>
          <w:color w:val="000000" w:themeColor="text1"/>
        </w:rPr>
        <w:t>ing</w:t>
      </w:r>
      <w:r w:rsidR="00C450FA">
        <w:rPr>
          <w:rFonts w:ascii="Palatino Linotype" w:hAnsi="Palatino Linotype" w:eastAsia="Palatino Linotype" w:cs="Times New Roman"/>
          <w:color w:val="000000" w:themeColor="text1"/>
        </w:rPr>
        <w:t xml:space="preserve"> </w:t>
      </w:r>
      <w:r w:rsidRPr="36D0653E" w:rsidR="004A7DB6">
        <w:rPr>
          <w:rFonts w:ascii="Palatino Linotype" w:hAnsi="Palatino Linotype" w:eastAsia="Palatino Linotype" w:cs="Times New Roman"/>
          <w:color w:val="000000" w:themeColor="text1"/>
        </w:rPr>
        <w:t xml:space="preserve">(i) </w:t>
      </w:r>
      <w:r w:rsidRPr="281EEB49" w:rsidR="004A7DB6">
        <w:rPr>
          <w:rFonts w:ascii="Palatino Linotype" w:hAnsi="Palatino Linotype" w:eastAsia="Palatino Linotype" w:cs="Times New Roman"/>
          <w:color w:val="000000" w:themeColor="text1"/>
        </w:rPr>
        <w:t xml:space="preserve">pipeline inspection tools, (ii) pipeline infrastructure monitoring technologies, (iii) storage infrastructure inspection and monitoring, and (iv) geohazard monitoring technologies. </w:t>
      </w:r>
      <w:r>
        <w:rPr>
          <w:rFonts w:ascii="Palatino Linotype" w:hAnsi="Palatino Linotype"/>
          <w:color w:val="000000" w:themeColor="text1"/>
        </w:rPr>
        <w:t>SoCalGas</w:t>
      </w:r>
      <w:r w:rsidRPr="281EEB49" w:rsidR="004A7DB6">
        <w:rPr>
          <w:rFonts w:ascii="Palatino Linotype" w:hAnsi="Palatino Linotype" w:eastAsia="Palatino Linotype" w:cs="Times New Roman"/>
          <w:color w:val="000000" w:themeColor="text1"/>
        </w:rPr>
        <w:t xml:space="preserve"> lists potential metrics for tracking and evaluating impacts from the Initiative, including reductions in both monitoring costs associated with remote monitoring vs. traditional in person </w:t>
      </w:r>
      <w:r w:rsidRPr="36D0653E" w:rsidR="004A7DB6">
        <w:rPr>
          <w:rFonts w:ascii="Palatino Linotype" w:hAnsi="Palatino Linotype" w:eastAsia="Palatino Linotype" w:cs="Times New Roman"/>
          <w:color w:val="000000" w:themeColor="text1"/>
        </w:rPr>
        <w:t>monitoring</w:t>
      </w:r>
      <w:r w:rsidRPr="281EEB49" w:rsidR="004A7DB6">
        <w:rPr>
          <w:rFonts w:ascii="Palatino Linotype" w:hAnsi="Palatino Linotype" w:eastAsia="Palatino Linotype" w:cs="Times New Roman"/>
          <w:color w:val="000000" w:themeColor="text1"/>
        </w:rPr>
        <w:t xml:space="preserve"> and inspection costs associated with </w:t>
      </w:r>
      <w:r w:rsidRPr="36D0653E" w:rsidR="004A7DB6">
        <w:rPr>
          <w:rFonts w:ascii="Palatino Linotype" w:hAnsi="Palatino Linotype" w:eastAsia="Palatino Linotype" w:cs="Times New Roman"/>
          <w:color w:val="000000" w:themeColor="text1"/>
        </w:rPr>
        <w:t>new technology</w:t>
      </w:r>
      <w:r w:rsidRPr="281EEB49" w:rsidR="004A7DB6">
        <w:rPr>
          <w:rFonts w:ascii="Palatino Linotype" w:hAnsi="Palatino Linotype" w:eastAsia="Palatino Linotype" w:cs="Times New Roman"/>
          <w:color w:val="000000" w:themeColor="text1"/>
        </w:rPr>
        <w:t xml:space="preserve"> efficiencies. </w:t>
      </w:r>
      <w:r>
        <w:rPr>
          <w:rFonts w:ascii="Palatino Linotype" w:hAnsi="Palatino Linotype"/>
          <w:color w:val="000000" w:themeColor="text1"/>
        </w:rPr>
        <w:t>SoCalGas</w:t>
      </w:r>
      <w:r w:rsidRPr="281EEB49" w:rsidR="00B25228">
        <w:rPr>
          <w:rFonts w:ascii="Palatino Linotype" w:hAnsi="Palatino Linotype" w:eastAsia="Palatino Linotype" w:cs="Times New Roman"/>
          <w:color w:val="000000" w:themeColor="text1"/>
        </w:rPr>
        <w:t xml:space="preserve"> proposes to allocate</w:t>
      </w:r>
      <w:r w:rsidRPr="36D0653E" w:rsidR="00B25228">
        <w:rPr>
          <w:rFonts w:ascii="Palatino Linotype" w:hAnsi="Palatino Linotype" w:eastAsia="Palatino Linotype" w:cs="Times New Roman"/>
          <w:color w:val="000000" w:themeColor="text1"/>
        </w:rPr>
        <w:t xml:space="preserve"> </w:t>
      </w:r>
      <w:r w:rsidRPr="281EEB49" w:rsidR="00E33953">
        <w:rPr>
          <w:rFonts w:ascii="Palatino Linotype" w:hAnsi="Palatino Linotype" w:eastAsia="Palatino Linotype" w:cs="Times New Roman"/>
          <w:color w:val="000000" w:themeColor="text1"/>
        </w:rPr>
        <w:t xml:space="preserve">$2,482,515 </w:t>
      </w:r>
      <w:proofErr w:type="gramStart"/>
      <w:r w:rsidRPr="281EEB49" w:rsidR="00B25228">
        <w:rPr>
          <w:rFonts w:ascii="Palatino Linotype" w:hAnsi="Palatino Linotype" w:eastAsia="Palatino Linotype" w:cs="Times New Roman"/>
          <w:color w:val="000000" w:themeColor="text1"/>
        </w:rPr>
        <w:t>in</w:t>
      </w:r>
      <w:proofErr w:type="gramEnd"/>
      <w:r w:rsidRPr="281EEB49" w:rsidR="00B25228">
        <w:rPr>
          <w:rFonts w:ascii="Palatino Linotype" w:hAnsi="Palatino Linotype" w:eastAsia="Palatino Linotype" w:cs="Times New Roman"/>
          <w:color w:val="000000" w:themeColor="text1"/>
        </w:rPr>
        <w:t xml:space="preserve"> its 202</w:t>
      </w:r>
      <w:r w:rsidRPr="281EEB49" w:rsidR="00E33953">
        <w:rPr>
          <w:rFonts w:ascii="Palatino Linotype" w:hAnsi="Palatino Linotype" w:eastAsia="Palatino Linotype" w:cs="Times New Roman"/>
          <w:color w:val="000000" w:themeColor="text1"/>
        </w:rPr>
        <w:t>5</w:t>
      </w:r>
      <w:r w:rsidRPr="281EEB49" w:rsidR="00B25228">
        <w:rPr>
          <w:rFonts w:ascii="Palatino Linotype" w:hAnsi="Palatino Linotype" w:eastAsia="Palatino Linotype" w:cs="Times New Roman"/>
          <w:color w:val="000000" w:themeColor="text1"/>
        </w:rPr>
        <w:t xml:space="preserve"> Plan.</w:t>
      </w:r>
    </w:p>
    <w:p w:rsidRPr="004970BE" w:rsidR="00B25228" w:rsidP="00B25228" w:rsidRDefault="00B25228" w14:paraId="699AF12A"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3A2B75" w:rsidP="00477204" w:rsidRDefault="00502079" w14:paraId="058DB107" w14:textId="573FED2F">
      <w:pPr>
        <w:pStyle w:val="ListParagraph"/>
        <w:numPr>
          <w:ilvl w:val="0"/>
          <w:numId w:val="15"/>
        </w:numPr>
        <w:spacing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bCs/>
          <w:color w:val="000000" w:themeColor="text1"/>
          <w:kern w:val="0"/>
          <w14:ligatures w14:val="none"/>
        </w:rPr>
        <w:t xml:space="preserve">RNG </w:t>
      </w:r>
      <w:r w:rsidRPr="004970BE" w:rsidR="003A2B75">
        <w:rPr>
          <w:rFonts w:ascii="Palatino Linotype" w:hAnsi="Palatino Linotype" w:eastAsia="Palatino Linotype" w:cs="Times New Roman"/>
          <w:bCs/>
          <w:color w:val="000000" w:themeColor="text1"/>
          <w:kern w:val="0"/>
          <w14:ligatures w14:val="none"/>
        </w:rPr>
        <w:t>Infrastructure Optimization</w:t>
      </w:r>
      <w:r w:rsidR="00186164">
        <w:rPr>
          <w:rStyle w:val="FootnoteReference"/>
          <w:rFonts w:ascii="Palatino Linotype" w:hAnsi="Palatino Linotype" w:eastAsia="Palatino Linotype" w:cs="Times New Roman"/>
          <w:bCs/>
          <w:color w:val="000000" w:themeColor="text1"/>
          <w:kern w:val="0"/>
          <w14:ligatures w14:val="none"/>
        </w:rPr>
        <w:footnoteReference w:id="40"/>
      </w:r>
    </w:p>
    <w:p w:rsidRPr="004A7DB6" w:rsidR="00B25228" w:rsidP="004A7DB6" w:rsidRDefault="004C5DEA" w14:paraId="35E94AEA" w14:textId="085412A0">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A7DB6" w:rsidR="004A7DB6">
        <w:rPr>
          <w:rFonts w:ascii="Palatino Linotype" w:hAnsi="Palatino Linotype" w:eastAsia="Palatino Linotype" w:cs="Times New Roman"/>
          <w:bCs/>
          <w:color w:val="000000" w:themeColor="text1"/>
          <w:kern w:val="0"/>
          <w14:ligatures w14:val="none"/>
        </w:rPr>
        <w:t xml:space="preserve"> states that it seeks to develop projects within the RNG Infrastructure Optimization Initiative to increase the supply of affordable, safe, and reliable RNG with technologies that lower RNG interconnection and integration costs. Research Topics include</w:t>
      </w:r>
      <w:r w:rsidR="00207085">
        <w:rPr>
          <w:rFonts w:ascii="Palatino Linotype" w:hAnsi="Palatino Linotype" w:eastAsia="Palatino Linotype" w:cs="Times New Roman"/>
          <w:bCs/>
          <w:color w:val="000000" w:themeColor="text1"/>
          <w:kern w:val="0"/>
          <w14:ligatures w14:val="none"/>
        </w:rPr>
        <w:t>:</w:t>
      </w:r>
      <w:r w:rsidRPr="004A7DB6" w:rsidR="004A7DB6">
        <w:rPr>
          <w:rFonts w:ascii="Palatino Linotype" w:hAnsi="Palatino Linotype" w:eastAsia="Palatino Linotype" w:cs="Times New Roman"/>
          <w:bCs/>
          <w:color w:val="000000" w:themeColor="text1"/>
          <w:kern w:val="0"/>
          <w14:ligatures w14:val="none"/>
        </w:rPr>
        <w:t xml:space="preserve"> (i) advanced interconnection design, (ii) pipeline utilization strategies, and (iii) improve system efficiency. </w:t>
      </w:r>
      <w:r>
        <w:rPr>
          <w:rFonts w:ascii="Palatino Linotype" w:hAnsi="Palatino Linotype"/>
          <w:color w:val="000000" w:themeColor="text1"/>
        </w:rPr>
        <w:t>SoCalGas</w:t>
      </w:r>
      <w:r w:rsidRPr="004A7DB6" w:rsidR="004A7DB6">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reductions in GHG emissions and operations and maintenance and capital costs. </w:t>
      </w:r>
      <w:r w:rsidRPr="004A7DB6" w:rsidR="00B25228">
        <w:rPr>
          <w:rFonts w:ascii="Palatino Linotype" w:hAnsi="Palatino Linotype" w:eastAsia="Palatino Linotype" w:cs="Times New Roman"/>
          <w:bCs/>
          <w:color w:val="000000" w:themeColor="text1"/>
          <w:kern w:val="0"/>
          <w14:ligatures w14:val="none"/>
        </w:rPr>
        <w:t>S</w:t>
      </w:r>
      <w:r w:rsidR="0091576A">
        <w:rPr>
          <w:rFonts w:ascii="Palatino Linotype" w:hAnsi="Palatino Linotype" w:eastAsia="Palatino Linotype" w:cs="Times New Roman"/>
          <w:bCs/>
          <w:color w:val="000000" w:themeColor="text1"/>
          <w:kern w:val="0"/>
          <w14:ligatures w14:val="none"/>
        </w:rPr>
        <w:t>oCalGas</w:t>
      </w:r>
      <w:r w:rsidRPr="004A7DB6" w:rsidR="00B25228">
        <w:rPr>
          <w:rFonts w:ascii="Palatino Linotype" w:hAnsi="Palatino Linotype" w:eastAsia="Palatino Linotype" w:cs="Times New Roman"/>
          <w:bCs/>
          <w:color w:val="000000" w:themeColor="text1"/>
          <w:kern w:val="0"/>
          <w14:ligatures w14:val="none"/>
        </w:rPr>
        <w:t xml:space="preserve"> proposes to allocate </w:t>
      </w:r>
      <w:r w:rsidRPr="004A7DB6" w:rsidR="00C53617">
        <w:rPr>
          <w:rFonts w:ascii="Palatino Linotype" w:hAnsi="Palatino Linotype" w:eastAsia="Palatino Linotype" w:cs="Times New Roman"/>
          <w:bCs/>
          <w:color w:val="000000" w:themeColor="text1"/>
          <w:kern w:val="0"/>
          <w14:ligatures w14:val="none"/>
        </w:rPr>
        <w:t xml:space="preserve">$2,534,522 </w:t>
      </w:r>
      <w:r w:rsidRPr="004A7DB6" w:rsidR="00B25228">
        <w:rPr>
          <w:rFonts w:ascii="Palatino Linotype" w:hAnsi="Palatino Linotype" w:eastAsia="Palatino Linotype" w:cs="Times New Roman"/>
          <w:bCs/>
          <w:color w:val="000000" w:themeColor="text1"/>
          <w:kern w:val="0"/>
          <w14:ligatures w14:val="none"/>
        </w:rPr>
        <w:t>in its 202</w:t>
      </w:r>
      <w:r w:rsidRPr="004A7DB6" w:rsidR="00C53617">
        <w:rPr>
          <w:rFonts w:ascii="Palatino Linotype" w:hAnsi="Palatino Linotype" w:eastAsia="Palatino Linotype" w:cs="Times New Roman"/>
          <w:bCs/>
          <w:color w:val="000000" w:themeColor="text1"/>
          <w:kern w:val="0"/>
          <w14:ligatures w14:val="none"/>
        </w:rPr>
        <w:t>5</w:t>
      </w:r>
      <w:r w:rsidRPr="004A7DB6" w:rsidR="00B25228">
        <w:rPr>
          <w:rFonts w:ascii="Palatino Linotype" w:hAnsi="Palatino Linotype" w:eastAsia="Palatino Linotype" w:cs="Times New Roman"/>
          <w:bCs/>
          <w:color w:val="000000" w:themeColor="text1"/>
          <w:kern w:val="0"/>
          <w14:ligatures w14:val="none"/>
        </w:rPr>
        <w:t xml:space="preserve"> Plan.</w:t>
      </w:r>
    </w:p>
    <w:p w:rsidRPr="004970BE" w:rsidR="00B25228" w:rsidP="00B25228" w:rsidRDefault="00B25228" w14:paraId="5C7DA541" w14:textId="77777777">
      <w:pPr>
        <w:spacing w:after="0" w:line="276" w:lineRule="auto"/>
        <w:rPr>
          <w:rFonts w:ascii="Palatino Linotype" w:hAnsi="Palatino Linotype" w:eastAsia="Palatino Linotype" w:cs="Times New Roman"/>
          <w:bCs/>
          <w:color w:val="000000" w:themeColor="text1"/>
          <w:kern w:val="0"/>
          <w14:ligatures w14:val="none"/>
        </w:rPr>
      </w:pPr>
    </w:p>
    <w:p w:rsidRPr="004970BE" w:rsidR="00B25228" w:rsidP="00B25228" w:rsidRDefault="00B25228" w14:paraId="5B399E1B" w14:textId="77777777">
      <w:pPr>
        <w:spacing w:after="0" w:line="276" w:lineRule="auto"/>
        <w:rPr>
          <w:rFonts w:ascii="Palatino Linotype" w:hAnsi="Palatino Linotype" w:eastAsia="Palatino Linotype" w:cs="Times New Roman"/>
          <w:bCs/>
          <w:i/>
          <w:iCs/>
          <w:color w:val="000000" w:themeColor="text1"/>
          <w:kern w:val="0"/>
          <w14:ligatures w14:val="none"/>
        </w:rPr>
      </w:pPr>
      <w:r w:rsidRPr="004970BE">
        <w:rPr>
          <w:rFonts w:ascii="Palatino Linotype" w:hAnsi="Palatino Linotype" w:eastAsia="Palatino Linotype" w:cs="Times New Roman"/>
          <w:bCs/>
          <w:i/>
          <w:iCs/>
          <w:color w:val="000000" w:themeColor="text1"/>
          <w:kern w:val="0"/>
          <w14:ligatures w14:val="none"/>
        </w:rPr>
        <w:t xml:space="preserve">Decarbonization Theme Proposed Initiatives </w:t>
      </w:r>
    </w:p>
    <w:p w:rsidRPr="004970BE" w:rsidR="00B25228" w:rsidP="00B25228" w:rsidRDefault="00B25228" w14:paraId="4C735670" w14:textId="77777777">
      <w:pPr>
        <w:spacing w:after="0" w:line="276" w:lineRule="auto"/>
        <w:rPr>
          <w:rFonts w:ascii="Palatino Linotype" w:hAnsi="Palatino Linotype" w:eastAsia="Palatino Linotype" w:cs="Times New Roman"/>
          <w:bCs/>
          <w:color w:val="000000" w:themeColor="text1"/>
          <w:kern w:val="0"/>
          <w14:ligatures w14:val="none"/>
        </w:rPr>
      </w:pPr>
    </w:p>
    <w:p w:rsidRPr="004970BE" w:rsidR="00B25228" w:rsidP="00B25228" w:rsidRDefault="004C5DEA" w14:paraId="7FC7DE5A" w14:textId="763F3458">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it seeks to develop Initiatives within the Gas System Integrity Theme to </w:t>
      </w:r>
      <w:r w:rsidR="004A7DB6">
        <w:rPr>
          <w:rFonts w:ascii="Palatino Linotype" w:hAnsi="Palatino Linotype" w:eastAsia="Palatino Linotype" w:cs="Times New Roman"/>
          <w:bCs/>
          <w:color w:val="000000" w:themeColor="text1"/>
          <w:kern w:val="0"/>
          <w14:ligatures w14:val="none"/>
        </w:rPr>
        <w:t>“</w:t>
      </w:r>
      <w:r w:rsidRPr="00FE76D6" w:rsidR="004A7DB6">
        <w:rPr>
          <w:rFonts w:ascii="Palatino Linotype" w:hAnsi="Palatino Linotype" w:eastAsia="Palatino Linotype" w:cs="Times New Roman"/>
          <w:bCs/>
          <w:color w:val="000000" w:themeColor="text1"/>
          <w:kern w:val="0"/>
          <w14:ligatures w14:val="none"/>
        </w:rPr>
        <w:t>advance technologies that improve the affordability, availability, reliability,</w:t>
      </w:r>
      <w:r w:rsidR="004A7DB6">
        <w:rPr>
          <w:rFonts w:ascii="Palatino Linotype" w:hAnsi="Palatino Linotype" w:eastAsia="Palatino Linotype" w:cs="Times New Roman"/>
          <w:bCs/>
          <w:color w:val="000000" w:themeColor="text1"/>
          <w:kern w:val="0"/>
          <w14:ligatures w14:val="none"/>
        </w:rPr>
        <w:t xml:space="preserve"> </w:t>
      </w:r>
      <w:r w:rsidRPr="00FE76D6" w:rsidR="004A7DB6">
        <w:rPr>
          <w:rFonts w:ascii="Palatino Linotype" w:hAnsi="Palatino Linotype" w:eastAsia="Palatino Linotype" w:cs="Times New Roman"/>
          <w:bCs/>
          <w:color w:val="000000" w:themeColor="text1"/>
          <w:kern w:val="0"/>
          <w14:ligatures w14:val="none"/>
        </w:rPr>
        <w:t>and integration of low-carbon fuels and energy systems for SoCalGas customers</w:t>
      </w:r>
      <w:r w:rsidR="004A7DB6">
        <w:rPr>
          <w:rFonts w:ascii="Palatino Linotype" w:hAnsi="Palatino Linotype" w:eastAsia="Palatino Linotype" w:cs="Times New Roman"/>
          <w:bCs/>
          <w:color w:val="000000" w:themeColor="text1"/>
          <w:kern w:val="0"/>
          <w14:ligatures w14:val="none"/>
        </w:rPr>
        <w:t xml:space="preserve">… [and] </w:t>
      </w:r>
      <w:r w:rsidRPr="00FE76D6" w:rsidR="004A7DB6">
        <w:rPr>
          <w:rFonts w:ascii="Palatino Linotype" w:hAnsi="Palatino Linotype" w:eastAsia="Palatino Linotype" w:cs="Times New Roman"/>
          <w:bCs/>
          <w:color w:val="000000" w:themeColor="text1"/>
          <w:kern w:val="0"/>
          <w14:ligatures w14:val="none"/>
        </w:rPr>
        <w:t>accelerate the development and deployment of solutions that support</w:t>
      </w:r>
      <w:r w:rsidR="004A7DB6">
        <w:rPr>
          <w:rFonts w:ascii="Palatino Linotype" w:hAnsi="Palatino Linotype" w:eastAsia="Palatino Linotype" w:cs="Times New Roman"/>
          <w:bCs/>
          <w:color w:val="000000" w:themeColor="text1"/>
          <w:kern w:val="0"/>
          <w14:ligatures w14:val="none"/>
        </w:rPr>
        <w:t xml:space="preserve"> </w:t>
      </w:r>
      <w:r w:rsidRPr="00FE76D6" w:rsidR="004A7DB6">
        <w:rPr>
          <w:rFonts w:ascii="Palatino Linotype" w:hAnsi="Palatino Linotype" w:eastAsia="Palatino Linotype" w:cs="Times New Roman"/>
          <w:bCs/>
          <w:color w:val="000000" w:themeColor="text1"/>
          <w:kern w:val="0"/>
          <w14:ligatures w14:val="none"/>
        </w:rPr>
        <w:t xml:space="preserve">California’s </w:t>
      </w:r>
      <w:r w:rsidRPr="00FE76D6" w:rsidR="004A7DB6">
        <w:rPr>
          <w:rFonts w:ascii="Palatino Linotype" w:hAnsi="Palatino Linotype" w:eastAsia="Palatino Linotype" w:cs="Times New Roman"/>
          <w:bCs/>
          <w:color w:val="000000" w:themeColor="text1"/>
          <w:kern w:val="0"/>
          <w14:ligatures w14:val="none"/>
        </w:rPr>
        <w:lastRenderedPageBreak/>
        <w:t>climate and</w:t>
      </w:r>
      <w:r w:rsidR="004A7DB6">
        <w:rPr>
          <w:rFonts w:ascii="Palatino Linotype" w:hAnsi="Palatino Linotype" w:eastAsia="Palatino Linotype" w:cs="Times New Roman"/>
          <w:bCs/>
          <w:color w:val="000000" w:themeColor="text1"/>
          <w:kern w:val="0"/>
          <w14:ligatures w14:val="none"/>
        </w:rPr>
        <w:t xml:space="preserve"> </w:t>
      </w:r>
      <w:r w:rsidRPr="00FE76D6" w:rsidR="004A7DB6">
        <w:rPr>
          <w:rFonts w:ascii="Palatino Linotype" w:hAnsi="Palatino Linotype" w:eastAsia="Palatino Linotype" w:cs="Times New Roman"/>
          <w:bCs/>
          <w:color w:val="000000" w:themeColor="text1"/>
          <w:kern w:val="0"/>
          <w14:ligatures w14:val="none"/>
        </w:rPr>
        <w:t>energy goals, particularly through the integration of renewable fuels, advanced storage technologies, and</w:t>
      </w:r>
      <w:r w:rsidR="004A7DB6">
        <w:rPr>
          <w:rFonts w:ascii="Palatino Linotype" w:hAnsi="Palatino Linotype" w:eastAsia="Palatino Linotype" w:cs="Times New Roman"/>
          <w:bCs/>
          <w:color w:val="000000" w:themeColor="text1"/>
          <w:kern w:val="0"/>
          <w14:ligatures w14:val="none"/>
        </w:rPr>
        <w:t xml:space="preserve"> </w:t>
      </w:r>
      <w:r w:rsidRPr="00FE76D6" w:rsidR="004A7DB6">
        <w:rPr>
          <w:rFonts w:ascii="Palatino Linotype" w:hAnsi="Palatino Linotype" w:eastAsia="Palatino Linotype" w:cs="Times New Roman"/>
          <w:bCs/>
          <w:color w:val="000000" w:themeColor="text1"/>
          <w:kern w:val="0"/>
          <w14:ligatures w14:val="none"/>
        </w:rPr>
        <w:t>emissions-reducing systems.</w:t>
      </w:r>
      <w:r w:rsidR="004A7DB6">
        <w:rPr>
          <w:rFonts w:ascii="Palatino Linotype" w:hAnsi="Palatino Linotype" w:eastAsia="Palatino Linotype" w:cs="Times New Roman"/>
          <w:bCs/>
          <w:color w:val="000000" w:themeColor="text1"/>
          <w:kern w:val="0"/>
          <w14:ligatures w14:val="none"/>
        </w:rPr>
        <w:t>”</w:t>
      </w:r>
      <w:r w:rsidR="004A7DB6">
        <w:rPr>
          <w:rStyle w:val="FootnoteReference"/>
          <w:rFonts w:ascii="Palatino Linotype" w:hAnsi="Palatino Linotype" w:eastAsia="Palatino Linotype" w:cs="Times New Roman"/>
          <w:bCs/>
          <w:color w:val="000000" w:themeColor="text1"/>
          <w:kern w:val="0"/>
          <w14:ligatures w14:val="none"/>
        </w:rPr>
        <w:footnoteReference w:id="41"/>
      </w:r>
    </w:p>
    <w:p w:rsidRPr="004970BE" w:rsidR="00B25228" w:rsidP="00B25228" w:rsidRDefault="00B25228" w14:paraId="31AA1077" w14:textId="77777777">
      <w:pPr>
        <w:spacing w:after="0" w:line="276" w:lineRule="auto"/>
        <w:rPr>
          <w:rFonts w:ascii="Palatino Linotype" w:hAnsi="Palatino Linotype" w:eastAsia="Palatino Linotype" w:cs="Times New Roman"/>
          <w:bCs/>
          <w:color w:val="000000" w:themeColor="text1"/>
          <w:kern w:val="0"/>
          <w14:ligatures w14:val="none"/>
        </w:rPr>
      </w:pPr>
    </w:p>
    <w:p w:rsidRPr="004970BE" w:rsidR="00B25228" w:rsidP="00477204" w:rsidRDefault="00B25228" w14:paraId="6446831D" w14:textId="0DC742A9">
      <w:pPr>
        <w:pStyle w:val="ListParagraph"/>
        <w:numPr>
          <w:ilvl w:val="0"/>
          <w:numId w:val="16"/>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Low-Carbon Fuels Technologies</w:t>
      </w:r>
      <w:r w:rsidR="00186164">
        <w:rPr>
          <w:rStyle w:val="FootnoteReference"/>
          <w:rFonts w:ascii="Palatino Linotype" w:hAnsi="Palatino Linotype" w:eastAsia="Palatino Linotype" w:cs="Times New Roman"/>
          <w:bCs/>
          <w:color w:val="000000" w:themeColor="text1"/>
          <w:kern w:val="0"/>
          <w14:ligatures w14:val="none"/>
        </w:rPr>
        <w:footnoteReference w:id="42"/>
      </w:r>
    </w:p>
    <w:p w:rsidRPr="001D3D47" w:rsidR="00B25228" w:rsidP="00B25228" w:rsidRDefault="004C5DEA" w14:paraId="0020E03B" w14:textId="673C4245">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1D3D47" w:rsidR="004A7DB6">
        <w:rPr>
          <w:rFonts w:ascii="Palatino Linotype" w:hAnsi="Palatino Linotype" w:eastAsia="Palatino Linotype" w:cs="Times New Roman"/>
          <w:bCs/>
          <w:color w:val="000000" w:themeColor="text1"/>
          <w:kern w:val="0"/>
          <w14:ligatures w14:val="none"/>
        </w:rPr>
        <w:t xml:space="preserve"> states that it seeks to develop projects within the</w:t>
      </w:r>
      <w:r w:rsidR="004A7DB6">
        <w:t xml:space="preserve"> </w:t>
      </w:r>
      <w:r w:rsidRPr="006C5734" w:rsidR="004A7DB6">
        <w:rPr>
          <w:rFonts w:ascii="Palatino Linotype" w:hAnsi="Palatino Linotype" w:eastAsia="Palatino Linotype" w:cs="Times New Roman"/>
          <w:bCs/>
          <w:color w:val="000000" w:themeColor="text1"/>
          <w:kern w:val="0"/>
          <w14:ligatures w14:val="none"/>
        </w:rPr>
        <w:t>Low-Carbon Fuels Technologies</w:t>
      </w:r>
      <w:r w:rsidRPr="001D3D47" w:rsidR="004A7DB6">
        <w:rPr>
          <w:rFonts w:ascii="Palatino Linotype" w:hAnsi="Palatino Linotype" w:eastAsia="Palatino Linotype" w:cs="Times New Roman"/>
          <w:bCs/>
          <w:color w:val="000000" w:themeColor="text1"/>
          <w:kern w:val="0"/>
          <w14:ligatures w14:val="none"/>
        </w:rPr>
        <w:t xml:space="preserve"> Initiative to </w:t>
      </w:r>
      <w:r w:rsidR="004A7DB6">
        <w:rPr>
          <w:rFonts w:ascii="Palatino Linotype" w:hAnsi="Palatino Linotype" w:eastAsia="Palatino Linotype" w:cs="Times New Roman"/>
          <w:bCs/>
          <w:color w:val="000000" w:themeColor="text1"/>
          <w:kern w:val="0"/>
          <w14:ligatures w14:val="none"/>
        </w:rPr>
        <w:t>develop</w:t>
      </w:r>
      <w:r w:rsidRPr="0032424D" w:rsidR="004A7DB6">
        <w:rPr>
          <w:rFonts w:ascii="Palatino Linotype" w:hAnsi="Palatino Linotype" w:eastAsia="Palatino Linotype" w:cs="Times New Roman"/>
          <w:bCs/>
          <w:color w:val="000000" w:themeColor="text1"/>
          <w:kern w:val="0"/>
          <w14:ligatures w14:val="none"/>
        </w:rPr>
        <w:t xml:space="preserve"> and demonstrat</w:t>
      </w:r>
      <w:r w:rsidR="004A7DB6">
        <w:rPr>
          <w:rFonts w:ascii="Palatino Linotype" w:hAnsi="Palatino Linotype" w:eastAsia="Palatino Linotype" w:cs="Times New Roman"/>
          <w:bCs/>
          <w:color w:val="000000" w:themeColor="text1"/>
          <w:kern w:val="0"/>
          <w14:ligatures w14:val="none"/>
        </w:rPr>
        <w:t>e</w:t>
      </w:r>
      <w:r w:rsidRPr="0032424D" w:rsidR="004A7DB6">
        <w:rPr>
          <w:rFonts w:ascii="Palatino Linotype" w:hAnsi="Palatino Linotype" w:eastAsia="Palatino Linotype" w:cs="Times New Roman"/>
          <w:bCs/>
          <w:color w:val="000000" w:themeColor="text1"/>
          <w:kern w:val="0"/>
          <w14:ligatures w14:val="none"/>
        </w:rPr>
        <w:t xml:space="preserve"> technologies that can produce low</w:t>
      </w:r>
      <w:r w:rsidR="004A7DB6">
        <w:rPr>
          <w:rFonts w:ascii="Palatino Linotype" w:hAnsi="Palatino Linotype" w:eastAsia="Palatino Linotype" w:cs="Times New Roman"/>
          <w:bCs/>
          <w:color w:val="000000" w:themeColor="text1"/>
          <w:kern w:val="0"/>
          <w14:ligatures w14:val="none"/>
        </w:rPr>
        <w:t>-</w:t>
      </w:r>
      <w:r w:rsidRPr="0032424D" w:rsidR="004A7DB6">
        <w:rPr>
          <w:rFonts w:ascii="Palatino Linotype" w:hAnsi="Palatino Linotype" w:eastAsia="Palatino Linotype" w:cs="Times New Roman"/>
          <w:bCs/>
          <w:color w:val="000000" w:themeColor="text1"/>
          <w:kern w:val="0"/>
          <w14:ligatures w14:val="none"/>
        </w:rPr>
        <w:t>carbon</w:t>
      </w:r>
      <w:r w:rsidR="004A7DB6">
        <w:rPr>
          <w:rFonts w:ascii="Palatino Linotype" w:hAnsi="Palatino Linotype" w:eastAsia="Palatino Linotype" w:cs="Times New Roman"/>
          <w:bCs/>
          <w:color w:val="000000" w:themeColor="text1"/>
          <w:kern w:val="0"/>
          <w14:ligatures w14:val="none"/>
        </w:rPr>
        <w:t xml:space="preserve"> </w:t>
      </w:r>
      <w:r w:rsidRPr="0032424D" w:rsidR="004A7DB6">
        <w:rPr>
          <w:rFonts w:ascii="Palatino Linotype" w:hAnsi="Palatino Linotype" w:eastAsia="Palatino Linotype" w:cs="Times New Roman"/>
          <w:bCs/>
          <w:color w:val="000000" w:themeColor="text1"/>
          <w:kern w:val="0"/>
          <w14:ligatures w14:val="none"/>
        </w:rPr>
        <w:t>fuels at lower cost</w:t>
      </w:r>
      <w:r w:rsidR="004A7DB6">
        <w:rPr>
          <w:rFonts w:ascii="Palatino Linotype" w:hAnsi="Palatino Linotype" w:eastAsia="Palatino Linotype" w:cs="Times New Roman"/>
          <w:bCs/>
          <w:color w:val="000000" w:themeColor="text1"/>
          <w:kern w:val="0"/>
          <w14:ligatures w14:val="none"/>
        </w:rPr>
        <w:t>. Research Topics include</w:t>
      </w:r>
      <w:r w:rsidR="00D94146">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(i) </w:t>
      </w:r>
      <w:r w:rsidRPr="00E14C85" w:rsidR="004A7DB6">
        <w:rPr>
          <w:rFonts w:ascii="Palatino Linotype" w:hAnsi="Palatino Linotype" w:eastAsia="Palatino Linotype" w:cs="Times New Roman"/>
          <w:color w:val="000000" w:themeColor="text1"/>
          <w:kern w:val="0"/>
          <w14:ligatures w14:val="none"/>
        </w:rPr>
        <w:t>advancing RNG production systems</w:t>
      </w:r>
      <w:r w:rsidR="004A7DB6">
        <w:rPr>
          <w:rFonts w:ascii="Palatino Linotype" w:hAnsi="Palatino Linotype" w:eastAsia="Palatino Linotype" w:cs="Times New Roman"/>
          <w:color w:val="000000" w:themeColor="text1"/>
          <w:kern w:val="0"/>
          <w14:ligatures w14:val="none"/>
        </w:rPr>
        <w:t>, (ii) s</w:t>
      </w:r>
      <w:r w:rsidRPr="00E14C85" w:rsidR="004A7DB6">
        <w:rPr>
          <w:rFonts w:ascii="Palatino Linotype" w:hAnsi="Palatino Linotype" w:eastAsia="Palatino Linotype" w:cs="Times New Roman"/>
          <w:color w:val="000000" w:themeColor="text1"/>
          <w:kern w:val="0"/>
          <w14:ligatures w14:val="none"/>
        </w:rPr>
        <w:t>caling transformative technologies</w:t>
      </w:r>
      <w:r w:rsidR="004A7DB6">
        <w:rPr>
          <w:rFonts w:ascii="Palatino Linotype" w:hAnsi="Palatino Linotype" w:eastAsia="Palatino Linotype" w:cs="Times New Roman"/>
          <w:color w:val="000000" w:themeColor="text1"/>
          <w:kern w:val="0"/>
          <w14:ligatures w14:val="none"/>
        </w:rPr>
        <w:t>, (iii) i</w:t>
      </w:r>
      <w:r w:rsidRPr="00867749" w:rsidR="004A7DB6">
        <w:rPr>
          <w:rFonts w:ascii="Palatino Linotype" w:hAnsi="Palatino Linotype" w:eastAsia="Palatino Linotype" w:cs="Times New Roman"/>
          <w:color w:val="000000" w:themeColor="text1"/>
          <w:kern w:val="0"/>
          <w14:ligatures w14:val="none"/>
        </w:rPr>
        <w:t>mproving durability and performance</w:t>
      </w:r>
      <w:r w:rsidR="004A7DB6">
        <w:rPr>
          <w:rFonts w:ascii="Palatino Linotype" w:hAnsi="Palatino Linotype" w:eastAsia="Palatino Linotype" w:cs="Times New Roman"/>
          <w:color w:val="000000" w:themeColor="text1"/>
          <w:kern w:val="0"/>
          <w14:ligatures w14:val="none"/>
        </w:rPr>
        <w:t>, and (iv) l</w:t>
      </w:r>
      <w:r w:rsidRPr="00867749" w:rsidR="004A7DB6">
        <w:rPr>
          <w:rFonts w:ascii="Palatino Linotype" w:hAnsi="Palatino Linotype" w:eastAsia="Palatino Linotype" w:cs="Times New Roman"/>
          <w:color w:val="000000" w:themeColor="text1"/>
          <w:kern w:val="0"/>
          <w14:ligatures w14:val="none"/>
        </w:rPr>
        <w:t>owering cost through manufacturing innovation</w:t>
      </w:r>
      <w:r w:rsidR="004A7DB6">
        <w:rPr>
          <w:rFonts w:ascii="Palatino Linotype" w:hAnsi="Palatino Linotype" w:eastAsia="Palatino Linotype" w:cs="Times New Roman"/>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S</w:t>
      </w:r>
      <w:r w:rsidR="0091576A">
        <w:rPr>
          <w:rFonts w:ascii="Palatino Linotype" w:hAnsi="Palatino Linotype" w:eastAsia="Palatino Linotype" w:cs="Times New Roman"/>
          <w:bCs/>
          <w:color w:val="000000" w:themeColor="text1"/>
          <w:kern w:val="0"/>
          <w14:ligatures w14:val="none"/>
        </w:rPr>
        <w:t>oCalGas</w:t>
      </w:r>
      <w:r w:rsidR="004A7DB6">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reductions in GHG and criteria pollutant emissions and operations and maintenance and capital costs. </w:t>
      </w:r>
      <w:r>
        <w:rPr>
          <w:rFonts w:ascii="Palatino Linotype" w:hAnsi="Palatino Linotype"/>
          <w:color w:val="000000" w:themeColor="text1"/>
        </w:rPr>
        <w:t>SoCalGas</w:t>
      </w:r>
      <w:r w:rsidRPr="001D3D47" w:rsidR="00B25228">
        <w:rPr>
          <w:rFonts w:ascii="Palatino Linotype" w:hAnsi="Palatino Linotype" w:eastAsia="Palatino Linotype" w:cs="Times New Roman"/>
          <w:bCs/>
          <w:color w:val="000000" w:themeColor="text1"/>
          <w:kern w:val="0"/>
          <w14:ligatures w14:val="none"/>
        </w:rPr>
        <w:t xml:space="preserve"> proposes to allocate </w:t>
      </w:r>
      <w:r w:rsidRPr="00E32C6D" w:rsidR="00E32C6D">
        <w:rPr>
          <w:rFonts w:ascii="Palatino Linotype" w:hAnsi="Palatino Linotype" w:eastAsia="Palatino Linotype" w:cs="Times New Roman"/>
          <w:bCs/>
          <w:color w:val="000000" w:themeColor="text1"/>
          <w:kern w:val="0"/>
          <w14:ligatures w14:val="none"/>
        </w:rPr>
        <w:t>$2,482,515</w:t>
      </w:r>
      <w:r w:rsidR="00E32C6D">
        <w:rPr>
          <w:rFonts w:ascii="Palatino Linotype" w:hAnsi="Palatino Linotype" w:eastAsia="Palatino Linotype" w:cs="Times New Roman"/>
          <w:bCs/>
          <w:color w:val="000000" w:themeColor="text1"/>
          <w:kern w:val="0"/>
          <w14:ligatures w14:val="none"/>
        </w:rPr>
        <w:t xml:space="preserve"> </w:t>
      </w:r>
      <w:proofErr w:type="gramStart"/>
      <w:r w:rsidRPr="001D3D47" w:rsidR="00B25228">
        <w:rPr>
          <w:rFonts w:ascii="Palatino Linotype" w:hAnsi="Palatino Linotype" w:eastAsia="Palatino Linotype" w:cs="Times New Roman"/>
          <w:bCs/>
          <w:color w:val="000000" w:themeColor="text1"/>
          <w:kern w:val="0"/>
          <w14:ligatures w14:val="none"/>
        </w:rPr>
        <w:t>in</w:t>
      </w:r>
      <w:proofErr w:type="gramEnd"/>
      <w:r w:rsidRPr="001D3D47" w:rsidR="00B25228">
        <w:rPr>
          <w:rFonts w:ascii="Palatino Linotype" w:hAnsi="Palatino Linotype" w:eastAsia="Palatino Linotype" w:cs="Times New Roman"/>
          <w:bCs/>
          <w:color w:val="000000" w:themeColor="text1"/>
          <w:kern w:val="0"/>
          <w14:ligatures w14:val="none"/>
        </w:rPr>
        <w:t xml:space="preserve"> its 202</w:t>
      </w:r>
      <w:r w:rsidR="00B25228">
        <w:rPr>
          <w:rFonts w:ascii="Palatino Linotype" w:hAnsi="Palatino Linotype" w:eastAsia="Palatino Linotype" w:cs="Times New Roman"/>
          <w:bCs/>
          <w:color w:val="000000" w:themeColor="text1"/>
          <w:kern w:val="0"/>
          <w14:ligatures w14:val="none"/>
        </w:rPr>
        <w:t>5</w:t>
      </w:r>
      <w:r w:rsidRPr="001D3D47" w:rsidR="00B25228">
        <w:rPr>
          <w:rFonts w:ascii="Palatino Linotype" w:hAnsi="Palatino Linotype" w:eastAsia="Palatino Linotype" w:cs="Times New Roman"/>
          <w:bCs/>
          <w:color w:val="000000" w:themeColor="text1"/>
          <w:kern w:val="0"/>
          <w14:ligatures w14:val="none"/>
        </w:rPr>
        <w:t xml:space="preserve"> Plan.</w:t>
      </w:r>
    </w:p>
    <w:p w:rsidRPr="004970BE" w:rsidR="00B25228" w:rsidP="00B25228" w:rsidRDefault="00B25228" w14:paraId="2FE678D0"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B25228" w:rsidP="00477204" w:rsidRDefault="00B25228" w14:paraId="37B59323" w14:textId="4A11ED11">
      <w:pPr>
        <w:pStyle w:val="ListParagraph"/>
        <w:numPr>
          <w:ilvl w:val="0"/>
          <w:numId w:val="16"/>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t>Energy Reliability &amp; Resilience</w:t>
      </w:r>
      <w:r w:rsidR="00186164">
        <w:rPr>
          <w:rStyle w:val="FootnoteReference"/>
          <w:rFonts w:ascii="Palatino Linotype" w:hAnsi="Palatino Linotype" w:eastAsia="Palatino Linotype" w:cs="Times New Roman"/>
          <w:bCs/>
          <w:color w:val="000000" w:themeColor="text1"/>
          <w:kern w:val="0"/>
          <w14:ligatures w14:val="none"/>
        </w:rPr>
        <w:footnoteReference w:id="43"/>
      </w:r>
    </w:p>
    <w:p w:rsidRPr="004970BE" w:rsidR="00B25228" w:rsidP="00B25228" w:rsidRDefault="004C5DEA" w14:paraId="4BDA7BCF" w14:textId="074889A8">
      <w:pPr>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w:t>
      </w:r>
      <w:r w:rsidR="004A7DB6">
        <w:rPr>
          <w:rFonts w:ascii="Palatino Linotype" w:hAnsi="Palatino Linotype" w:eastAsia="Palatino Linotype" w:cs="Times New Roman"/>
          <w:bCs/>
          <w:color w:val="000000" w:themeColor="text1"/>
          <w:kern w:val="0"/>
          <w14:ligatures w14:val="none"/>
        </w:rPr>
        <w:t>t</w:t>
      </w:r>
      <w:r w:rsidRPr="004970BE" w:rsidR="004A7DB6">
        <w:rPr>
          <w:rFonts w:ascii="Palatino Linotype" w:hAnsi="Palatino Linotype" w:eastAsia="Palatino Linotype" w:cs="Times New Roman"/>
          <w:bCs/>
          <w:color w:val="000000" w:themeColor="text1"/>
          <w:kern w:val="0"/>
          <w14:ligatures w14:val="none"/>
        </w:rPr>
        <w:t xml:space="preserve"> seeks to develop projects within the </w:t>
      </w:r>
      <w:r w:rsidRPr="008F0F7C" w:rsidR="004A7DB6">
        <w:rPr>
          <w:rFonts w:ascii="Palatino Linotype" w:hAnsi="Palatino Linotype" w:eastAsia="Palatino Linotype" w:cs="Times New Roman"/>
          <w:bCs/>
          <w:color w:val="000000" w:themeColor="text1"/>
          <w:kern w:val="0"/>
          <w14:ligatures w14:val="none"/>
        </w:rPr>
        <w:t>Energy Reliability &amp; Resilience</w:t>
      </w:r>
      <w:r w:rsidRPr="004970BE" w:rsidR="004A7DB6">
        <w:rPr>
          <w:rFonts w:ascii="Palatino Linotype" w:hAnsi="Palatino Linotype" w:eastAsia="Palatino Linotype" w:cs="Times New Roman"/>
          <w:bCs/>
          <w:color w:val="000000" w:themeColor="text1"/>
          <w:kern w:val="0"/>
          <w14:ligatures w14:val="none"/>
        </w:rPr>
        <w:t xml:space="preserve"> Initiative to </w:t>
      </w:r>
      <w:r w:rsidR="004A7DB6">
        <w:rPr>
          <w:rFonts w:ascii="Palatino Linotype" w:hAnsi="Palatino Linotype" w:eastAsia="Palatino Linotype" w:cs="Times New Roman"/>
          <w:bCs/>
          <w:color w:val="000000" w:themeColor="text1"/>
          <w:kern w:val="0"/>
          <w14:ligatures w14:val="none"/>
        </w:rPr>
        <w:t>r</w:t>
      </w:r>
      <w:r w:rsidRPr="000848F6" w:rsidR="004A7DB6">
        <w:rPr>
          <w:rFonts w:ascii="Palatino Linotype" w:hAnsi="Palatino Linotype" w:eastAsia="Palatino Linotype" w:cs="Times New Roman"/>
          <w:bCs/>
          <w:color w:val="000000" w:themeColor="text1"/>
          <w:kern w:val="0"/>
          <w14:ligatures w14:val="none"/>
        </w:rPr>
        <w:t>educe power generation emissions while maintaining reliability, resilience, affordability, or long-term</w:t>
      </w:r>
      <w:r w:rsidR="004A7DB6">
        <w:rPr>
          <w:rFonts w:ascii="Palatino Linotype" w:hAnsi="Palatino Linotype" w:eastAsia="Palatino Linotype" w:cs="Times New Roman"/>
          <w:bCs/>
          <w:color w:val="000000" w:themeColor="text1"/>
          <w:kern w:val="0"/>
          <w14:ligatures w14:val="none"/>
        </w:rPr>
        <w:t xml:space="preserve"> </w:t>
      </w:r>
      <w:r w:rsidRPr="000848F6" w:rsidR="004A7DB6">
        <w:rPr>
          <w:rFonts w:ascii="Palatino Linotype" w:hAnsi="Palatino Linotype" w:eastAsia="Palatino Linotype" w:cs="Times New Roman"/>
          <w:bCs/>
          <w:color w:val="000000" w:themeColor="text1"/>
          <w:kern w:val="0"/>
          <w14:ligatures w14:val="none"/>
        </w:rPr>
        <w:t xml:space="preserve">value of </w:t>
      </w:r>
      <w:r w:rsidRPr="00667677" w:rsidR="004A7DB6">
        <w:rPr>
          <w:rFonts w:ascii="Palatino Linotype" w:hAnsi="Palatino Linotype" w:eastAsia="Palatino Linotype" w:cs="Times New Roman"/>
          <w:bCs/>
          <w:color w:val="000000" w:themeColor="text1"/>
          <w:kern w:val="0"/>
          <w14:ligatures w14:val="none"/>
        </w:rPr>
        <w:t>existing assets. Research Topics include</w:t>
      </w:r>
      <w:r w:rsidRPr="00667677" w:rsidR="00D94146">
        <w:rPr>
          <w:rFonts w:ascii="Palatino Linotype" w:hAnsi="Palatino Linotype" w:eastAsia="Palatino Linotype" w:cs="Times New Roman"/>
          <w:bCs/>
          <w:color w:val="000000" w:themeColor="text1"/>
          <w:kern w:val="0"/>
          <w14:ligatures w14:val="none"/>
        </w:rPr>
        <w:t>:</w:t>
      </w:r>
      <w:r w:rsidRPr="00667677" w:rsidR="004A7DB6">
        <w:rPr>
          <w:rFonts w:ascii="Palatino Linotype" w:hAnsi="Palatino Linotype" w:eastAsia="Palatino Linotype" w:cs="Times New Roman"/>
          <w:bCs/>
          <w:color w:val="000000" w:themeColor="text1"/>
          <w:kern w:val="0"/>
          <w14:ligatures w14:val="none"/>
        </w:rPr>
        <w:t xml:space="preserve"> (i) </w:t>
      </w:r>
      <w:r w:rsidRPr="00470C5D" w:rsidR="004A7DB6">
        <w:rPr>
          <w:rFonts w:ascii="Palatino Linotype" w:hAnsi="Palatino Linotype" w:eastAsia="Palatino Linotype" w:cs="Times New Roman"/>
          <w:bCs/>
          <w:color w:val="000000" w:themeColor="text1"/>
          <w:kern w:val="0"/>
          <w14:ligatures w14:val="none"/>
        </w:rPr>
        <w:t>improving microgrid controls, (ii) improving</w:t>
      </w:r>
      <w:r w:rsidRPr="00470C5D" w:rsidR="00D94146">
        <w:rPr>
          <w:rFonts w:ascii="Palatino Linotype" w:hAnsi="Palatino Linotype" w:eastAsia="Palatino Linotype" w:cs="Times New Roman"/>
          <w:bCs/>
          <w:color w:val="000000" w:themeColor="text1"/>
          <w:kern w:val="0"/>
          <w14:ligatures w14:val="none"/>
        </w:rPr>
        <w:t xml:space="preserve"> or replacing</w:t>
      </w:r>
      <w:r w:rsidRPr="00470C5D" w:rsidR="004A7DB6">
        <w:rPr>
          <w:rFonts w:ascii="Palatino Linotype" w:hAnsi="Palatino Linotype" w:eastAsia="Palatino Linotype" w:cs="Times New Roman"/>
          <w:bCs/>
          <w:color w:val="000000" w:themeColor="text1"/>
          <w:kern w:val="0"/>
          <w14:ligatures w14:val="none"/>
        </w:rPr>
        <w:t xml:space="preserve"> combustion-based power generation</w:t>
      </w:r>
      <w:r w:rsidRPr="00470C5D" w:rsidR="006451C7">
        <w:rPr>
          <w:rFonts w:ascii="Palatino Linotype" w:hAnsi="Palatino Linotype" w:eastAsia="Palatino Linotype" w:cs="Times New Roman"/>
          <w:bCs/>
          <w:color w:val="000000" w:themeColor="text1"/>
          <w:kern w:val="0"/>
          <w14:ligatures w14:val="none"/>
        </w:rPr>
        <w:t xml:space="preserve"> by </w:t>
      </w:r>
      <w:r w:rsidRPr="00470C5D" w:rsidR="008F4C26">
        <w:rPr>
          <w:rFonts w:ascii="Palatino Linotype" w:hAnsi="Palatino Linotype" w:eastAsia="Palatino Linotype" w:cs="Times New Roman"/>
          <w:bCs/>
          <w:color w:val="000000" w:themeColor="text1"/>
          <w:kern w:val="0"/>
          <w14:ligatures w14:val="none"/>
        </w:rPr>
        <w:t>demonstrating</w:t>
      </w:r>
      <w:r w:rsidRPr="00470C5D" w:rsidR="003B05DF">
        <w:rPr>
          <w:rFonts w:ascii="Palatino Linotype" w:hAnsi="Palatino Linotype" w:eastAsia="Palatino Linotype" w:cs="Times New Roman"/>
          <w:bCs/>
          <w:color w:val="000000" w:themeColor="text1"/>
          <w:kern w:val="0"/>
          <w14:ligatures w14:val="none"/>
        </w:rPr>
        <w:t xml:space="preserve"> low- and zero-emission systems for backup power</w:t>
      </w:r>
      <w:r w:rsidRPr="00470C5D" w:rsidR="004A7DB6">
        <w:rPr>
          <w:rFonts w:ascii="Palatino Linotype" w:hAnsi="Palatino Linotype" w:eastAsia="Palatino Linotype" w:cs="Times New Roman"/>
          <w:bCs/>
          <w:color w:val="000000" w:themeColor="text1"/>
          <w:kern w:val="0"/>
          <w14:ligatures w14:val="none"/>
        </w:rPr>
        <w:t xml:space="preserve">, </w:t>
      </w:r>
      <w:r w:rsidRPr="00667677" w:rsidR="004A7DB6">
        <w:rPr>
          <w:rFonts w:ascii="Palatino Linotype" w:hAnsi="Palatino Linotype" w:eastAsia="Palatino Linotype" w:cs="Times New Roman"/>
          <w:bCs/>
          <w:color w:val="000000" w:themeColor="text1"/>
          <w:kern w:val="0"/>
          <w14:ligatures w14:val="none"/>
        </w:rPr>
        <w:t xml:space="preserve">(iii) advancing alternative power </w:t>
      </w:r>
      <w:r w:rsidRPr="000A33E1" w:rsidR="004A7DB6">
        <w:rPr>
          <w:rFonts w:ascii="Palatino Linotype" w:hAnsi="Palatino Linotype" w:eastAsia="Palatino Linotype" w:cs="Times New Roman"/>
          <w:bCs/>
          <w:color w:val="000000" w:themeColor="text1"/>
          <w:kern w:val="0"/>
          <w14:ligatures w14:val="none"/>
        </w:rPr>
        <w:t>generation technologies, (iv) optimizing use of low-carbon fuels, (v) integrating carbon management solutions, and (vi) exploring on-site fuel conversion.</w:t>
      </w:r>
      <w:r w:rsidR="004A7DB6">
        <w:rPr>
          <w:rFonts w:ascii="Palatino Linotype" w:hAnsi="Palatino Linotype" w:eastAsia="Palatino Linotype" w:cs="Times New Roman"/>
          <w:bCs/>
          <w:color w:val="000000" w:themeColor="text1"/>
          <w:kern w:val="0"/>
          <w14:ligatures w14:val="none"/>
        </w:rPr>
        <w:t xml:space="preserve"> S</w:t>
      </w:r>
      <w:r w:rsidR="0091576A">
        <w:rPr>
          <w:rFonts w:ascii="Palatino Linotype" w:hAnsi="Palatino Linotype" w:eastAsia="Palatino Linotype" w:cs="Times New Roman"/>
          <w:bCs/>
          <w:color w:val="000000" w:themeColor="text1"/>
          <w:kern w:val="0"/>
          <w14:ligatures w14:val="none"/>
        </w:rPr>
        <w:t>oCalGas</w:t>
      </w:r>
      <w:r w:rsidR="004A7DB6">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reductions in outage frequency and duration and GHG and criteria pollutant emissions in addition to customer bill savings. </w:t>
      </w:r>
      <w:r>
        <w:rPr>
          <w:rFonts w:ascii="Palatino Linotype" w:hAnsi="Palatino Linotype"/>
          <w:color w:val="000000" w:themeColor="text1"/>
        </w:rPr>
        <w:t>SoCalGas</w:t>
      </w:r>
      <w:r w:rsidRPr="004970BE" w:rsidR="00B25228">
        <w:rPr>
          <w:rFonts w:ascii="Palatino Linotype" w:hAnsi="Palatino Linotype" w:eastAsia="Palatino Linotype" w:cs="Times New Roman"/>
          <w:bCs/>
          <w:color w:val="000000" w:themeColor="text1"/>
          <w:kern w:val="0"/>
          <w14:ligatures w14:val="none"/>
        </w:rPr>
        <w:t xml:space="preserve"> proposes to </w:t>
      </w:r>
      <w:r w:rsidR="00B25228">
        <w:rPr>
          <w:rFonts w:ascii="Palatino Linotype" w:hAnsi="Palatino Linotype" w:eastAsia="Palatino Linotype" w:cs="Times New Roman"/>
          <w:bCs/>
          <w:color w:val="000000" w:themeColor="text1"/>
          <w:kern w:val="0"/>
          <w14:ligatures w14:val="none"/>
        </w:rPr>
        <w:t xml:space="preserve">allocate </w:t>
      </w:r>
      <w:r w:rsidRPr="00CE7C61" w:rsidR="00CE7C61">
        <w:rPr>
          <w:rFonts w:ascii="Palatino Linotype" w:hAnsi="Palatino Linotype" w:eastAsia="Palatino Linotype" w:cs="Times New Roman"/>
          <w:bCs/>
          <w:color w:val="000000" w:themeColor="text1"/>
          <w:kern w:val="0"/>
          <w14:ligatures w14:val="none"/>
        </w:rPr>
        <w:t>$2,482,515</w:t>
      </w:r>
      <w:r w:rsidR="00CE7C61">
        <w:rPr>
          <w:rFonts w:ascii="Palatino Linotype" w:hAnsi="Palatino Linotype" w:eastAsia="Palatino Linotype" w:cs="Times New Roman"/>
          <w:bCs/>
          <w:color w:val="000000" w:themeColor="text1"/>
          <w:kern w:val="0"/>
          <w14:ligatures w14:val="none"/>
        </w:rPr>
        <w:t xml:space="preserve"> </w:t>
      </w:r>
      <w:proofErr w:type="gramStart"/>
      <w:r w:rsidR="00B25228">
        <w:rPr>
          <w:rFonts w:ascii="Palatino Linotype" w:hAnsi="Palatino Linotype" w:eastAsia="Palatino Linotype" w:cs="Times New Roman"/>
          <w:bCs/>
          <w:color w:val="000000" w:themeColor="text1"/>
          <w:kern w:val="0"/>
          <w14:ligatures w14:val="none"/>
        </w:rPr>
        <w:t>in</w:t>
      </w:r>
      <w:proofErr w:type="gramEnd"/>
      <w:r w:rsidR="00B25228">
        <w:rPr>
          <w:rFonts w:ascii="Palatino Linotype" w:hAnsi="Palatino Linotype" w:eastAsia="Palatino Linotype" w:cs="Times New Roman"/>
          <w:bCs/>
          <w:color w:val="000000" w:themeColor="text1"/>
          <w:kern w:val="0"/>
          <w14:ligatures w14:val="none"/>
        </w:rPr>
        <w:t xml:space="preserve"> its 2025 Plan.</w:t>
      </w:r>
    </w:p>
    <w:p w:rsidRPr="004970BE" w:rsidR="00B25228" w:rsidP="00B25228" w:rsidRDefault="00B25228" w14:paraId="17CC82BA" w14:textId="77777777">
      <w:pPr>
        <w:spacing w:after="0" w:line="276" w:lineRule="auto"/>
        <w:rPr>
          <w:rFonts w:ascii="Palatino Linotype" w:hAnsi="Palatino Linotype" w:eastAsia="Palatino Linotype" w:cs="Times New Roman"/>
          <w:bCs/>
          <w:color w:val="000000" w:themeColor="text1"/>
          <w:kern w:val="0"/>
          <w14:ligatures w14:val="none"/>
        </w:rPr>
      </w:pPr>
    </w:p>
    <w:p w:rsidRPr="001D3D47" w:rsidR="00B25228" w:rsidP="00CE0245" w:rsidRDefault="00B25228" w14:paraId="1BBFDAD6" w14:textId="781CF53F">
      <w:pPr>
        <w:pStyle w:val="ListParagraph"/>
        <w:keepNext/>
        <w:numPr>
          <w:ilvl w:val="0"/>
          <w:numId w:val="16"/>
        </w:numPr>
        <w:spacing w:line="276" w:lineRule="auto"/>
        <w:rPr>
          <w:rFonts w:ascii="Palatino Linotype" w:hAnsi="Palatino Linotype" w:eastAsia="Palatino Linotype" w:cs="Times New Roman"/>
          <w:bCs/>
          <w:color w:val="000000" w:themeColor="text1"/>
          <w:kern w:val="0"/>
          <w14:ligatures w14:val="none"/>
        </w:rPr>
      </w:pPr>
      <w:r w:rsidRPr="004970BE">
        <w:rPr>
          <w:rFonts w:ascii="Palatino Linotype" w:hAnsi="Palatino Linotype" w:eastAsia="Palatino Linotype" w:cs="Times New Roman"/>
          <w:bCs/>
          <w:color w:val="000000" w:themeColor="text1"/>
          <w:kern w:val="0"/>
          <w14:ligatures w14:val="none"/>
        </w:rPr>
        <w:lastRenderedPageBreak/>
        <w:t>Building &amp; Facility Systems</w:t>
      </w:r>
      <w:r w:rsidR="00032EFC">
        <w:rPr>
          <w:rStyle w:val="FootnoteReference"/>
          <w:rFonts w:ascii="Palatino Linotype" w:hAnsi="Palatino Linotype" w:eastAsia="Palatino Linotype" w:cs="Times New Roman"/>
          <w:bCs/>
          <w:color w:val="000000" w:themeColor="text1"/>
          <w:kern w:val="0"/>
          <w14:ligatures w14:val="none"/>
        </w:rPr>
        <w:footnoteReference w:id="44"/>
      </w:r>
    </w:p>
    <w:p w:rsidR="00B25228" w:rsidP="00CE0245" w:rsidRDefault="004C5DEA" w14:paraId="2A3AFF3D" w14:textId="68D32C36">
      <w:pPr>
        <w:keepNext/>
        <w:spacing w:after="0" w:line="276" w:lineRule="auto"/>
        <w:ind w:left="720"/>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4970BE" w:rsidR="004A7DB6">
        <w:rPr>
          <w:rFonts w:ascii="Palatino Linotype" w:hAnsi="Palatino Linotype" w:eastAsia="Palatino Linotype" w:cs="Times New Roman"/>
          <w:bCs/>
          <w:color w:val="000000" w:themeColor="text1"/>
          <w:kern w:val="0"/>
          <w14:ligatures w14:val="none"/>
        </w:rPr>
        <w:t xml:space="preserve"> states that i</w:t>
      </w:r>
      <w:r w:rsidR="004A7DB6">
        <w:rPr>
          <w:rFonts w:ascii="Palatino Linotype" w:hAnsi="Palatino Linotype" w:eastAsia="Palatino Linotype" w:cs="Times New Roman"/>
          <w:bCs/>
          <w:color w:val="000000" w:themeColor="text1"/>
          <w:kern w:val="0"/>
          <w14:ligatures w14:val="none"/>
        </w:rPr>
        <w:t>t</w:t>
      </w:r>
      <w:r w:rsidRPr="004970BE" w:rsidR="004A7DB6">
        <w:rPr>
          <w:rFonts w:ascii="Palatino Linotype" w:hAnsi="Palatino Linotype" w:eastAsia="Palatino Linotype" w:cs="Times New Roman"/>
          <w:bCs/>
          <w:color w:val="000000" w:themeColor="text1"/>
          <w:kern w:val="0"/>
          <w14:ligatures w14:val="none"/>
        </w:rPr>
        <w:t xml:space="preserve"> seeks to develop projects within the </w:t>
      </w:r>
      <w:r w:rsidRPr="008F0F7C" w:rsidR="004A7DB6">
        <w:rPr>
          <w:rFonts w:ascii="Palatino Linotype" w:hAnsi="Palatino Linotype" w:eastAsia="Palatino Linotype" w:cs="Times New Roman"/>
          <w:bCs/>
          <w:color w:val="000000" w:themeColor="text1"/>
          <w:kern w:val="0"/>
          <w14:ligatures w14:val="none"/>
        </w:rPr>
        <w:t>Building &amp; Facility Systems</w:t>
      </w:r>
      <w:r w:rsidRPr="004970BE" w:rsidR="004A7DB6">
        <w:rPr>
          <w:rFonts w:ascii="Palatino Linotype" w:hAnsi="Palatino Linotype" w:eastAsia="Palatino Linotype" w:cs="Times New Roman"/>
          <w:bCs/>
          <w:color w:val="000000" w:themeColor="text1"/>
          <w:kern w:val="0"/>
          <w14:ligatures w14:val="none"/>
        </w:rPr>
        <w:t xml:space="preserve"> Initiative to </w:t>
      </w:r>
      <w:r w:rsidR="004A7DB6">
        <w:rPr>
          <w:rFonts w:ascii="Palatino Linotype" w:hAnsi="Palatino Linotype" w:eastAsia="Palatino Linotype" w:cs="Times New Roman"/>
          <w:bCs/>
          <w:color w:val="000000" w:themeColor="text1"/>
          <w:kern w:val="0"/>
          <w14:ligatures w14:val="none"/>
        </w:rPr>
        <w:t>a</w:t>
      </w:r>
      <w:r w:rsidRPr="00AC1BBA" w:rsidR="004A7DB6">
        <w:rPr>
          <w:rFonts w:ascii="Palatino Linotype" w:hAnsi="Palatino Linotype" w:eastAsia="Palatino Linotype" w:cs="Times New Roman"/>
          <w:bCs/>
          <w:color w:val="000000" w:themeColor="text1"/>
          <w:kern w:val="0"/>
          <w14:ligatures w14:val="none"/>
        </w:rPr>
        <w:t>dvance new technologies that cost-effectively reduce emissions from California’s buildings and facilities</w:t>
      </w:r>
      <w:r w:rsidR="004A7DB6">
        <w:rPr>
          <w:rFonts w:ascii="Palatino Linotype" w:hAnsi="Palatino Linotype" w:eastAsia="Palatino Linotype" w:cs="Times New Roman"/>
          <w:bCs/>
          <w:color w:val="000000" w:themeColor="text1"/>
          <w:kern w:val="0"/>
          <w14:ligatures w14:val="none"/>
        </w:rPr>
        <w:t xml:space="preserve"> </w:t>
      </w:r>
      <w:r w:rsidRPr="00AC1BBA" w:rsidR="004A7DB6">
        <w:rPr>
          <w:rFonts w:ascii="Palatino Linotype" w:hAnsi="Palatino Linotype" w:eastAsia="Palatino Linotype" w:cs="Times New Roman"/>
          <w:bCs/>
          <w:color w:val="000000" w:themeColor="text1"/>
          <w:kern w:val="0"/>
          <w14:ligatures w14:val="none"/>
        </w:rPr>
        <w:t>(residential, commercial, and industrial).</w:t>
      </w:r>
      <w:r w:rsidR="004A7DB6">
        <w:rPr>
          <w:rFonts w:ascii="Palatino Linotype" w:hAnsi="Palatino Linotype" w:eastAsia="Palatino Linotype" w:cs="Times New Roman"/>
          <w:bCs/>
          <w:color w:val="000000" w:themeColor="text1"/>
          <w:kern w:val="0"/>
          <w14:ligatures w14:val="none"/>
        </w:rPr>
        <w:t xml:space="preserve"> Research Topics include</w:t>
      </w:r>
      <w:r w:rsidR="00207085">
        <w:rPr>
          <w:rFonts w:ascii="Palatino Linotype" w:hAnsi="Palatino Linotype" w:eastAsia="Palatino Linotype" w:cs="Times New Roman"/>
          <w:bCs/>
          <w:color w:val="000000" w:themeColor="text1"/>
          <w:kern w:val="0"/>
          <w14:ligatures w14:val="none"/>
        </w:rPr>
        <w:t>:</w:t>
      </w:r>
      <w:r w:rsidR="004A7DB6">
        <w:rPr>
          <w:rFonts w:ascii="Palatino Linotype" w:hAnsi="Palatino Linotype" w:eastAsia="Palatino Linotype" w:cs="Times New Roman"/>
          <w:bCs/>
          <w:color w:val="000000" w:themeColor="text1"/>
          <w:kern w:val="0"/>
          <w14:ligatures w14:val="none"/>
        </w:rPr>
        <w:t xml:space="preserve"> (i) cutting direct emissions, (ii) enhancing load flexibility, (iii) improving building efficiency, and (iv) advancing priority technologies. S</w:t>
      </w:r>
      <w:r w:rsidR="0091576A">
        <w:rPr>
          <w:rFonts w:ascii="Palatino Linotype" w:hAnsi="Palatino Linotype" w:eastAsia="Palatino Linotype" w:cs="Times New Roman"/>
          <w:bCs/>
          <w:color w:val="000000" w:themeColor="text1"/>
          <w:kern w:val="0"/>
          <w14:ligatures w14:val="none"/>
        </w:rPr>
        <w:t>oCalGas</w:t>
      </w:r>
      <w:r w:rsidR="004A7DB6">
        <w:rPr>
          <w:rFonts w:ascii="Palatino Linotype" w:hAnsi="Palatino Linotype" w:eastAsia="Palatino Linotype" w:cs="Times New Roman"/>
          <w:bCs/>
          <w:color w:val="000000" w:themeColor="text1"/>
          <w:kern w:val="0"/>
          <w14:ligatures w14:val="none"/>
        </w:rPr>
        <w:t xml:space="preserve"> lists potential metrics for tracking and evaluating impacts from the Initiative, including avoided customer energy use and bills savings, GHG and criteria pollutant emissions, and reductions in operations and maintenance and capital costs. </w:t>
      </w:r>
      <w:r>
        <w:rPr>
          <w:rFonts w:ascii="Palatino Linotype" w:hAnsi="Palatino Linotype"/>
          <w:color w:val="000000" w:themeColor="text1"/>
        </w:rPr>
        <w:t>SoCalGas</w:t>
      </w:r>
      <w:r w:rsidRPr="004970BE" w:rsidR="00B25228">
        <w:rPr>
          <w:rFonts w:ascii="Palatino Linotype" w:hAnsi="Palatino Linotype" w:eastAsia="Palatino Linotype" w:cs="Times New Roman"/>
          <w:bCs/>
          <w:color w:val="000000" w:themeColor="text1"/>
          <w:kern w:val="0"/>
          <w14:ligatures w14:val="none"/>
        </w:rPr>
        <w:t xml:space="preserve"> proposes to </w:t>
      </w:r>
      <w:r w:rsidR="00B25228">
        <w:rPr>
          <w:rFonts w:ascii="Palatino Linotype" w:hAnsi="Palatino Linotype" w:eastAsia="Palatino Linotype" w:cs="Times New Roman"/>
          <w:bCs/>
          <w:color w:val="000000" w:themeColor="text1"/>
          <w:kern w:val="0"/>
          <w14:ligatures w14:val="none"/>
        </w:rPr>
        <w:t xml:space="preserve">allocate </w:t>
      </w:r>
      <w:r w:rsidRPr="000C145C" w:rsidR="000C145C">
        <w:rPr>
          <w:rFonts w:ascii="Palatino Linotype" w:hAnsi="Palatino Linotype" w:eastAsia="Palatino Linotype" w:cs="Times New Roman"/>
          <w:bCs/>
          <w:color w:val="000000" w:themeColor="text1"/>
          <w:kern w:val="0"/>
          <w14:ligatures w14:val="none"/>
        </w:rPr>
        <w:t>$1,934,005</w:t>
      </w:r>
      <w:r w:rsidR="00B25228">
        <w:rPr>
          <w:rFonts w:ascii="Palatino Linotype" w:hAnsi="Palatino Linotype" w:eastAsia="Palatino Linotype" w:cs="Times New Roman"/>
          <w:bCs/>
          <w:color w:val="000000" w:themeColor="text1"/>
          <w:kern w:val="0"/>
          <w14:ligatures w14:val="none"/>
        </w:rPr>
        <w:t xml:space="preserve"> in its 2025 Plan.</w:t>
      </w:r>
    </w:p>
    <w:p w:rsidR="008B2295" w:rsidP="00F97978" w:rsidRDefault="008B2295" w14:paraId="32A7C5EC" w14:textId="77777777">
      <w:pPr>
        <w:spacing w:after="0" w:line="276" w:lineRule="auto"/>
        <w:rPr>
          <w:rFonts w:ascii="Palatino Linotype" w:hAnsi="Palatino Linotype" w:eastAsia="Palatino Linotype" w:cs="Times New Roman"/>
          <w:bCs/>
          <w:color w:val="000000" w:themeColor="text1"/>
          <w:kern w:val="0"/>
          <w14:ligatures w14:val="none"/>
        </w:rPr>
      </w:pPr>
    </w:p>
    <w:p w:rsidR="00847F3C" w:rsidP="00847F3C" w:rsidRDefault="00847F3C" w14:paraId="65753F77" w14:textId="77777777">
      <w:pPr>
        <w:spacing w:line="276" w:lineRule="auto"/>
        <w:rPr>
          <w:rFonts w:ascii="Palatino Linotype" w:hAnsi="Palatino Linotype" w:eastAsia="Palatino Linotype" w:cs="Times New Roman"/>
          <w:bCs/>
          <w:i/>
          <w:iCs/>
          <w:color w:val="000000" w:themeColor="text1"/>
          <w:kern w:val="0"/>
          <w14:ligatures w14:val="none"/>
        </w:rPr>
      </w:pPr>
      <w:r w:rsidRPr="00192E7E">
        <w:rPr>
          <w:rFonts w:ascii="Palatino Linotype" w:hAnsi="Palatino Linotype" w:eastAsia="Palatino Linotype" w:cs="Times New Roman"/>
          <w:bCs/>
          <w:i/>
          <w:iCs/>
          <w:color w:val="000000" w:themeColor="text1"/>
          <w:kern w:val="0"/>
          <w14:ligatures w14:val="none"/>
        </w:rPr>
        <w:t>Program Administration</w:t>
      </w:r>
    </w:p>
    <w:p w:rsidR="00847F3C" w:rsidP="00847F3C" w:rsidRDefault="004C5DEA" w14:paraId="5E10AFD1" w14:textId="3CAA3916">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color w:val="000000" w:themeColor="text1"/>
        </w:rPr>
        <w:t>SoCalGas</w:t>
      </w:r>
      <w:r w:rsidRPr="00BA7B54" w:rsidR="00847F3C">
        <w:rPr>
          <w:rFonts w:ascii="Palatino Linotype" w:hAnsi="Palatino Linotype" w:eastAsia="Palatino Linotype" w:cs="Times New Roman"/>
          <w:bCs/>
          <w:color w:val="000000" w:themeColor="text1"/>
          <w:kern w:val="0"/>
          <w14:ligatures w14:val="none"/>
        </w:rPr>
        <w:t xml:space="preserve"> proposes to allocate ten percent of its annual total budget to administrative costs, translating </w:t>
      </w:r>
      <w:r w:rsidRPr="003750B3" w:rsidR="00847F3C">
        <w:rPr>
          <w:rFonts w:ascii="Palatino Linotype" w:hAnsi="Palatino Linotype" w:eastAsia="Palatino Linotype" w:cs="Times New Roman"/>
          <w:bCs/>
          <w:color w:val="000000" w:themeColor="text1"/>
          <w:kern w:val="0"/>
          <w14:ligatures w14:val="none"/>
        </w:rPr>
        <w:t xml:space="preserve">to </w:t>
      </w:r>
      <w:r w:rsidRPr="008F0E0C" w:rsidR="008F0E0C">
        <w:rPr>
          <w:rFonts w:ascii="Palatino Linotype" w:hAnsi="Palatino Linotype" w:eastAsia="Palatino Linotype" w:cs="Times New Roman"/>
          <w:bCs/>
          <w:color w:val="000000" w:themeColor="text1"/>
          <w:kern w:val="0"/>
          <w14:ligatures w14:val="none"/>
        </w:rPr>
        <w:t>$1,838,900</w:t>
      </w:r>
      <w:r w:rsidRPr="003750B3" w:rsidR="00847F3C">
        <w:rPr>
          <w:rFonts w:ascii="Palatino Linotype" w:hAnsi="Palatino Linotype" w:eastAsia="Palatino Linotype" w:cs="Times New Roman"/>
          <w:bCs/>
          <w:color w:val="000000" w:themeColor="text1"/>
          <w:kern w:val="0"/>
          <w14:ligatures w14:val="none"/>
        </w:rPr>
        <w:t xml:space="preserve"> in its 202</w:t>
      </w:r>
      <w:r w:rsidR="008F0E0C">
        <w:rPr>
          <w:rFonts w:ascii="Palatino Linotype" w:hAnsi="Palatino Linotype" w:eastAsia="Palatino Linotype" w:cs="Times New Roman"/>
          <w:bCs/>
          <w:color w:val="000000" w:themeColor="text1"/>
          <w:kern w:val="0"/>
          <w14:ligatures w14:val="none"/>
        </w:rPr>
        <w:t>5</w:t>
      </w:r>
      <w:r w:rsidRPr="003750B3" w:rsidR="00847F3C">
        <w:rPr>
          <w:rFonts w:ascii="Palatino Linotype" w:hAnsi="Palatino Linotype" w:eastAsia="Palatino Linotype" w:cs="Times New Roman"/>
          <w:bCs/>
          <w:color w:val="000000" w:themeColor="text1"/>
          <w:kern w:val="0"/>
          <w14:ligatures w14:val="none"/>
        </w:rPr>
        <w:t xml:space="preserve"> Plan.</w:t>
      </w:r>
      <w:r w:rsidR="00847F3C">
        <w:rPr>
          <w:rStyle w:val="FootnoteReference"/>
          <w:rFonts w:ascii="Palatino Linotype" w:hAnsi="Palatino Linotype" w:eastAsia="Palatino Linotype" w:cs="Times New Roman"/>
          <w:bCs/>
          <w:color w:val="000000" w:themeColor="text1"/>
          <w:kern w:val="0"/>
          <w14:ligatures w14:val="none"/>
        </w:rPr>
        <w:footnoteReference w:id="45"/>
      </w:r>
    </w:p>
    <w:p w:rsidRPr="00003809" w:rsidR="008B2295" w:rsidP="00A3120D" w:rsidRDefault="008B2295" w14:paraId="3D0A8E78" w14:textId="77777777">
      <w:pPr>
        <w:spacing w:line="276" w:lineRule="auto"/>
        <w:rPr>
          <w:rFonts w:ascii="Palatino Linotype" w:hAnsi="Palatino Linotype" w:eastAsia="Palatino Linotype" w:cs="Times New Roman"/>
          <w:bCs/>
          <w:color w:val="A6A6A6" w:themeColor="background1" w:themeShade="A6"/>
          <w:kern w:val="0"/>
          <w14:ligatures w14:val="none"/>
        </w:rPr>
      </w:pPr>
    </w:p>
    <w:p w:rsidRPr="00856F2F" w:rsidR="00650AE2" w:rsidP="00F97978" w:rsidRDefault="00650AE2" w14:paraId="58FA7FD6" w14:textId="1D101538">
      <w:pPr>
        <w:spacing w:after="0" w:line="276" w:lineRule="auto"/>
        <w:rPr>
          <w:rFonts w:ascii="Palatino Linotype" w:hAnsi="Palatino Linotype" w:eastAsia="Palatino Linotype" w:cs="Times New Roman"/>
          <w:b/>
          <w:color w:val="000000" w:themeColor="text1"/>
          <w:kern w:val="0"/>
          <w14:ligatures w14:val="none"/>
        </w:rPr>
      </w:pPr>
      <w:r w:rsidRPr="00856F2F">
        <w:rPr>
          <w:rFonts w:ascii="Palatino Linotype" w:hAnsi="Palatino Linotype" w:eastAsia="Palatino Linotype" w:cs="Times New Roman"/>
          <w:b/>
          <w:color w:val="000000" w:themeColor="text1"/>
          <w:kern w:val="0"/>
          <w14:ligatures w14:val="none"/>
        </w:rPr>
        <w:t xml:space="preserve">Summary of </w:t>
      </w:r>
      <w:r w:rsidRPr="00856F2F" w:rsidR="004C5DEA">
        <w:rPr>
          <w:rFonts w:ascii="Palatino Linotype" w:hAnsi="Palatino Linotype"/>
          <w:b/>
          <w:color w:val="000000" w:themeColor="text1"/>
        </w:rPr>
        <w:t>SoCalGas</w:t>
      </w:r>
      <w:r w:rsidRPr="00856F2F">
        <w:rPr>
          <w:rFonts w:ascii="Palatino Linotype" w:hAnsi="Palatino Linotype" w:eastAsia="Palatino Linotype" w:cs="Times New Roman"/>
          <w:b/>
          <w:color w:val="000000" w:themeColor="text1"/>
          <w:kern w:val="0"/>
          <w14:ligatures w14:val="none"/>
        </w:rPr>
        <w:t>’ Advice Letter</w:t>
      </w:r>
      <w:r w:rsidRPr="00856F2F" w:rsidR="00856F2F">
        <w:rPr>
          <w:rFonts w:ascii="Palatino Linotype" w:hAnsi="Palatino Linotype" w:eastAsia="Palatino Linotype" w:cs="Times New Roman"/>
          <w:b/>
          <w:color w:val="000000" w:themeColor="text1"/>
          <w:kern w:val="0"/>
          <w14:ligatures w14:val="none"/>
        </w:rPr>
        <w:t xml:space="preserve"> 6645</w:t>
      </w:r>
      <w:r w:rsidRPr="00856F2F">
        <w:rPr>
          <w:rFonts w:ascii="Palatino Linotype" w:hAnsi="Palatino Linotype" w:eastAsia="Palatino Linotype" w:cs="Times New Roman"/>
          <w:b/>
          <w:color w:val="000000" w:themeColor="text1"/>
          <w:kern w:val="0"/>
          <w14:ligatures w14:val="none"/>
        </w:rPr>
        <w:t>-G: 2026 Gas RD&amp;D Plan</w:t>
      </w:r>
    </w:p>
    <w:p w:rsidRPr="00856F2F" w:rsidR="00650AE2" w:rsidP="00F97978" w:rsidRDefault="00650AE2" w14:paraId="579463B6" w14:textId="77777777">
      <w:pPr>
        <w:spacing w:after="0" w:line="276" w:lineRule="auto"/>
        <w:rPr>
          <w:rFonts w:ascii="Palatino Linotype" w:hAnsi="Palatino Linotype" w:eastAsia="Palatino Linotype" w:cs="Times New Roman"/>
          <w:b/>
          <w:color w:val="000000" w:themeColor="text1"/>
          <w:kern w:val="0"/>
          <w14:ligatures w14:val="none"/>
        </w:rPr>
      </w:pPr>
    </w:p>
    <w:p w:rsidR="00A3120D" w:rsidP="00A3120D" w:rsidRDefault="00A3120D" w14:paraId="74AFC978" w14:textId="00B20B57">
      <w:pPr>
        <w:spacing w:after="0" w:line="276" w:lineRule="auto"/>
        <w:rPr>
          <w:rFonts w:ascii="Palatino Linotype" w:hAnsi="Palatino Linotype" w:eastAsia="Palatino Linotype" w:cs="Times New Roman"/>
          <w:bCs/>
          <w:color w:val="000000" w:themeColor="text1"/>
          <w:kern w:val="0"/>
          <w14:ligatures w14:val="none"/>
        </w:rPr>
      </w:pPr>
      <w:r>
        <w:rPr>
          <w:rFonts w:ascii="Palatino Linotype" w:hAnsi="Palatino Linotype" w:eastAsia="Palatino Linotype" w:cs="Times New Roman"/>
          <w:bCs/>
          <w:color w:val="000000" w:themeColor="text1"/>
          <w:kern w:val="0"/>
          <w14:ligatures w14:val="none"/>
        </w:rPr>
        <w:t xml:space="preserve">SoCalGas submitted its 2026 Plan </w:t>
      </w:r>
      <w:r w:rsidR="002C4298">
        <w:rPr>
          <w:rFonts w:ascii="Palatino Linotype" w:hAnsi="Palatino Linotype" w:eastAsia="Palatino Linotype" w:cs="Times New Roman"/>
          <w:bCs/>
          <w:color w:val="000000" w:themeColor="text1"/>
          <w:kern w:val="0"/>
          <w14:ligatures w14:val="none"/>
        </w:rPr>
        <w:t xml:space="preserve">via Tier 3 </w:t>
      </w:r>
      <w:r>
        <w:rPr>
          <w:rFonts w:ascii="Palatino Linotype" w:hAnsi="Palatino Linotype" w:eastAsia="Palatino Linotype" w:cs="Times New Roman"/>
          <w:bCs/>
          <w:color w:val="000000" w:themeColor="text1"/>
          <w:kern w:val="0"/>
          <w14:ligatures w14:val="none"/>
        </w:rPr>
        <w:t>AL 6645-G on June 1, 2026.</w:t>
      </w:r>
    </w:p>
    <w:p w:rsidR="00650AE2" w:rsidP="693F203E" w:rsidRDefault="00650AE2" w14:paraId="54AC68F0" w14:textId="77777777">
      <w:pPr>
        <w:spacing w:after="0" w:line="276" w:lineRule="auto"/>
        <w:rPr>
          <w:rFonts w:ascii="Palatino Linotype" w:hAnsi="Palatino Linotype" w:eastAsia="Palatino Linotype" w:cs="Times New Roman"/>
          <w:b/>
          <w:bCs/>
          <w:color w:val="000000" w:themeColor="text1"/>
          <w:kern w:val="0"/>
          <w:u w:val="single"/>
          <w14:ligatures w14:val="none"/>
        </w:rPr>
      </w:pPr>
    </w:p>
    <w:p w:rsidR="5C44B844" w:rsidP="693F203E" w:rsidRDefault="5C44B844" w14:paraId="4039AEF3" w14:textId="3E29301B">
      <w:pPr>
        <w:spacing w:after="0" w:line="276" w:lineRule="auto"/>
      </w:pPr>
      <w:r w:rsidRPr="693F203E">
        <w:rPr>
          <w:rFonts w:ascii="Palatino Linotype" w:hAnsi="Palatino Linotype" w:eastAsia="Palatino Linotype" w:cs="Times New Roman"/>
          <w:u w:val="single"/>
        </w:rPr>
        <w:t>SoCalGas Request for 2026 Gas RD&amp;D Plan</w:t>
      </w:r>
    </w:p>
    <w:p w:rsidR="693F203E" w:rsidP="693F203E" w:rsidRDefault="693F203E" w14:paraId="69DEC4FF" w14:textId="0D635560">
      <w:pPr>
        <w:spacing w:after="0" w:line="276" w:lineRule="auto"/>
        <w:rPr>
          <w:rFonts w:ascii="Palatino Linotype" w:hAnsi="Palatino Linotype" w:eastAsia="Palatino Linotype" w:cs="Times New Roman"/>
        </w:rPr>
      </w:pPr>
    </w:p>
    <w:p w:rsidR="5C44B844" w:rsidP="693F203E" w:rsidRDefault="5C44B844" w14:paraId="00ADF51C" w14:textId="0724B880">
      <w:pPr>
        <w:spacing w:after="0" w:line="276" w:lineRule="auto"/>
        <w:rPr>
          <w:rStyle w:val="FootnoteReference"/>
          <w:rFonts w:ascii="Palatino Linotype" w:hAnsi="Palatino Linotype" w:eastAsia="Palatino Linotype" w:cs="Times New Roman"/>
        </w:rPr>
      </w:pPr>
      <w:r w:rsidRPr="693F203E">
        <w:rPr>
          <w:rFonts w:ascii="Palatino Linotype" w:hAnsi="Palatino Linotype" w:eastAsia="Palatino Linotype" w:cs="Times New Roman"/>
        </w:rPr>
        <w:t xml:space="preserve">SoCalGas seeks approval of its proposed Gas RD&amp;D Investment Plan for 2026 in </w:t>
      </w:r>
      <w:r w:rsidR="00874CC6">
        <w:rPr>
          <w:rFonts w:ascii="Palatino Linotype" w:hAnsi="Palatino Linotype" w:eastAsia="Palatino Linotype" w:cs="Times New Roman"/>
        </w:rPr>
        <w:br/>
      </w:r>
      <w:r w:rsidRPr="693F203E">
        <w:rPr>
          <w:rFonts w:ascii="Palatino Linotype" w:hAnsi="Palatino Linotype" w:eastAsia="Palatino Linotype" w:cs="Times New Roman"/>
        </w:rPr>
        <w:t>AL 6645-G, authorized by D.24-12-074 at $18</w:t>
      </w:r>
      <w:r w:rsidRPr="6F1FEA14" w:rsidR="3F694B90">
        <w:rPr>
          <w:rFonts w:ascii="Palatino Linotype" w:hAnsi="Palatino Linotype" w:eastAsia="Palatino Linotype" w:cs="Times New Roman"/>
        </w:rPr>
        <w:t>,</w:t>
      </w:r>
      <w:r w:rsidRPr="693F203E">
        <w:rPr>
          <w:rFonts w:ascii="Palatino Linotype" w:hAnsi="Palatino Linotype" w:eastAsia="Palatino Linotype" w:cs="Times New Roman"/>
        </w:rPr>
        <w:t>940</w:t>
      </w:r>
      <w:r w:rsidRPr="6F1FEA14" w:rsidR="7842C35E">
        <w:rPr>
          <w:rFonts w:ascii="Palatino Linotype" w:hAnsi="Palatino Linotype" w:eastAsia="Palatino Linotype" w:cs="Times New Roman"/>
        </w:rPr>
        <w:t>,000</w:t>
      </w:r>
      <w:r w:rsidRPr="693F203E" w:rsidR="17C7FC31">
        <w:rPr>
          <w:rFonts w:ascii="Palatino Linotype" w:hAnsi="Palatino Linotype" w:eastAsia="Palatino Linotype" w:cs="Times New Roman"/>
        </w:rPr>
        <w:t xml:space="preserve"> with the following proposed budget allocations to various Initiatives:</w:t>
      </w:r>
      <w:r w:rsidRPr="693F203E">
        <w:rPr>
          <w:rStyle w:val="FootnoteReference"/>
          <w:rFonts w:ascii="Palatino Linotype" w:hAnsi="Palatino Linotype" w:eastAsia="Palatino Linotype" w:cs="Times New Roman"/>
        </w:rPr>
        <w:footnoteReference w:id="46"/>
      </w:r>
    </w:p>
    <w:p w:rsidR="003B0564" w:rsidP="00F97978" w:rsidRDefault="003B0564" w14:paraId="29FA2F2D" w14:textId="77777777">
      <w:pPr>
        <w:spacing w:after="0" w:line="276" w:lineRule="auto"/>
        <w:rPr>
          <w:rFonts w:ascii="Palatino Linotype" w:hAnsi="Palatino Linotype" w:eastAsia="Palatino Linotype" w:cs="Times New Roman"/>
          <w:bCs/>
          <w:color w:val="808080" w:themeColor="background1" w:themeShade="80"/>
          <w:kern w:val="0"/>
          <w14:ligatures w14:val="none"/>
        </w:rPr>
      </w:pPr>
    </w:p>
    <w:tbl>
      <w:tblPr>
        <w:tblStyle w:val="TableGrid"/>
        <w:tblW w:w="0" w:type="auto"/>
        <w:tblLook w:val="04A0" w:firstRow="1" w:lastRow="0" w:firstColumn="1" w:lastColumn="0" w:noHBand="0" w:noVBand="1"/>
      </w:tblPr>
      <w:tblGrid>
        <w:gridCol w:w="2442"/>
        <w:gridCol w:w="4933"/>
        <w:gridCol w:w="630"/>
        <w:gridCol w:w="1345"/>
      </w:tblGrid>
      <w:tr w:rsidRPr="00C736B0" w:rsidR="00917EF7" w:rsidTr="3642958B" w14:paraId="5E033F73" w14:textId="77777777">
        <w:tc>
          <w:tcPr>
            <w:tcW w:w="9350" w:type="dxa"/>
            <w:gridSpan w:val="4"/>
          </w:tcPr>
          <w:p w:rsidRPr="00C736B0" w:rsidR="00917EF7" w:rsidP="693F203E" w:rsidRDefault="00917EF7" w14:paraId="7A77B90E" w14:textId="112C45FD">
            <w:pPr>
              <w:keepNext/>
              <w:spacing w:line="276" w:lineRule="auto"/>
              <w:jc w:val="center"/>
              <w:outlineLvl w:val="0"/>
              <w:rPr>
                <w:rFonts w:ascii="Palatino Linotype" w:hAnsi="Palatino Linotype" w:eastAsia="Palatino Linotype" w:cs="Times New Roman"/>
                <w:b/>
                <w:color w:val="000000" w:themeColor="text1"/>
                <w:sz w:val="22"/>
                <w:szCs w:val="22"/>
              </w:rPr>
            </w:pPr>
            <w:r w:rsidRPr="3642958B">
              <w:rPr>
                <w:rFonts w:ascii="Palatino Linotype" w:hAnsi="Palatino Linotype" w:eastAsia="Palatino Linotype" w:cs="Times New Roman"/>
                <w:b/>
                <w:color w:val="000000" w:themeColor="text1"/>
              </w:rPr>
              <w:lastRenderedPageBreak/>
              <w:t>Table 4: 202</w:t>
            </w:r>
            <w:r w:rsidRPr="3642958B" w:rsidR="002B01F6">
              <w:rPr>
                <w:rFonts w:ascii="Palatino Linotype" w:hAnsi="Palatino Linotype" w:eastAsia="Palatino Linotype" w:cs="Times New Roman"/>
                <w:b/>
                <w:color w:val="000000" w:themeColor="text1"/>
              </w:rPr>
              <w:t>6</w:t>
            </w:r>
            <w:r w:rsidRPr="3642958B">
              <w:rPr>
                <w:rFonts w:ascii="Palatino Linotype" w:hAnsi="Palatino Linotype" w:eastAsia="Palatino Linotype" w:cs="Times New Roman"/>
                <w:b/>
                <w:color w:val="000000" w:themeColor="text1"/>
              </w:rPr>
              <w:t xml:space="preserve"> Gas RD&amp;D Plan Proposed Budget</w:t>
            </w:r>
          </w:p>
        </w:tc>
      </w:tr>
      <w:tr w:rsidRPr="00C736B0" w:rsidR="00917EF7" w:rsidTr="3642958B" w14:paraId="76ACBC40" w14:textId="77777777">
        <w:tc>
          <w:tcPr>
            <w:tcW w:w="2442" w:type="dxa"/>
          </w:tcPr>
          <w:p w:rsidRPr="00C736B0" w:rsidR="00917EF7" w:rsidP="008B0199" w:rsidRDefault="00917EF7" w14:paraId="3DA6183D"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Investment Theme</w:t>
            </w:r>
          </w:p>
        </w:tc>
        <w:tc>
          <w:tcPr>
            <w:tcW w:w="4933" w:type="dxa"/>
          </w:tcPr>
          <w:p w:rsidRPr="00C736B0" w:rsidR="00917EF7" w:rsidP="008B0199" w:rsidRDefault="00917EF7" w14:paraId="27FCA07F"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Initiative Title</w:t>
            </w:r>
          </w:p>
        </w:tc>
        <w:tc>
          <w:tcPr>
            <w:tcW w:w="1975" w:type="dxa"/>
            <w:gridSpan w:val="2"/>
            <w:tcBorders>
              <w:bottom w:val="single" w:color="auto" w:sz="4" w:space="0"/>
            </w:tcBorders>
          </w:tcPr>
          <w:p w:rsidRPr="00C736B0" w:rsidR="00917EF7" w:rsidP="008B0199" w:rsidRDefault="00917EF7" w14:paraId="21A5F4CA" w14:textId="77EEEDD1">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202</w:t>
            </w:r>
            <w:r w:rsidR="002B01F6">
              <w:rPr>
                <w:rFonts w:ascii="Palatino Linotype" w:hAnsi="Palatino Linotype"/>
                <w:b/>
                <w:color w:val="000000" w:themeColor="text1"/>
                <w:sz w:val="22"/>
                <w:szCs w:val="22"/>
              </w:rPr>
              <w:t>6</w:t>
            </w:r>
            <w:r w:rsidRPr="00C736B0">
              <w:rPr>
                <w:rFonts w:ascii="Palatino Linotype" w:hAnsi="Palatino Linotype"/>
                <w:b/>
                <w:color w:val="000000" w:themeColor="text1"/>
                <w:sz w:val="22"/>
                <w:szCs w:val="22"/>
              </w:rPr>
              <w:t xml:space="preserve"> Plan Budget</w:t>
            </w:r>
          </w:p>
        </w:tc>
      </w:tr>
      <w:tr w:rsidRPr="00C736B0" w:rsidR="00917EF7" w:rsidTr="3642958B" w14:paraId="7A8E8EAD" w14:textId="77777777">
        <w:tc>
          <w:tcPr>
            <w:tcW w:w="2442" w:type="dxa"/>
            <w:vMerge w:val="restart"/>
          </w:tcPr>
          <w:p w:rsidRPr="00C736B0" w:rsidR="00917EF7" w:rsidP="008B0199" w:rsidRDefault="00917EF7" w14:paraId="5BBEDF68"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Gas</w:t>
            </w:r>
            <w:r w:rsidRPr="00C736B0">
              <w:rPr>
                <w:rFonts w:ascii="Palatino Linotype" w:hAnsi="Palatino Linotype" w:eastAsia="Palatino Linotype" w:cs="Times New Roman"/>
                <w:bCs w:val="0"/>
                <w:color w:val="000000" w:themeColor="text1"/>
                <w:sz w:val="22"/>
                <w:szCs w:val="22"/>
              </w:rPr>
              <w:t xml:space="preserve"> System Integrity </w:t>
            </w:r>
          </w:p>
        </w:tc>
        <w:tc>
          <w:tcPr>
            <w:tcW w:w="4933" w:type="dxa"/>
            <w:tcBorders>
              <w:right w:val="single" w:color="auto" w:sz="4" w:space="0"/>
            </w:tcBorders>
          </w:tcPr>
          <w:p w:rsidRPr="00C736B0" w:rsidR="00917EF7" w:rsidP="008B0199" w:rsidRDefault="00917EF7" w14:paraId="448D71DF"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Environmental &amp; Safety</w:t>
            </w:r>
          </w:p>
        </w:tc>
        <w:tc>
          <w:tcPr>
            <w:tcW w:w="630" w:type="dxa"/>
            <w:tcBorders>
              <w:top w:val="single" w:color="auto" w:sz="4" w:space="0"/>
              <w:left w:val="single" w:color="auto" w:sz="4" w:space="0"/>
              <w:bottom w:val="single" w:color="auto" w:sz="4" w:space="0"/>
              <w:right w:val="nil"/>
            </w:tcBorders>
          </w:tcPr>
          <w:p w:rsidRPr="00EF28B8" w:rsidR="00917EF7" w:rsidP="008B0199" w:rsidRDefault="00917EF7" w14:paraId="015650BB" w14:textId="77777777">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7F19F835" w14:paraId="6763CBCE" w14:textId="7C156BF6">
            <w:pPr>
              <w:keepNext/>
              <w:spacing w:line="276" w:lineRule="auto"/>
              <w:jc w:val="right"/>
              <w:outlineLvl w:val="0"/>
            </w:pPr>
            <w:r w:rsidRPr="693F203E">
              <w:rPr>
                <w:rFonts w:ascii="Palatino Linotype" w:hAnsi="Palatino Linotype" w:eastAsia="Palatino Linotype" w:cs="Times New Roman"/>
                <w:color w:val="000000" w:themeColor="text1"/>
                <w:sz w:val="22"/>
                <w:szCs w:val="22"/>
              </w:rPr>
              <w:t>2,556,900</w:t>
            </w:r>
          </w:p>
        </w:tc>
      </w:tr>
      <w:tr w:rsidRPr="00C736B0" w:rsidR="00917EF7" w:rsidTr="3642958B" w14:paraId="0715604F" w14:textId="77777777">
        <w:tc>
          <w:tcPr>
            <w:tcW w:w="2442" w:type="dxa"/>
            <w:vMerge/>
          </w:tcPr>
          <w:p w:rsidRPr="00C736B0" w:rsidR="00917EF7" w:rsidP="008B0199" w:rsidRDefault="00917EF7" w14:paraId="4A047D48"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8B0199" w:rsidRDefault="009A49D2" w14:paraId="29470581" w14:textId="60B659FC">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 xml:space="preserve">System Inspection &amp; Monitoring </w:t>
            </w:r>
          </w:p>
        </w:tc>
        <w:tc>
          <w:tcPr>
            <w:tcW w:w="630" w:type="dxa"/>
            <w:tcBorders>
              <w:top w:val="single" w:color="auto" w:sz="4" w:space="0"/>
              <w:left w:val="single" w:color="auto" w:sz="4" w:space="0"/>
              <w:bottom w:val="single" w:color="auto" w:sz="4" w:space="0"/>
              <w:right w:val="nil"/>
            </w:tcBorders>
          </w:tcPr>
          <w:p w:rsidRPr="00EF28B8" w:rsidR="00917EF7" w:rsidP="008B0199" w:rsidRDefault="00917EF7" w14:paraId="24AAF13E"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04716AA6" w14:paraId="4CF5A706" w14:textId="2BCD08BB">
            <w:pPr>
              <w:keepNext/>
              <w:spacing w:line="276" w:lineRule="auto"/>
              <w:jc w:val="right"/>
              <w:outlineLvl w:val="0"/>
            </w:pPr>
            <w:r w:rsidRPr="693F203E">
              <w:rPr>
                <w:rFonts w:ascii="Palatino Linotype" w:hAnsi="Palatino Linotype" w:eastAsia="Palatino Linotype" w:cs="Times New Roman"/>
                <w:color w:val="000000" w:themeColor="text1"/>
                <w:sz w:val="22"/>
                <w:szCs w:val="22"/>
              </w:rPr>
              <w:t>2,556,9</w:t>
            </w:r>
            <w:r w:rsidRPr="693F203E" w:rsidR="794CD899">
              <w:rPr>
                <w:rFonts w:ascii="Palatino Linotype" w:hAnsi="Palatino Linotype" w:eastAsia="Palatino Linotype" w:cs="Times New Roman"/>
                <w:color w:val="000000" w:themeColor="text1"/>
                <w:sz w:val="22"/>
                <w:szCs w:val="22"/>
              </w:rPr>
              <w:t>0</w:t>
            </w:r>
            <w:r w:rsidRPr="693F203E">
              <w:rPr>
                <w:rFonts w:ascii="Palatino Linotype" w:hAnsi="Palatino Linotype" w:eastAsia="Palatino Linotype" w:cs="Times New Roman"/>
                <w:color w:val="000000" w:themeColor="text1"/>
                <w:sz w:val="22"/>
                <w:szCs w:val="22"/>
              </w:rPr>
              <w:t>0</w:t>
            </w:r>
          </w:p>
        </w:tc>
      </w:tr>
      <w:tr w:rsidRPr="00C736B0" w:rsidR="009A49D2" w:rsidTr="3642958B" w14:paraId="33225ED4" w14:textId="77777777">
        <w:tc>
          <w:tcPr>
            <w:tcW w:w="2442" w:type="dxa"/>
            <w:vMerge/>
          </w:tcPr>
          <w:p w:rsidRPr="00C736B0" w:rsidR="009A49D2" w:rsidP="008B0199" w:rsidRDefault="009A49D2" w14:paraId="6DF02504"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A49D2" w:rsidP="008B0199" w:rsidRDefault="00284901" w14:paraId="30C90C28" w14:textId="07DC2F87">
            <w:pPr>
              <w:keepNext/>
              <w:spacing w:line="276" w:lineRule="auto"/>
              <w:outlineLvl w:val="0"/>
              <w:rPr>
                <w:rFonts w:ascii="Palatino Linotype" w:hAnsi="Palatino Linotype" w:eastAsia="Palatino Linotype" w:cs="Times New Roman"/>
                <w:color w:val="000000" w:themeColor="text1"/>
                <w:sz w:val="22"/>
                <w:szCs w:val="22"/>
              </w:rPr>
            </w:pPr>
            <w:r w:rsidRPr="00284901">
              <w:rPr>
                <w:rFonts w:ascii="Palatino Linotype" w:hAnsi="Palatino Linotype" w:eastAsia="Palatino Linotype" w:cs="Times New Roman"/>
                <w:color w:val="000000" w:themeColor="text1"/>
                <w:sz w:val="22"/>
                <w:szCs w:val="22"/>
              </w:rPr>
              <w:t>Community Impact &amp; Energy Conservation</w:t>
            </w:r>
            <w:r w:rsidR="003D53F8">
              <w:rPr>
                <w:rStyle w:val="FootnoteReference"/>
                <w:rFonts w:ascii="Palatino Linotype" w:hAnsi="Palatino Linotype" w:eastAsia="Palatino Linotype" w:cs="Times New Roman"/>
                <w:color w:val="000000" w:themeColor="text1"/>
                <w:sz w:val="22"/>
                <w:szCs w:val="22"/>
              </w:rPr>
              <w:footnoteReference w:id="47"/>
            </w:r>
          </w:p>
        </w:tc>
        <w:tc>
          <w:tcPr>
            <w:tcW w:w="630" w:type="dxa"/>
            <w:tcBorders>
              <w:top w:val="single" w:color="auto" w:sz="4" w:space="0"/>
              <w:left w:val="single" w:color="auto" w:sz="4" w:space="0"/>
              <w:bottom w:val="single" w:color="auto" w:sz="4" w:space="0"/>
              <w:right w:val="nil"/>
            </w:tcBorders>
          </w:tcPr>
          <w:p w:rsidRPr="008F6EFC" w:rsidR="009A49D2" w:rsidP="008B0199" w:rsidRDefault="003B0564" w14:paraId="2BE41E31" w14:textId="021DAA63">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A49D2" w:rsidP="003E3518" w:rsidRDefault="7B702538" w14:paraId="69671876" w14:textId="12AEF77E">
            <w:pPr>
              <w:keepNext/>
              <w:spacing w:line="276" w:lineRule="auto"/>
              <w:jc w:val="right"/>
              <w:outlineLvl w:val="0"/>
            </w:pPr>
            <w:r w:rsidRPr="693F203E">
              <w:rPr>
                <w:rFonts w:ascii="Palatino Linotype" w:hAnsi="Palatino Linotype" w:eastAsia="Palatino Linotype" w:cs="Times New Roman"/>
                <w:color w:val="000000" w:themeColor="text1"/>
                <w:sz w:val="22"/>
                <w:szCs w:val="22"/>
              </w:rPr>
              <w:t>1,704,600</w:t>
            </w:r>
          </w:p>
        </w:tc>
      </w:tr>
      <w:tr w:rsidRPr="00C736B0" w:rsidR="00917EF7" w:rsidTr="3642958B" w14:paraId="380E5503" w14:textId="77777777">
        <w:tc>
          <w:tcPr>
            <w:tcW w:w="2442" w:type="dxa"/>
            <w:vMerge/>
          </w:tcPr>
          <w:p w:rsidRPr="00C736B0" w:rsidR="00917EF7" w:rsidP="008B0199" w:rsidRDefault="00917EF7" w14:paraId="5A1C62FB"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8B0199" w:rsidRDefault="00917EF7" w14:paraId="0E0E1E70"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System Design &amp; Materials</w:t>
            </w:r>
          </w:p>
        </w:tc>
        <w:tc>
          <w:tcPr>
            <w:tcW w:w="630" w:type="dxa"/>
            <w:tcBorders>
              <w:top w:val="single" w:color="auto" w:sz="4" w:space="0"/>
              <w:left w:val="single" w:color="auto" w:sz="4" w:space="0"/>
              <w:bottom w:val="single" w:color="auto" w:sz="4" w:space="0"/>
              <w:right w:val="nil"/>
            </w:tcBorders>
          </w:tcPr>
          <w:p w:rsidRPr="00EF28B8" w:rsidR="00917EF7" w:rsidP="008B0199" w:rsidRDefault="00917EF7" w14:paraId="4EB26DB4"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77140307" w14:paraId="2E276304" w14:textId="0AD59EEA">
            <w:pPr>
              <w:keepNext/>
              <w:spacing w:line="276" w:lineRule="auto"/>
              <w:jc w:val="right"/>
              <w:outlineLvl w:val="0"/>
            </w:pPr>
            <w:r w:rsidRPr="693F203E">
              <w:rPr>
                <w:rFonts w:ascii="Palatino Linotype" w:hAnsi="Palatino Linotype" w:eastAsia="Palatino Linotype" w:cs="Times New Roman"/>
                <w:color w:val="000000" w:themeColor="text1"/>
                <w:sz w:val="22"/>
                <w:szCs w:val="22"/>
              </w:rPr>
              <w:t>852,300</w:t>
            </w:r>
          </w:p>
        </w:tc>
      </w:tr>
      <w:tr w:rsidRPr="00C736B0" w:rsidR="00917EF7" w:rsidTr="3642958B" w14:paraId="460356DB" w14:textId="77777777">
        <w:tc>
          <w:tcPr>
            <w:tcW w:w="2442" w:type="dxa"/>
            <w:vMerge/>
          </w:tcPr>
          <w:p w:rsidRPr="00C736B0" w:rsidR="00917EF7" w:rsidP="008B0199" w:rsidRDefault="00917EF7" w14:paraId="4D8A2DB4"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8B0199" w:rsidRDefault="00917EF7" w14:paraId="49083466"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RNG Infrastructure Optimization</w:t>
            </w:r>
          </w:p>
        </w:tc>
        <w:tc>
          <w:tcPr>
            <w:tcW w:w="630" w:type="dxa"/>
            <w:tcBorders>
              <w:top w:val="single" w:color="auto" w:sz="4" w:space="0"/>
              <w:left w:val="single" w:color="auto" w:sz="4" w:space="0"/>
              <w:bottom w:val="single" w:color="auto" w:sz="4" w:space="0"/>
              <w:right w:val="nil"/>
            </w:tcBorders>
          </w:tcPr>
          <w:p w:rsidRPr="00EF28B8" w:rsidR="00917EF7" w:rsidP="008B0199" w:rsidRDefault="00917EF7" w14:paraId="5ACEF702"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3375E70E" w14:paraId="50E6EC48" w14:textId="5D125D2E">
            <w:pPr>
              <w:keepNext/>
              <w:spacing w:line="276" w:lineRule="auto"/>
              <w:jc w:val="right"/>
              <w:outlineLvl w:val="0"/>
            </w:pPr>
            <w:r w:rsidRPr="693F203E">
              <w:rPr>
                <w:rFonts w:ascii="Palatino Linotype" w:hAnsi="Palatino Linotype" w:eastAsia="Palatino Linotype" w:cs="Times New Roman"/>
                <w:color w:val="000000" w:themeColor="text1"/>
                <w:sz w:val="22"/>
                <w:szCs w:val="22"/>
              </w:rPr>
              <w:t>2,556,9</w:t>
            </w:r>
            <w:r w:rsidRPr="693F203E" w:rsidR="39CA339A">
              <w:rPr>
                <w:rFonts w:ascii="Palatino Linotype" w:hAnsi="Palatino Linotype" w:eastAsia="Palatino Linotype" w:cs="Times New Roman"/>
                <w:color w:val="000000" w:themeColor="text1"/>
                <w:sz w:val="22"/>
                <w:szCs w:val="22"/>
              </w:rPr>
              <w:t>0</w:t>
            </w:r>
            <w:r w:rsidRPr="693F203E">
              <w:rPr>
                <w:rFonts w:ascii="Palatino Linotype" w:hAnsi="Palatino Linotype" w:eastAsia="Palatino Linotype" w:cs="Times New Roman"/>
                <w:color w:val="000000" w:themeColor="text1"/>
                <w:sz w:val="22"/>
                <w:szCs w:val="22"/>
              </w:rPr>
              <w:t>0</w:t>
            </w:r>
          </w:p>
        </w:tc>
      </w:tr>
      <w:tr w:rsidRPr="00C736B0" w:rsidR="00917EF7" w:rsidTr="3642958B" w14:paraId="2691357F" w14:textId="77777777">
        <w:tc>
          <w:tcPr>
            <w:tcW w:w="2442" w:type="dxa"/>
            <w:vMerge w:val="restart"/>
          </w:tcPr>
          <w:p w:rsidRPr="00C736B0" w:rsidR="00917EF7" w:rsidP="008B0199" w:rsidRDefault="00917EF7" w14:paraId="0927DB17"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bCs w:val="0"/>
                <w:color w:val="000000" w:themeColor="text1"/>
                <w:sz w:val="22"/>
                <w:szCs w:val="22"/>
              </w:rPr>
              <w:t>Decarbonization</w:t>
            </w:r>
          </w:p>
        </w:tc>
        <w:tc>
          <w:tcPr>
            <w:tcW w:w="4933" w:type="dxa"/>
            <w:tcBorders>
              <w:right w:val="single" w:color="auto" w:sz="4" w:space="0"/>
            </w:tcBorders>
          </w:tcPr>
          <w:p w:rsidRPr="00C736B0" w:rsidR="00917EF7" w:rsidP="008B0199" w:rsidRDefault="00917EF7" w14:paraId="590CB86D"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Low-Carbon Fuels Technologies</w:t>
            </w:r>
          </w:p>
        </w:tc>
        <w:tc>
          <w:tcPr>
            <w:tcW w:w="630" w:type="dxa"/>
            <w:tcBorders>
              <w:top w:val="single" w:color="auto" w:sz="4" w:space="0"/>
              <w:left w:val="single" w:color="auto" w:sz="4" w:space="0"/>
              <w:bottom w:val="single" w:color="auto" w:sz="4" w:space="0"/>
              <w:right w:val="nil"/>
            </w:tcBorders>
          </w:tcPr>
          <w:p w:rsidRPr="000C6988" w:rsidR="00917EF7" w:rsidP="008B0199" w:rsidRDefault="00917EF7" w14:paraId="580C1AD8"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451457A5" w14:paraId="636EA3DD" w14:textId="2AAE7763">
            <w:pPr>
              <w:keepNext/>
              <w:spacing w:line="276" w:lineRule="auto"/>
              <w:jc w:val="right"/>
              <w:outlineLvl w:val="0"/>
              <w:rPr>
                <w:rFonts w:ascii="Palatino Linotype" w:hAnsi="Palatino Linotype" w:eastAsia="Palatino Linotype" w:cs="Times New Roman"/>
                <w:color w:val="000000" w:themeColor="text1"/>
                <w:sz w:val="22"/>
                <w:szCs w:val="22"/>
              </w:rPr>
            </w:pPr>
            <w:r w:rsidRPr="693F203E">
              <w:rPr>
                <w:rFonts w:ascii="Palatino Linotype" w:hAnsi="Palatino Linotype" w:eastAsia="Palatino Linotype" w:cs="Times New Roman"/>
                <w:color w:val="000000" w:themeColor="text1"/>
                <w:sz w:val="22"/>
                <w:szCs w:val="22"/>
              </w:rPr>
              <w:t>2,556,9</w:t>
            </w:r>
            <w:r w:rsidRPr="693F203E" w:rsidR="1FDED35E">
              <w:rPr>
                <w:rFonts w:ascii="Palatino Linotype" w:hAnsi="Palatino Linotype" w:eastAsia="Palatino Linotype" w:cs="Times New Roman"/>
                <w:color w:val="000000" w:themeColor="text1"/>
                <w:sz w:val="22"/>
                <w:szCs w:val="22"/>
              </w:rPr>
              <w:t>00</w:t>
            </w:r>
          </w:p>
        </w:tc>
      </w:tr>
      <w:tr w:rsidRPr="00C736B0" w:rsidR="00917EF7" w:rsidTr="3642958B" w14:paraId="62144CAD" w14:textId="77777777">
        <w:tc>
          <w:tcPr>
            <w:tcW w:w="2442" w:type="dxa"/>
            <w:vMerge/>
          </w:tcPr>
          <w:p w:rsidRPr="00C736B0" w:rsidR="00917EF7" w:rsidP="008B0199" w:rsidRDefault="00917EF7" w14:paraId="2BBE054E"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8B0199" w:rsidRDefault="00917EF7" w14:paraId="33DE55B5"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Energy Reliability &amp; Resilience</w:t>
            </w:r>
          </w:p>
        </w:tc>
        <w:tc>
          <w:tcPr>
            <w:tcW w:w="630" w:type="dxa"/>
            <w:tcBorders>
              <w:top w:val="single" w:color="auto" w:sz="4" w:space="0"/>
              <w:left w:val="single" w:color="auto" w:sz="4" w:space="0"/>
              <w:bottom w:val="single" w:color="auto" w:sz="4" w:space="0"/>
              <w:right w:val="nil"/>
            </w:tcBorders>
          </w:tcPr>
          <w:p w:rsidRPr="000C6988" w:rsidR="00917EF7" w:rsidP="008B0199" w:rsidRDefault="00917EF7" w14:paraId="738AC875"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0AA6317A" w14:paraId="2E392A30" w14:textId="73957139">
            <w:pPr>
              <w:keepNext/>
              <w:spacing w:line="276" w:lineRule="auto"/>
              <w:jc w:val="right"/>
              <w:outlineLvl w:val="0"/>
            </w:pPr>
            <w:r w:rsidRPr="693F203E">
              <w:rPr>
                <w:rFonts w:ascii="Palatino Linotype" w:hAnsi="Palatino Linotype" w:eastAsia="Palatino Linotype" w:cs="Times New Roman"/>
                <w:color w:val="000000" w:themeColor="text1"/>
                <w:sz w:val="22"/>
                <w:szCs w:val="22"/>
              </w:rPr>
              <w:t>2,556,900</w:t>
            </w:r>
          </w:p>
        </w:tc>
      </w:tr>
      <w:tr w:rsidRPr="00C736B0" w:rsidR="00917EF7" w:rsidTr="3642958B" w14:paraId="5CF78C7B" w14:textId="77777777">
        <w:tc>
          <w:tcPr>
            <w:tcW w:w="2442" w:type="dxa"/>
            <w:vMerge/>
          </w:tcPr>
          <w:p w:rsidRPr="00C736B0" w:rsidR="00917EF7" w:rsidP="008B0199" w:rsidRDefault="00917EF7" w14:paraId="3FCE6F80"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917EF7" w:rsidP="008B0199" w:rsidRDefault="00917EF7" w14:paraId="6D98557E"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Building &amp; Facility Systems</w:t>
            </w:r>
          </w:p>
        </w:tc>
        <w:tc>
          <w:tcPr>
            <w:tcW w:w="630" w:type="dxa"/>
            <w:tcBorders>
              <w:top w:val="single" w:color="auto" w:sz="4" w:space="0"/>
              <w:left w:val="single" w:color="auto" w:sz="4" w:space="0"/>
              <w:bottom w:val="single" w:color="auto" w:sz="4" w:space="0"/>
              <w:right w:val="nil"/>
            </w:tcBorders>
          </w:tcPr>
          <w:p w:rsidRPr="000C6988" w:rsidR="00917EF7" w:rsidP="008B0199" w:rsidRDefault="00917EF7" w14:paraId="0814B45E"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46A067AA" w14:paraId="1D583BB7" w14:textId="2AA97D7A">
            <w:pPr>
              <w:keepNext/>
              <w:spacing w:line="276" w:lineRule="auto"/>
              <w:jc w:val="right"/>
              <w:outlineLvl w:val="0"/>
            </w:pPr>
            <w:r w:rsidRPr="693F203E">
              <w:rPr>
                <w:rFonts w:ascii="Palatino Linotype" w:hAnsi="Palatino Linotype" w:eastAsia="Palatino Linotype" w:cs="Times New Roman"/>
                <w:color w:val="000000" w:themeColor="text1"/>
                <w:sz w:val="22"/>
                <w:szCs w:val="22"/>
              </w:rPr>
              <w:t>1,704,600</w:t>
            </w:r>
          </w:p>
        </w:tc>
      </w:tr>
      <w:tr w:rsidRPr="00C736B0" w:rsidR="00917EF7" w:rsidTr="3642958B" w14:paraId="1758D48B" w14:textId="77777777">
        <w:tc>
          <w:tcPr>
            <w:tcW w:w="7375" w:type="dxa"/>
            <w:gridSpan w:val="2"/>
            <w:tcBorders>
              <w:right w:val="single" w:color="auto" w:sz="4" w:space="0"/>
            </w:tcBorders>
          </w:tcPr>
          <w:p w:rsidRPr="00C736B0" w:rsidR="00917EF7" w:rsidP="008B0199" w:rsidRDefault="00917EF7" w14:paraId="1FD542F2"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Program Administration</w:t>
            </w:r>
          </w:p>
        </w:tc>
        <w:tc>
          <w:tcPr>
            <w:tcW w:w="630" w:type="dxa"/>
            <w:tcBorders>
              <w:top w:val="single" w:color="auto" w:sz="4" w:space="0"/>
              <w:left w:val="single" w:color="auto" w:sz="4" w:space="0"/>
              <w:bottom w:val="single" w:color="auto" w:sz="4" w:space="0"/>
              <w:right w:val="nil"/>
            </w:tcBorders>
          </w:tcPr>
          <w:p w:rsidRPr="00BF2920" w:rsidR="00917EF7" w:rsidP="008B0199" w:rsidRDefault="00917EF7" w14:paraId="537605D8" w14:textId="77777777">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314B6CFF" w14:paraId="71CB17B1" w14:textId="3025BBE8">
            <w:pPr>
              <w:keepNext/>
              <w:spacing w:line="276" w:lineRule="auto"/>
              <w:jc w:val="right"/>
              <w:outlineLvl w:val="0"/>
            </w:pPr>
            <w:r w:rsidRPr="693F203E">
              <w:rPr>
                <w:rFonts w:ascii="Palatino Linotype" w:hAnsi="Palatino Linotype" w:eastAsia="Palatino Linotype" w:cs="Times New Roman"/>
                <w:color w:val="000000" w:themeColor="text1"/>
                <w:sz w:val="22"/>
                <w:szCs w:val="22"/>
              </w:rPr>
              <w:t>1,894,000</w:t>
            </w:r>
          </w:p>
        </w:tc>
      </w:tr>
      <w:tr w:rsidRPr="00C736B0" w:rsidR="00917EF7" w:rsidTr="3642958B" w14:paraId="07266596" w14:textId="77777777">
        <w:tc>
          <w:tcPr>
            <w:tcW w:w="7375" w:type="dxa"/>
            <w:gridSpan w:val="2"/>
            <w:tcBorders>
              <w:right w:val="single" w:color="auto" w:sz="4" w:space="0"/>
            </w:tcBorders>
          </w:tcPr>
          <w:p w:rsidRPr="00C736B0" w:rsidR="00917EF7" w:rsidP="008B0199" w:rsidRDefault="00917EF7" w14:paraId="45DE9A0F" w14:textId="77777777">
            <w:pPr>
              <w:keepNext/>
              <w:spacing w:line="276" w:lineRule="auto"/>
              <w:jc w:val="right"/>
              <w:outlineLvl w:val="0"/>
              <w:rPr>
                <w:rFonts w:ascii="Palatino Linotype" w:hAnsi="Palatino Linotype" w:eastAsia="Palatino Linotype" w:cs="Times New Roman"/>
                <w:b/>
                <w:color w:val="000000" w:themeColor="text1"/>
                <w:sz w:val="22"/>
                <w:szCs w:val="22"/>
              </w:rPr>
            </w:pPr>
            <w:r w:rsidRPr="00C736B0">
              <w:rPr>
                <w:rFonts w:ascii="Palatino Linotype" w:hAnsi="Palatino Linotype" w:eastAsia="Palatino Linotype" w:cs="Times New Roman"/>
                <w:b/>
                <w:color w:val="000000" w:themeColor="text1"/>
                <w:sz w:val="22"/>
                <w:szCs w:val="22"/>
              </w:rPr>
              <w:t>ANNUAL TOTAL:</w:t>
            </w:r>
          </w:p>
        </w:tc>
        <w:tc>
          <w:tcPr>
            <w:tcW w:w="630" w:type="dxa"/>
            <w:tcBorders>
              <w:top w:val="single" w:color="auto" w:sz="4" w:space="0"/>
              <w:left w:val="single" w:color="auto" w:sz="4" w:space="0"/>
              <w:bottom w:val="single" w:color="auto" w:sz="4" w:space="0"/>
              <w:right w:val="nil"/>
            </w:tcBorders>
          </w:tcPr>
          <w:p w:rsidRPr="00BF2920" w:rsidR="00917EF7" w:rsidP="008B0199" w:rsidRDefault="00917EF7" w14:paraId="07C908D2" w14:textId="77777777">
            <w:pPr>
              <w:keepNext/>
              <w:spacing w:line="276" w:lineRule="auto"/>
              <w:outlineLvl w:val="0"/>
              <w:rPr>
                <w:rFonts w:ascii="Palatino Linotype" w:hAnsi="Palatino Linotype" w:eastAsia="Palatino Linotype" w:cs="Times New Roman"/>
                <w:b/>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917EF7" w:rsidP="003E3518" w:rsidRDefault="43547668" w14:paraId="46640BD3" w14:textId="5A4DF75C">
            <w:pPr>
              <w:keepNext/>
              <w:spacing w:line="276" w:lineRule="auto"/>
              <w:jc w:val="right"/>
              <w:outlineLvl w:val="0"/>
            </w:pPr>
            <w:r w:rsidRPr="693F203E">
              <w:rPr>
                <w:rFonts w:ascii="Palatino Linotype" w:hAnsi="Palatino Linotype" w:eastAsia="Palatino Linotype" w:cs="Times New Roman"/>
                <w:b/>
                <w:color w:val="000000" w:themeColor="text1"/>
                <w:sz w:val="22"/>
                <w:szCs w:val="22"/>
              </w:rPr>
              <w:t>18,940,000</w:t>
            </w:r>
          </w:p>
        </w:tc>
      </w:tr>
    </w:tbl>
    <w:p w:rsidR="693F203E" w:rsidP="693F203E" w:rsidRDefault="693F203E" w14:paraId="57AF66FB" w14:textId="72A3DAAB">
      <w:pPr>
        <w:spacing w:after="0" w:line="276" w:lineRule="auto"/>
        <w:rPr>
          <w:rFonts w:ascii="Palatino Linotype" w:hAnsi="Palatino Linotype" w:eastAsia="Palatino Linotype" w:cs="Times New Roman"/>
          <w:color w:val="808080" w:themeColor="background1" w:themeShade="80"/>
          <w:highlight w:val="yellow"/>
        </w:rPr>
      </w:pPr>
    </w:p>
    <w:p w:rsidR="0E1FCE44" w:rsidP="693F203E" w:rsidRDefault="0E1FCE44" w14:paraId="60F31323" w14:textId="614C184E">
      <w:pPr>
        <w:spacing w:after="0"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i/>
          <w:iCs/>
          <w:color w:val="000000" w:themeColor="text1"/>
        </w:rPr>
        <w:t>Gas System Integrity Theme Proposed Initiatives</w:t>
      </w:r>
    </w:p>
    <w:p w:rsidR="693F203E" w:rsidP="693F203E" w:rsidRDefault="693F203E" w14:paraId="6A7E4EEA" w14:textId="032877AC">
      <w:pPr>
        <w:tabs>
          <w:tab w:val="left" w:pos="2465"/>
        </w:tabs>
        <w:spacing w:after="0" w:line="276" w:lineRule="auto"/>
        <w:rPr>
          <w:rFonts w:ascii="Palatino Linotype" w:hAnsi="Palatino Linotype" w:eastAsia="Palatino Linotype" w:cs="Palatino Linotype"/>
          <w:color w:val="000000" w:themeColor="text1"/>
        </w:rPr>
      </w:pPr>
    </w:p>
    <w:p w:rsidR="0E1FCE44" w:rsidP="693F203E" w:rsidRDefault="0E1FCE44" w14:paraId="1AE3A4A6" w14:textId="1F440F8F">
      <w:pPr>
        <w:spacing w:after="0"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t>SoCalGas states that it seeks to develop Initiatives within the Gas System Integrity Theme that support “supply, transmission, distribution, storage, and customers operations through innovations that enhance pipeline safety, maintain system reliability, increase operational efficiency, improve technologies needed to meet emerging regulatory requirements, increase operational efficiency, improve affordability, and reduce GHG impacts to the environment.”</w:t>
      </w:r>
      <w:r w:rsidRPr="693F203E">
        <w:rPr>
          <w:rStyle w:val="FootnoteReference"/>
          <w:rFonts w:ascii="Palatino Linotype" w:hAnsi="Palatino Linotype" w:eastAsia="Palatino Linotype" w:cs="Palatino Linotype"/>
          <w:color w:val="000000" w:themeColor="text1"/>
        </w:rPr>
        <w:footnoteReference w:id="48"/>
      </w:r>
    </w:p>
    <w:p w:rsidR="693F203E" w:rsidP="693F203E" w:rsidRDefault="693F203E" w14:paraId="62280CB6" w14:textId="20552AFA">
      <w:pPr>
        <w:spacing w:after="0" w:line="276" w:lineRule="auto"/>
        <w:rPr>
          <w:rFonts w:ascii="Palatino Linotype" w:hAnsi="Palatino Linotype" w:eastAsia="Palatino Linotype" w:cs="Palatino Linotype"/>
          <w:color w:val="000000" w:themeColor="text1"/>
        </w:rPr>
      </w:pPr>
    </w:p>
    <w:p w:rsidRPr="00B2445C" w:rsidR="0E1FCE44" w:rsidP="00477204" w:rsidRDefault="0E1FCE44" w14:paraId="149C58D1" w14:textId="42E06D55">
      <w:pPr>
        <w:pStyle w:val="ListParagraph"/>
        <w:numPr>
          <w:ilvl w:val="0"/>
          <w:numId w:val="7"/>
        </w:numPr>
        <w:spacing w:line="276" w:lineRule="auto"/>
        <w:rPr>
          <w:rFonts w:ascii="Palatino Linotype" w:hAnsi="Palatino Linotype" w:eastAsia="Palatino Linotype" w:cs="Palatino Linotype"/>
          <w:color w:val="000000" w:themeColor="text1"/>
        </w:rPr>
      </w:pPr>
      <w:r w:rsidRPr="00B2445C">
        <w:rPr>
          <w:rFonts w:ascii="Palatino Linotype" w:hAnsi="Palatino Linotype" w:eastAsia="Palatino Linotype" w:cs="Palatino Linotype"/>
          <w:color w:val="000000" w:themeColor="text1"/>
        </w:rPr>
        <w:t>Environmental &amp; Safety</w:t>
      </w:r>
      <w:r w:rsidRPr="00B2445C">
        <w:rPr>
          <w:rStyle w:val="FootnoteReference"/>
          <w:rFonts w:ascii="Palatino Linotype" w:hAnsi="Palatino Linotype" w:eastAsia="Palatino Linotype" w:cs="Palatino Linotype"/>
          <w:color w:val="000000" w:themeColor="text1"/>
        </w:rPr>
        <w:footnoteReference w:id="49"/>
      </w:r>
    </w:p>
    <w:p w:rsidRPr="00B2445C" w:rsidR="693F203E" w:rsidP="693F203E" w:rsidRDefault="70C4B854" w14:paraId="5B7AC33F" w14:textId="0060C5DB">
      <w:pPr>
        <w:spacing w:after="0" w:line="276" w:lineRule="auto"/>
        <w:ind w:left="720"/>
        <w:rPr>
          <w:rFonts w:ascii="Palatino Linotype" w:hAnsi="Palatino Linotype" w:eastAsia="Palatino Linotype" w:cs="Palatino Linotype"/>
          <w:color w:val="000000" w:themeColor="text1"/>
        </w:rPr>
      </w:pPr>
      <w:r w:rsidRPr="00B2445C">
        <w:rPr>
          <w:rFonts w:ascii="Palatino Linotype" w:hAnsi="Palatino Linotype"/>
          <w:color w:val="000000" w:themeColor="text1"/>
        </w:rPr>
        <w:t>SoCalGas</w:t>
      </w:r>
      <w:r w:rsidRPr="00B2445C">
        <w:rPr>
          <w:rFonts w:ascii="Palatino Linotype" w:hAnsi="Palatino Linotype" w:eastAsia="Palatino Linotype" w:cs="Times New Roman"/>
          <w:color w:val="000000" w:themeColor="text1"/>
        </w:rPr>
        <w:t xml:space="preserve"> states that it seeks to develop projects within the Environmental &amp; Safety Initiative </w:t>
      </w:r>
      <w:r w:rsidRPr="00B2445C">
        <w:rPr>
          <w:rFonts w:ascii="Palatino Linotype" w:hAnsi="Palatino Linotype" w:eastAsia="Palatino Linotype" w:cs="Palatino Linotype"/>
          <w:color w:val="000000" w:themeColor="text1"/>
        </w:rPr>
        <w:t xml:space="preserve">that </w:t>
      </w:r>
      <w:proofErr w:type="gramStart"/>
      <w:r w:rsidRPr="00B2445C">
        <w:rPr>
          <w:rFonts w:ascii="Palatino Linotype" w:hAnsi="Palatino Linotype" w:eastAsia="Palatino Linotype" w:cs="Palatino Linotype"/>
          <w:color w:val="000000" w:themeColor="text1"/>
        </w:rPr>
        <w:t>promote</w:t>
      </w:r>
      <w:proofErr w:type="gramEnd"/>
      <w:r w:rsidRPr="00B2445C">
        <w:rPr>
          <w:rFonts w:ascii="Palatino Linotype" w:hAnsi="Palatino Linotype" w:eastAsia="Palatino Linotype" w:cs="Palatino Linotype"/>
          <w:color w:val="000000" w:themeColor="text1"/>
        </w:rPr>
        <w:t xml:space="preserve"> a shift from reactive leak repairs to predictive prevention.</w:t>
      </w:r>
      <w:r w:rsidRPr="00B2445C" w:rsidR="30DE5A82">
        <w:rPr>
          <w:rFonts w:ascii="Palatino Linotype" w:hAnsi="Palatino Linotype" w:eastAsia="Palatino Linotype" w:cs="Palatino Linotype"/>
          <w:color w:val="000000" w:themeColor="text1"/>
        </w:rPr>
        <w:t xml:space="preserve"> Research </w:t>
      </w:r>
      <w:r w:rsidRPr="00B2445C" w:rsidR="7FC3FBA2">
        <w:rPr>
          <w:rFonts w:ascii="Palatino Linotype" w:hAnsi="Palatino Linotype" w:eastAsia="Palatino Linotype" w:cs="Palatino Linotype"/>
          <w:color w:val="000000" w:themeColor="text1"/>
        </w:rPr>
        <w:t>Topics</w:t>
      </w:r>
      <w:r w:rsidRPr="00B2445C" w:rsidR="30DE5A82">
        <w:rPr>
          <w:rFonts w:ascii="Palatino Linotype" w:hAnsi="Palatino Linotype" w:eastAsia="Palatino Linotype" w:cs="Palatino Linotype"/>
          <w:color w:val="000000" w:themeColor="text1"/>
        </w:rPr>
        <w:t xml:space="preserve"> include: (i) integrate and analyze existing data from siloed systems to uncover prominent failure modes, and (ii) leverage above-ground failure mode data and lessons learned from prior research to identify and validate cost-effective leak prevention solutions.</w:t>
      </w:r>
      <w:r w:rsidRPr="00B2445C" w:rsidR="10B40FC6">
        <w:rPr>
          <w:rFonts w:ascii="Palatino Linotype" w:hAnsi="Palatino Linotype" w:eastAsia="Palatino Linotype" w:cs="Palatino Linotype"/>
          <w:color w:val="000000" w:themeColor="text1"/>
        </w:rPr>
        <w:t xml:space="preserve"> </w:t>
      </w:r>
      <w:r w:rsidRPr="00B2445C" w:rsidR="30DE5A82">
        <w:rPr>
          <w:rFonts w:ascii="Palatino Linotype" w:hAnsi="Palatino Linotype" w:eastAsia="Palatino Linotype" w:cs="Palatino Linotype"/>
          <w:color w:val="000000" w:themeColor="text1"/>
        </w:rPr>
        <w:t xml:space="preserve">SoCalGas lists potential metrics </w:t>
      </w:r>
      <w:r w:rsidRPr="00B2445C" w:rsidR="30DE5A82">
        <w:rPr>
          <w:rFonts w:ascii="Palatino Linotype" w:hAnsi="Palatino Linotype" w:eastAsia="Palatino Linotype" w:cs="Palatino Linotype"/>
          <w:color w:val="000000" w:themeColor="text1"/>
        </w:rPr>
        <w:lastRenderedPageBreak/>
        <w:t>for tracking and evaluating impacts from the Initiative, including reductions in both GHG emissions and inspection, maintenance, and repair</w:t>
      </w:r>
      <w:r w:rsidRPr="00B2445C" w:rsidR="7B59B15C">
        <w:rPr>
          <w:rFonts w:ascii="Palatino Linotype" w:hAnsi="Palatino Linotype" w:eastAsia="Palatino Linotype" w:cs="Palatino Linotype"/>
          <w:color w:val="000000" w:themeColor="text1"/>
        </w:rPr>
        <w:t xml:space="preserve"> costs</w:t>
      </w:r>
      <w:r w:rsidRPr="00B2445C" w:rsidR="06834C53">
        <w:rPr>
          <w:rFonts w:ascii="Palatino Linotype" w:hAnsi="Palatino Linotype" w:eastAsia="Palatino Linotype" w:cs="Palatino Linotype"/>
          <w:color w:val="000000" w:themeColor="text1"/>
        </w:rPr>
        <w:t>.</w:t>
      </w:r>
      <w:r w:rsidRPr="00B2445C" w:rsidR="2798E67F">
        <w:rPr>
          <w:rFonts w:ascii="Palatino Linotype" w:hAnsi="Palatino Linotype" w:eastAsia="Palatino Linotype" w:cs="Palatino Linotype"/>
          <w:color w:val="000000" w:themeColor="text1"/>
        </w:rPr>
        <w:t xml:space="preserve"> </w:t>
      </w:r>
      <w:r w:rsidRPr="00B2445C" w:rsidR="0E1FCE44">
        <w:rPr>
          <w:rFonts w:ascii="Palatino Linotype" w:hAnsi="Palatino Linotype" w:eastAsia="Palatino Linotype" w:cs="Palatino Linotype"/>
          <w:color w:val="000000" w:themeColor="text1"/>
        </w:rPr>
        <w:t>SoCalGas proposes to allocate $2,556,900 in its 2026 Plan.</w:t>
      </w:r>
    </w:p>
    <w:p w:rsidR="7510854C" w:rsidP="7510854C" w:rsidRDefault="7510854C" w14:paraId="2B5A2A9D" w14:textId="42FD030B">
      <w:pPr>
        <w:spacing w:after="0" w:line="276" w:lineRule="auto"/>
        <w:ind w:left="720"/>
        <w:rPr>
          <w:rFonts w:ascii="Palatino Linotype" w:hAnsi="Palatino Linotype" w:eastAsia="Palatino Linotype" w:cs="Palatino Linotype"/>
          <w:color w:val="000000" w:themeColor="text1"/>
        </w:rPr>
      </w:pPr>
    </w:p>
    <w:p w:rsidR="00ED4983" w:rsidP="00477204" w:rsidRDefault="0E1FCE44" w14:paraId="46ED9E67" w14:textId="6A9AF335">
      <w:pPr>
        <w:pStyle w:val="ListParagraph"/>
        <w:numPr>
          <w:ilvl w:val="0"/>
          <w:numId w:val="7"/>
        </w:numPr>
        <w:spacing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t>System Inspection &amp; Monitoring</w:t>
      </w:r>
      <w:r w:rsidRPr="6F1FEA14">
        <w:rPr>
          <w:rStyle w:val="FootnoteReference"/>
          <w:rFonts w:ascii="Palatino Linotype" w:hAnsi="Palatino Linotype" w:eastAsia="Palatino Linotype" w:cs="Palatino Linotype"/>
          <w:color w:val="000000" w:themeColor="text1"/>
        </w:rPr>
        <w:footnoteReference w:id="50"/>
      </w:r>
    </w:p>
    <w:p w:rsidRPr="00CF2644" w:rsidR="00CF2644" w:rsidP="00CF2644" w:rsidRDefault="00CF2644" w14:paraId="01F90889" w14:textId="49C922B8">
      <w:pPr>
        <w:pStyle w:val="ListParagraph"/>
        <w:spacing w:line="276" w:lineRule="auto"/>
        <w:ind w:left="1080"/>
        <w:rPr>
          <w:rFonts w:ascii="Palatino Linotype" w:hAnsi="Palatino Linotype" w:eastAsia="Palatino Linotype" w:cs="Palatino Linotype"/>
          <w:color w:val="000000" w:themeColor="text1"/>
          <w:sz w:val="10"/>
          <w:szCs w:val="10"/>
        </w:rPr>
      </w:pPr>
      <w:r w:rsidRPr="00CF2644">
        <w:rPr>
          <w:rFonts w:ascii="Palatino Linotype" w:hAnsi="Palatino Linotype" w:eastAsia="Palatino Linotype" w:cs="Palatino Linotype"/>
          <w:color w:val="000000" w:themeColor="text1"/>
          <w:sz w:val="10"/>
          <w:szCs w:val="10"/>
        </w:rPr>
        <w:t xml:space="preserve"> </w:t>
      </w:r>
    </w:p>
    <w:p w:rsidRPr="00B2445C" w:rsidR="00ED4983" w:rsidP="6F1FEA14" w:rsidRDefault="0E1FCE44" w14:paraId="7180A9F9" w14:textId="79B39B5A">
      <w:pPr>
        <w:pStyle w:val="ListParagraph"/>
        <w:spacing w:after="0" w:line="276" w:lineRule="auto"/>
        <w:rPr>
          <w:rFonts w:ascii="Palatino Linotype" w:hAnsi="Palatino Linotype" w:eastAsia="Palatino Linotype" w:cs="Palatino Linotype"/>
          <w:color w:val="000000" w:themeColor="text1"/>
        </w:rPr>
      </w:pPr>
      <w:r w:rsidRPr="00B2445C">
        <w:rPr>
          <w:rFonts w:ascii="Palatino Linotype" w:hAnsi="Palatino Linotype" w:eastAsia="Palatino Linotype" w:cs="Palatino Linotype"/>
          <w:color w:val="000000" w:themeColor="text1"/>
        </w:rPr>
        <w:t xml:space="preserve">SoCalGas states that it seeks to develop projects within the System Inspection &amp; Monitoring Initiative to adopt techniques from adjacent technologies to increase operational efficiencies, leverage artificial intelligence (AI) to connect disparate data sources, </w:t>
      </w:r>
      <w:r w:rsidRPr="00B2445C" w:rsidR="00B34B80">
        <w:rPr>
          <w:rFonts w:ascii="Palatino Linotype" w:hAnsi="Palatino Linotype" w:eastAsia="Palatino Linotype" w:cs="Palatino Linotype"/>
          <w:color w:val="000000" w:themeColor="text1"/>
        </w:rPr>
        <w:t xml:space="preserve">and </w:t>
      </w:r>
      <w:r w:rsidRPr="00B2445C">
        <w:rPr>
          <w:rFonts w:ascii="Palatino Linotype" w:hAnsi="Palatino Linotype" w:eastAsia="Palatino Linotype" w:cs="Palatino Linotype"/>
          <w:color w:val="000000" w:themeColor="text1"/>
        </w:rPr>
        <w:t xml:space="preserve">improve access and usability of real time information for field employees. </w:t>
      </w:r>
      <w:r w:rsidRPr="00B2445C" w:rsidR="00C93510">
        <w:rPr>
          <w:rFonts w:ascii="Palatino Linotype" w:hAnsi="Palatino Linotype" w:eastAsia="Palatino Linotype" w:cs="Times New Roman"/>
          <w:color w:val="000000" w:themeColor="text1"/>
          <w:kern w:val="0"/>
          <w14:ligatures w14:val="none"/>
        </w:rPr>
        <w:t>Research Topics</w:t>
      </w:r>
      <w:r w:rsidRPr="00B2445C" w:rsidR="00C93510">
        <w:rPr>
          <w:rFonts w:ascii="Palatino Linotype" w:hAnsi="Palatino Linotype" w:eastAsia="Palatino Linotype" w:cs="Times New Roman"/>
          <w:color w:val="000000" w:themeColor="text1"/>
        </w:rPr>
        <w:t xml:space="preserve"> </w:t>
      </w:r>
      <w:proofErr w:type="gramStart"/>
      <w:r w:rsidRPr="00B2445C" w:rsidR="00C93510">
        <w:rPr>
          <w:rFonts w:ascii="Palatino Linotype" w:hAnsi="Palatino Linotype" w:eastAsia="Palatino Linotype" w:cs="Times New Roman"/>
          <w:color w:val="000000" w:themeColor="text1"/>
        </w:rPr>
        <w:t>include</w:t>
      </w:r>
      <w:r w:rsidRPr="00B2445C">
        <w:rPr>
          <w:rFonts w:ascii="Palatino Linotype" w:hAnsi="Palatino Linotype" w:eastAsia="Palatino Linotype" w:cs="Palatino Linotype"/>
          <w:color w:val="000000" w:themeColor="text1"/>
        </w:rPr>
        <w:t>:</w:t>
      </w:r>
      <w:proofErr w:type="gramEnd"/>
      <w:r w:rsidRPr="00B2445C" w:rsidR="002D79F1">
        <w:rPr>
          <w:rFonts w:ascii="Palatino Linotype" w:hAnsi="Palatino Linotype" w:eastAsia="Palatino Linotype" w:cs="Palatino Linotype"/>
          <w:color w:val="000000" w:themeColor="text1"/>
        </w:rPr>
        <w:t xml:space="preserve"> developing</w:t>
      </w:r>
      <w:r w:rsidRPr="00B2445C">
        <w:rPr>
          <w:rFonts w:ascii="Palatino Linotype" w:hAnsi="Palatino Linotype" w:eastAsia="Palatino Linotype" w:cs="Palatino Linotype"/>
          <w:color w:val="000000" w:themeColor="text1"/>
        </w:rPr>
        <w:t xml:space="preserve"> (i) alternate in-line inspection tool calibration methods; (ii) tools to analyze and model geohazard impacts, machine learning (ML) or </w:t>
      </w:r>
      <w:r w:rsidRPr="00B2445C" w:rsidR="007B5067">
        <w:rPr>
          <w:rFonts w:ascii="Palatino Linotype" w:hAnsi="Palatino Linotype" w:eastAsia="Palatino Linotype" w:cs="Palatino Linotype"/>
          <w:color w:val="000000" w:themeColor="text1"/>
        </w:rPr>
        <w:t>AI</w:t>
      </w:r>
      <w:r w:rsidRPr="00B2445C">
        <w:rPr>
          <w:rFonts w:ascii="Palatino Linotype" w:hAnsi="Palatino Linotype" w:eastAsia="Palatino Linotype" w:cs="Palatino Linotype"/>
          <w:color w:val="000000" w:themeColor="text1"/>
        </w:rPr>
        <w:t xml:space="preserve"> assisted; and (iii)</w:t>
      </w:r>
      <w:r w:rsidRPr="00B2445C" w:rsidR="008F46C3">
        <w:rPr>
          <w:rFonts w:ascii="Palatino Linotype" w:hAnsi="Palatino Linotype" w:eastAsia="Palatino Linotype" w:cs="Palatino Linotype"/>
          <w:color w:val="000000" w:themeColor="text1"/>
        </w:rPr>
        <w:t xml:space="preserve"> tools to streamline system inspections </w:t>
      </w:r>
      <w:r w:rsidRPr="00B2445C" w:rsidR="002D79F1">
        <w:rPr>
          <w:rFonts w:ascii="Palatino Linotype" w:hAnsi="Palatino Linotype" w:eastAsia="Palatino Linotype" w:cs="Palatino Linotype"/>
          <w:color w:val="000000" w:themeColor="text1"/>
        </w:rPr>
        <w:t xml:space="preserve">by </w:t>
      </w:r>
      <w:r w:rsidRPr="00B2445C">
        <w:rPr>
          <w:rFonts w:ascii="Palatino Linotype" w:hAnsi="Palatino Linotype" w:eastAsia="Palatino Linotype" w:cs="Palatino Linotype"/>
          <w:color w:val="000000" w:themeColor="text1"/>
        </w:rPr>
        <w:t>leveraging existing electronic data</w:t>
      </w:r>
      <w:r w:rsidRPr="00B2445C" w:rsidR="002D79F1">
        <w:rPr>
          <w:rFonts w:ascii="Palatino Linotype" w:hAnsi="Palatino Linotype" w:eastAsia="Palatino Linotype" w:cs="Palatino Linotype"/>
          <w:color w:val="000000" w:themeColor="text1"/>
        </w:rPr>
        <w:t xml:space="preserve">. </w:t>
      </w:r>
      <w:r w:rsidRPr="00B2445C">
        <w:rPr>
          <w:rFonts w:ascii="Palatino Linotype" w:hAnsi="Palatino Linotype" w:eastAsia="Palatino Linotype" w:cs="Palatino Linotype"/>
          <w:color w:val="000000" w:themeColor="text1"/>
        </w:rPr>
        <w:t>SoCalGas lists potential metrics for tracking and evaluating impacts from this Initiative, including reduced out-of-service time for infrastructure and increased energy availability. SoCalGas proposes to allocate $2,556,900 in its 2026 Plan.</w:t>
      </w:r>
    </w:p>
    <w:p w:rsidR="00ED4983" w:rsidP="00ED4983" w:rsidRDefault="00ED4983" w14:paraId="1A6E52E1" w14:textId="77777777">
      <w:pPr>
        <w:spacing w:after="0" w:line="276" w:lineRule="auto"/>
        <w:ind w:left="720"/>
        <w:rPr>
          <w:rFonts w:ascii="Palatino Linotype" w:hAnsi="Palatino Linotype" w:eastAsia="Palatino Linotype" w:cs="Palatino Linotype"/>
          <w:color w:val="000000" w:themeColor="text1"/>
        </w:rPr>
      </w:pPr>
    </w:p>
    <w:p w:rsidRPr="001E7BC0" w:rsidR="0E1FCE44" w:rsidP="00477204" w:rsidRDefault="0E1FCE44" w14:paraId="3AFDEF6C" w14:textId="411CDA51">
      <w:pPr>
        <w:pStyle w:val="ListParagraph"/>
        <w:numPr>
          <w:ilvl w:val="0"/>
          <w:numId w:val="6"/>
        </w:numPr>
        <w:spacing w:line="276" w:lineRule="auto"/>
        <w:rPr>
          <w:rFonts w:ascii="Palatino Linotype" w:hAnsi="Palatino Linotype" w:eastAsia="Palatino Linotype" w:cs="Palatino Linotype"/>
          <w:color w:val="000000" w:themeColor="text1"/>
        </w:rPr>
      </w:pPr>
      <w:r w:rsidRPr="001E7BC0">
        <w:rPr>
          <w:rFonts w:ascii="Palatino Linotype" w:hAnsi="Palatino Linotype" w:eastAsia="Palatino Linotype" w:cs="Palatino Linotype"/>
          <w:color w:val="000000" w:themeColor="text1"/>
        </w:rPr>
        <w:t>Community Impact and Energy Conservation</w:t>
      </w:r>
      <w:r w:rsidRPr="001E7BC0">
        <w:rPr>
          <w:rStyle w:val="FootnoteReference"/>
          <w:rFonts w:ascii="Palatino Linotype" w:hAnsi="Palatino Linotype" w:eastAsia="Palatino Linotype" w:cs="Palatino Linotype"/>
          <w:color w:val="000000" w:themeColor="text1"/>
        </w:rPr>
        <w:footnoteReference w:id="51"/>
      </w:r>
    </w:p>
    <w:p w:rsidRPr="001E7BC0" w:rsidR="0E1FCE44" w:rsidP="693F203E" w:rsidRDefault="0E1FCE44" w14:paraId="6234FFE4" w14:textId="22DC9D56">
      <w:pPr>
        <w:spacing w:after="0" w:line="276" w:lineRule="auto"/>
        <w:ind w:left="720"/>
        <w:rPr>
          <w:rFonts w:ascii="Palatino Linotype" w:hAnsi="Palatino Linotype" w:eastAsia="Palatino Linotype" w:cs="Palatino Linotype"/>
          <w:color w:val="000000" w:themeColor="text1"/>
        </w:rPr>
      </w:pPr>
      <w:r w:rsidRPr="001E7BC0">
        <w:rPr>
          <w:rFonts w:ascii="Palatino Linotype" w:hAnsi="Palatino Linotype" w:eastAsia="Palatino Linotype" w:cs="Palatino Linotype"/>
          <w:color w:val="000000" w:themeColor="text1"/>
        </w:rPr>
        <w:t>SoCalGas states that it seeks to develop projects within the Community Impact and Energy Conservation Initiative to reduce unintentional ratepayer gas usage by enhancing advanced meter algorithms that rely on historic aerial survey data and enabling the detection of previously unknown ratepayer gas and hot water leaks while reducing false positives. Research Topics include</w:t>
      </w:r>
      <w:r w:rsidRPr="001E7BC0" w:rsidR="003A7755">
        <w:rPr>
          <w:rFonts w:ascii="Palatino Linotype" w:hAnsi="Palatino Linotype" w:eastAsia="Palatino Linotype" w:cs="Palatino Linotype"/>
          <w:color w:val="000000" w:themeColor="text1"/>
        </w:rPr>
        <w:t>: (i)</w:t>
      </w:r>
      <w:r w:rsidRPr="001E7BC0">
        <w:rPr>
          <w:rFonts w:ascii="Palatino Linotype" w:hAnsi="Palatino Linotype" w:eastAsia="Palatino Linotype" w:cs="Palatino Linotype"/>
          <w:color w:val="000000" w:themeColor="text1"/>
        </w:rPr>
        <w:t xml:space="preserve"> improving methods for anomaly detection across ratepayer profiles</w:t>
      </w:r>
      <w:r w:rsidRPr="001E7BC0" w:rsidR="00691AD4">
        <w:rPr>
          <w:rFonts w:ascii="Palatino Linotype" w:hAnsi="Palatino Linotype" w:eastAsia="Palatino Linotype" w:cs="Palatino Linotype"/>
          <w:color w:val="000000" w:themeColor="text1"/>
        </w:rPr>
        <w:t xml:space="preserve">, </w:t>
      </w:r>
      <w:r w:rsidRPr="001E7BC0">
        <w:rPr>
          <w:rFonts w:ascii="Palatino Linotype" w:hAnsi="Palatino Linotype" w:eastAsia="Palatino Linotype" w:cs="Palatino Linotype"/>
          <w:color w:val="000000" w:themeColor="text1"/>
        </w:rPr>
        <w:t xml:space="preserve">and </w:t>
      </w:r>
      <w:r w:rsidRPr="001E7BC0" w:rsidR="003A7755">
        <w:rPr>
          <w:rFonts w:ascii="Palatino Linotype" w:hAnsi="Palatino Linotype" w:eastAsia="Palatino Linotype" w:cs="Palatino Linotype"/>
          <w:color w:val="000000" w:themeColor="text1"/>
        </w:rPr>
        <w:t xml:space="preserve">(ii) </w:t>
      </w:r>
      <w:r w:rsidRPr="001E7BC0">
        <w:rPr>
          <w:rFonts w:ascii="Palatino Linotype" w:hAnsi="Palatino Linotype" w:eastAsia="Palatino Linotype" w:cs="Palatino Linotype"/>
          <w:color w:val="000000" w:themeColor="text1"/>
        </w:rPr>
        <w:t xml:space="preserve">developing methods to reduce false alerts that drive field visits and higher operating costs. </w:t>
      </w:r>
      <w:r w:rsidRPr="001E7BC0" w:rsidR="00866E25">
        <w:rPr>
          <w:rFonts w:ascii="Palatino Linotype" w:hAnsi="Palatino Linotype" w:eastAsia="Palatino Linotype" w:cs="Palatino Linotype"/>
          <w:color w:val="000000" w:themeColor="text1"/>
        </w:rPr>
        <w:t>SoCalGas lists potential metrics for tracking and evaluating impacts from this Initiative</w:t>
      </w:r>
      <w:r w:rsidRPr="001E7BC0">
        <w:rPr>
          <w:rFonts w:ascii="Palatino Linotype" w:hAnsi="Palatino Linotype" w:eastAsia="Palatino Linotype" w:cs="Palatino Linotype"/>
          <w:color w:val="000000" w:themeColor="text1"/>
        </w:rPr>
        <w:t>, including reduction</w:t>
      </w:r>
      <w:r w:rsidRPr="001E7BC0" w:rsidR="004C6518">
        <w:rPr>
          <w:rFonts w:ascii="Palatino Linotype" w:hAnsi="Palatino Linotype" w:eastAsia="Palatino Linotype" w:cs="Palatino Linotype"/>
          <w:color w:val="000000" w:themeColor="text1"/>
        </w:rPr>
        <w:t>s</w:t>
      </w:r>
      <w:r w:rsidRPr="001E7BC0">
        <w:rPr>
          <w:rFonts w:ascii="Palatino Linotype" w:hAnsi="Palatino Linotype" w:eastAsia="Palatino Linotype" w:cs="Palatino Linotype"/>
          <w:color w:val="000000" w:themeColor="text1"/>
        </w:rPr>
        <w:t xml:space="preserve"> in energy usage for ratepayers, repair and maintenance costs, and GHG emissions measured in metric tons of CO2e. SoCalGas proposes to allocate $1,704,600 in its 2026 Plan.</w:t>
      </w:r>
    </w:p>
    <w:p w:rsidR="693F203E" w:rsidP="693F203E" w:rsidRDefault="693F203E" w14:paraId="3D4320DD" w14:textId="146D0DBF">
      <w:pPr>
        <w:spacing w:after="0" w:line="276" w:lineRule="auto"/>
        <w:rPr>
          <w:rFonts w:ascii="Palatino Linotype" w:hAnsi="Palatino Linotype" w:eastAsia="Palatino Linotype" w:cs="Palatino Linotype"/>
          <w:color w:val="000000" w:themeColor="text1"/>
        </w:rPr>
      </w:pPr>
    </w:p>
    <w:p w:rsidRPr="001E7BC0" w:rsidR="0E1FCE44" w:rsidP="0038057B" w:rsidRDefault="0E1FCE44" w14:paraId="26C87F7C" w14:textId="601AA3FA">
      <w:pPr>
        <w:pStyle w:val="ListParagraph"/>
        <w:keepNext/>
        <w:numPr>
          <w:ilvl w:val="0"/>
          <w:numId w:val="7"/>
        </w:numPr>
        <w:spacing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lastRenderedPageBreak/>
        <w:t xml:space="preserve">System </w:t>
      </w:r>
      <w:r w:rsidRPr="001E7BC0">
        <w:rPr>
          <w:rFonts w:ascii="Palatino Linotype" w:hAnsi="Palatino Linotype" w:eastAsia="Palatino Linotype" w:cs="Palatino Linotype"/>
          <w:color w:val="000000" w:themeColor="text1"/>
        </w:rPr>
        <w:t>Design &amp; Materials</w:t>
      </w:r>
      <w:r w:rsidRPr="001E7BC0" w:rsidR="005314A4">
        <w:rPr>
          <w:rStyle w:val="FootnoteReference"/>
          <w:rFonts w:ascii="Palatino Linotype" w:hAnsi="Palatino Linotype" w:eastAsia="Palatino Linotype" w:cs="Palatino Linotype"/>
          <w:color w:val="000000" w:themeColor="text1"/>
        </w:rPr>
        <w:footnoteReference w:id="52"/>
      </w:r>
      <w:r w:rsidRPr="001E7BC0" w:rsidR="005314A4">
        <w:rPr>
          <w:rStyle w:val="FootnoteReference"/>
          <w:rFonts w:ascii="Palatino Linotype" w:hAnsi="Palatino Linotype" w:eastAsia="Palatino Linotype" w:cs="Palatino Linotype"/>
          <w:color w:val="000000" w:themeColor="text1"/>
        </w:rPr>
        <w:t xml:space="preserve">  </w:t>
      </w:r>
    </w:p>
    <w:p w:rsidRPr="001E7BC0" w:rsidR="0E1FCE44" w:rsidP="0038057B" w:rsidRDefault="0E1FCE44" w14:paraId="5105C567" w14:textId="366F95FA">
      <w:pPr>
        <w:keepNext/>
        <w:spacing w:after="0" w:line="276" w:lineRule="auto"/>
        <w:ind w:left="720"/>
        <w:rPr>
          <w:rFonts w:ascii="Palatino Linotype" w:hAnsi="Palatino Linotype" w:eastAsia="Palatino Linotype" w:cs="Palatino Linotype"/>
          <w:color w:val="000000" w:themeColor="text1"/>
        </w:rPr>
      </w:pPr>
      <w:r w:rsidRPr="001E7BC0">
        <w:rPr>
          <w:rFonts w:ascii="Palatino Linotype" w:hAnsi="Palatino Linotype" w:eastAsia="Palatino Linotype" w:cs="Palatino Linotype"/>
          <w:color w:val="000000" w:themeColor="text1"/>
        </w:rPr>
        <w:t xml:space="preserve">SoCalGas states that it seeks to develop projects within the System Design &amp; Materials Initiative </w:t>
      </w:r>
      <w:r w:rsidRPr="001E7BC0" w:rsidR="00B173B3">
        <w:rPr>
          <w:rFonts w:ascii="Palatino Linotype" w:hAnsi="Palatino Linotype" w:eastAsia="Palatino Linotype" w:cs="Palatino Linotype"/>
          <w:color w:val="000000" w:themeColor="text1"/>
        </w:rPr>
        <w:t xml:space="preserve">to </w:t>
      </w:r>
      <w:r w:rsidRPr="001E7BC0" w:rsidR="005557D6">
        <w:rPr>
          <w:rFonts w:ascii="Palatino Linotype" w:hAnsi="Palatino Linotype" w:eastAsia="Palatino Linotype" w:cs="Palatino Linotype"/>
          <w:color w:val="000000" w:themeColor="text1"/>
        </w:rPr>
        <w:t>develop robust PE pipe</w:t>
      </w:r>
      <w:r w:rsidRPr="001E7BC0" w:rsidR="00B173B3">
        <w:rPr>
          <w:rFonts w:ascii="Palatino Linotype" w:hAnsi="Palatino Linotype" w:eastAsia="Palatino Linotype" w:cs="Palatino Linotype"/>
          <w:color w:val="000000" w:themeColor="text1"/>
        </w:rPr>
        <w:t xml:space="preserve"> </w:t>
      </w:r>
      <w:r w:rsidRPr="001E7BC0" w:rsidR="005557D6">
        <w:rPr>
          <w:rFonts w:ascii="Palatino Linotype" w:hAnsi="Palatino Linotype" w:eastAsia="Palatino Linotype" w:cs="Palatino Linotype"/>
          <w:color w:val="000000" w:themeColor="text1"/>
        </w:rPr>
        <w:t xml:space="preserve">lifetime prediction models supported by field sampling and material aging data; </w:t>
      </w:r>
      <w:r w:rsidRPr="001E7BC0" w:rsidR="000F1A13">
        <w:rPr>
          <w:rFonts w:ascii="Palatino Linotype" w:hAnsi="Palatino Linotype" w:eastAsia="Palatino Linotype" w:cs="Palatino Linotype"/>
          <w:color w:val="000000" w:themeColor="text1"/>
        </w:rPr>
        <w:t xml:space="preserve">develop models to assess new technologies and alternatives to replacement; and </w:t>
      </w:r>
      <w:r w:rsidRPr="001E7BC0" w:rsidR="00A7298A">
        <w:rPr>
          <w:rFonts w:ascii="Palatino Linotype" w:hAnsi="Palatino Linotype" w:eastAsia="Palatino Linotype" w:cs="Palatino Linotype"/>
          <w:color w:val="000000" w:themeColor="text1"/>
        </w:rPr>
        <w:t>enhanc</w:t>
      </w:r>
      <w:r w:rsidRPr="001E7BC0" w:rsidR="00B173B3">
        <w:rPr>
          <w:rFonts w:ascii="Palatino Linotype" w:hAnsi="Palatino Linotype" w:eastAsia="Palatino Linotype" w:cs="Palatino Linotype"/>
          <w:color w:val="000000" w:themeColor="text1"/>
        </w:rPr>
        <w:t>e</w:t>
      </w:r>
      <w:r w:rsidRPr="001E7BC0" w:rsidR="00A7298A">
        <w:rPr>
          <w:rFonts w:ascii="Palatino Linotype" w:hAnsi="Palatino Linotype" w:eastAsia="Palatino Linotype" w:cs="Palatino Linotype"/>
          <w:color w:val="000000" w:themeColor="text1"/>
        </w:rPr>
        <w:t>, test, and</w:t>
      </w:r>
      <w:r w:rsidRPr="001E7BC0" w:rsidR="00B173B3">
        <w:rPr>
          <w:rFonts w:ascii="Palatino Linotype" w:hAnsi="Palatino Linotype" w:eastAsia="Palatino Linotype" w:cs="Palatino Linotype"/>
          <w:color w:val="000000" w:themeColor="text1"/>
        </w:rPr>
        <w:t xml:space="preserve"> </w:t>
      </w:r>
      <w:r w:rsidRPr="001E7BC0" w:rsidR="00A7298A">
        <w:rPr>
          <w:rFonts w:ascii="Palatino Linotype" w:hAnsi="Palatino Linotype" w:eastAsia="Palatino Linotype" w:cs="Palatino Linotype"/>
          <w:color w:val="000000" w:themeColor="text1"/>
        </w:rPr>
        <w:t>demonstrat</w:t>
      </w:r>
      <w:r w:rsidRPr="001E7BC0" w:rsidR="00B173B3">
        <w:rPr>
          <w:rFonts w:ascii="Palatino Linotype" w:hAnsi="Palatino Linotype" w:eastAsia="Palatino Linotype" w:cs="Palatino Linotype"/>
          <w:color w:val="000000" w:themeColor="text1"/>
        </w:rPr>
        <w:t>e</w:t>
      </w:r>
      <w:r w:rsidRPr="001E7BC0" w:rsidR="00A7298A">
        <w:rPr>
          <w:rFonts w:ascii="Palatino Linotype" w:hAnsi="Palatino Linotype" w:eastAsia="Palatino Linotype" w:cs="Palatino Linotype"/>
          <w:color w:val="000000" w:themeColor="text1"/>
        </w:rPr>
        <w:t xml:space="preserve"> alternative</w:t>
      </w:r>
      <w:r w:rsidRPr="001E7BC0" w:rsidR="00B173B3">
        <w:rPr>
          <w:rFonts w:ascii="Palatino Linotype" w:hAnsi="Palatino Linotype" w:eastAsia="Palatino Linotype" w:cs="Palatino Linotype"/>
          <w:color w:val="000000" w:themeColor="text1"/>
        </w:rPr>
        <w:t xml:space="preserve"> </w:t>
      </w:r>
      <w:r w:rsidRPr="001E7BC0" w:rsidR="00A7298A">
        <w:rPr>
          <w:rFonts w:ascii="Palatino Linotype" w:hAnsi="Palatino Linotype" w:eastAsia="Palatino Linotype" w:cs="Palatino Linotype"/>
          <w:color w:val="000000" w:themeColor="text1"/>
        </w:rPr>
        <w:t>technologies for</w:t>
      </w:r>
      <w:r w:rsidRPr="001E7BC0" w:rsidR="00B173B3">
        <w:rPr>
          <w:rFonts w:ascii="Palatino Linotype" w:hAnsi="Palatino Linotype" w:eastAsia="Palatino Linotype" w:cs="Palatino Linotype"/>
          <w:color w:val="000000" w:themeColor="text1"/>
        </w:rPr>
        <w:t xml:space="preserve"> </w:t>
      </w:r>
      <w:r w:rsidRPr="001E7BC0" w:rsidR="00A7298A">
        <w:rPr>
          <w:rFonts w:ascii="Palatino Linotype" w:hAnsi="Palatino Linotype" w:eastAsia="Palatino Linotype" w:cs="Palatino Linotype"/>
          <w:color w:val="000000" w:themeColor="text1"/>
        </w:rPr>
        <w:t>infrastructure protectio</w:t>
      </w:r>
      <w:r w:rsidRPr="001E7BC0" w:rsidR="00B173B3">
        <w:rPr>
          <w:rFonts w:ascii="Palatino Linotype" w:hAnsi="Palatino Linotype" w:eastAsia="Palatino Linotype" w:cs="Palatino Linotype"/>
          <w:color w:val="000000" w:themeColor="text1"/>
        </w:rPr>
        <w:t xml:space="preserve">n </w:t>
      </w:r>
      <w:r w:rsidRPr="001E7BC0" w:rsidR="00A7298A">
        <w:rPr>
          <w:rFonts w:ascii="Palatino Linotype" w:hAnsi="Palatino Linotype" w:eastAsia="Palatino Linotype" w:cs="Palatino Linotype"/>
          <w:color w:val="000000" w:themeColor="text1"/>
        </w:rPr>
        <w:t>to support broader</w:t>
      </w:r>
      <w:r w:rsidRPr="001E7BC0" w:rsidR="00B173B3">
        <w:rPr>
          <w:rFonts w:ascii="Palatino Linotype" w:hAnsi="Palatino Linotype" w:eastAsia="Palatino Linotype" w:cs="Palatino Linotype"/>
          <w:color w:val="000000" w:themeColor="text1"/>
        </w:rPr>
        <w:t xml:space="preserve"> </w:t>
      </w:r>
      <w:r w:rsidRPr="001E7BC0" w:rsidR="00A7298A">
        <w:rPr>
          <w:rFonts w:ascii="Palatino Linotype" w:hAnsi="Palatino Linotype" w:eastAsia="Palatino Linotype" w:cs="Palatino Linotype"/>
          <w:color w:val="000000" w:themeColor="text1"/>
        </w:rPr>
        <w:t>adoption, including</w:t>
      </w:r>
      <w:r w:rsidRPr="001E7BC0" w:rsidR="00B173B3">
        <w:rPr>
          <w:rFonts w:ascii="Palatino Linotype" w:hAnsi="Palatino Linotype" w:eastAsia="Palatino Linotype" w:cs="Palatino Linotype"/>
          <w:color w:val="000000" w:themeColor="text1"/>
        </w:rPr>
        <w:t xml:space="preserve"> </w:t>
      </w:r>
      <w:r w:rsidRPr="001E7BC0" w:rsidR="00A7298A">
        <w:rPr>
          <w:rFonts w:ascii="Palatino Linotype" w:hAnsi="Palatino Linotype" w:eastAsia="Palatino Linotype" w:cs="Palatino Linotype"/>
          <w:color w:val="000000" w:themeColor="text1"/>
        </w:rPr>
        <w:t>technologies such as</w:t>
      </w:r>
      <w:r w:rsidRPr="001E7BC0" w:rsidR="00B173B3">
        <w:rPr>
          <w:rFonts w:ascii="Palatino Linotype" w:hAnsi="Palatino Linotype" w:eastAsia="Palatino Linotype" w:cs="Palatino Linotype"/>
          <w:color w:val="000000" w:themeColor="text1"/>
        </w:rPr>
        <w:t xml:space="preserve"> </w:t>
      </w:r>
      <w:r w:rsidRPr="001E7BC0" w:rsidR="00A7298A">
        <w:rPr>
          <w:rFonts w:ascii="Palatino Linotype" w:hAnsi="Palatino Linotype" w:eastAsia="Palatino Linotype" w:cs="Palatino Linotype"/>
          <w:color w:val="000000" w:themeColor="text1"/>
        </w:rPr>
        <w:t>breakaway fittings</w:t>
      </w:r>
      <w:r w:rsidRPr="001E7BC0" w:rsidR="00B173B3">
        <w:rPr>
          <w:rFonts w:ascii="Palatino Linotype" w:hAnsi="Palatino Linotype" w:eastAsia="Palatino Linotype" w:cs="Palatino Linotype"/>
          <w:color w:val="000000" w:themeColor="text1"/>
        </w:rPr>
        <w:t>. Research Topics include</w:t>
      </w:r>
      <w:r w:rsidRPr="001E7BC0" w:rsidR="007B4BB3">
        <w:rPr>
          <w:rFonts w:ascii="Palatino Linotype" w:hAnsi="Palatino Linotype" w:eastAsia="Palatino Linotype" w:cs="Palatino Linotype"/>
          <w:color w:val="000000" w:themeColor="text1"/>
        </w:rPr>
        <w:t xml:space="preserve">: (i) new/updated SoCalGas-specific models and risk analyses; </w:t>
      </w:r>
      <w:r w:rsidR="0038057B">
        <w:rPr>
          <w:rFonts w:ascii="Palatino Linotype" w:hAnsi="Palatino Linotype" w:eastAsia="Palatino Linotype" w:cs="Palatino Linotype"/>
          <w:color w:val="000000" w:themeColor="text1"/>
        </w:rPr>
        <w:br/>
      </w:r>
      <w:r w:rsidRPr="001E7BC0" w:rsidR="007B4BB3">
        <w:rPr>
          <w:rFonts w:ascii="Palatino Linotype" w:hAnsi="Palatino Linotype" w:eastAsia="Palatino Linotype" w:cs="Palatino Linotype"/>
          <w:color w:val="000000" w:themeColor="text1"/>
        </w:rPr>
        <w:t xml:space="preserve">(ii) increased life of assets; and (iii) optimized system materials. </w:t>
      </w:r>
      <w:r w:rsidRPr="001E7BC0" w:rsidR="00866E25">
        <w:rPr>
          <w:rFonts w:ascii="Palatino Linotype" w:hAnsi="Palatino Linotype" w:eastAsia="Palatino Linotype" w:cs="Palatino Linotype"/>
          <w:color w:val="000000" w:themeColor="text1"/>
        </w:rPr>
        <w:t>SoCalGas lists potential metrics for tracking and evaluating impacts from this Initiative</w:t>
      </w:r>
      <w:r w:rsidRPr="001E7BC0">
        <w:rPr>
          <w:rFonts w:ascii="Palatino Linotype" w:hAnsi="Palatino Linotype" w:eastAsia="Palatino Linotype" w:cs="Palatino Linotype"/>
          <w:color w:val="000000" w:themeColor="text1"/>
        </w:rPr>
        <w:t>, including reductions to third-party damage and integrity-related failure risk while maintaining continuity of service</w:t>
      </w:r>
      <w:r w:rsidRPr="001E7BC0" w:rsidR="2410B409">
        <w:rPr>
          <w:rFonts w:ascii="Palatino Linotype" w:hAnsi="Palatino Linotype" w:eastAsia="Palatino Linotype" w:cs="Palatino Linotype"/>
          <w:color w:val="000000" w:themeColor="text1"/>
        </w:rPr>
        <w:t>.</w:t>
      </w:r>
      <w:r w:rsidRPr="001E7BC0">
        <w:rPr>
          <w:rStyle w:val="FootnoteReference"/>
          <w:rFonts w:ascii="Palatino Linotype" w:hAnsi="Palatino Linotype" w:eastAsia="Palatino Linotype" w:cs="Palatino Linotype"/>
          <w:color w:val="000000" w:themeColor="text1"/>
        </w:rPr>
        <w:t xml:space="preserve"> </w:t>
      </w:r>
      <w:r w:rsidRPr="001E7BC0">
        <w:rPr>
          <w:rFonts w:ascii="Palatino Linotype" w:hAnsi="Palatino Linotype" w:eastAsia="Palatino Linotype" w:cs="Palatino Linotype"/>
          <w:color w:val="000000" w:themeColor="text1"/>
        </w:rPr>
        <w:t>SoCalGas proposes to allocate $852,300 in its 2026 Plan.</w:t>
      </w:r>
    </w:p>
    <w:p w:rsidR="693F203E" w:rsidP="693F203E" w:rsidRDefault="693F203E" w14:paraId="3C1C85CF" w14:textId="29C90DC2">
      <w:pPr>
        <w:spacing w:after="0" w:line="276" w:lineRule="auto"/>
        <w:rPr>
          <w:rFonts w:ascii="Palatino Linotype" w:hAnsi="Palatino Linotype" w:eastAsia="Palatino Linotype" w:cs="Palatino Linotype"/>
          <w:color w:val="000000" w:themeColor="text1"/>
        </w:rPr>
      </w:pPr>
    </w:p>
    <w:p w:rsidRPr="001E7BC0" w:rsidR="0E1FCE44" w:rsidP="00477204" w:rsidRDefault="0E1FCE44" w14:paraId="37C37BE9" w14:textId="7F3E2ACC">
      <w:pPr>
        <w:pStyle w:val="ListParagraph"/>
        <w:numPr>
          <w:ilvl w:val="0"/>
          <w:numId w:val="7"/>
        </w:numPr>
        <w:spacing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t xml:space="preserve">RNG </w:t>
      </w:r>
      <w:r w:rsidRPr="001E7BC0">
        <w:rPr>
          <w:rFonts w:ascii="Palatino Linotype" w:hAnsi="Palatino Linotype" w:eastAsia="Palatino Linotype" w:cs="Palatino Linotype"/>
          <w:color w:val="000000" w:themeColor="text1"/>
        </w:rPr>
        <w:t>Infrastructure Optimization</w:t>
      </w:r>
      <w:r w:rsidRPr="001E7BC0">
        <w:rPr>
          <w:rStyle w:val="FootnoteReference"/>
          <w:rFonts w:ascii="Palatino Linotype" w:hAnsi="Palatino Linotype" w:eastAsia="Palatino Linotype" w:cs="Palatino Linotype"/>
          <w:color w:val="000000" w:themeColor="text1"/>
        </w:rPr>
        <w:footnoteReference w:id="53"/>
      </w:r>
    </w:p>
    <w:p w:rsidRPr="001E7BC0" w:rsidR="00B6076B" w:rsidP="00B6076B" w:rsidRDefault="000B41E7" w14:paraId="24845920" w14:textId="6E9FDDEA">
      <w:pPr>
        <w:spacing w:after="0" w:line="276" w:lineRule="auto"/>
        <w:ind w:left="720"/>
        <w:rPr>
          <w:rFonts w:ascii="Palatino Linotype" w:hAnsi="Palatino Linotype" w:eastAsia="Palatino Linotype" w:cs="Palatino Linotype"/>
          <w:color w:val="000000" w:themeColor="text1"/>
        </w:rPr>
      </w:pPr>
      <w:r w:rsidRPr="001E7BC0">
        <w:rPr>
          <w:rFonts w:ascii="Palatino Linotype" w:hAnsi="Palatino Linotype" w:eastAsia="Palatino Linotype" w:cs="Palatino Linotype"/>
          <w:color w:val="000000" w:themeColor="text1"/>
        </w:rPr>
        <w:t xml:space="preserve">SoCalGas states that it seeks to develop projects within the RNG Infrastructure Optimization Initiative to </w:t>
      </w:r>
      <w:proofErr w:type="gramStart"/>
      <w:r w:rsidRPr="001E7BC0" w:rsidR="0067376F">
        <w:rPr>
          <w:rFonts w:ascii="Palatino Linotype" w:hAnsi="Palatino Linotype" w:eastAsia="Palatino Linotype" w:cs="Palatino Linotype"/>
          <w:color w:val="000000" w:themeColor="text1"/>
        </w:rPr>
        <w:t>develop</w:t>
      </w:r>
      <w:r w:rsidRPr="001E7BC0" w:rsidR="00B6076B">
        <w:rPr>
          <w:rFonts w:ascii="Palatino Linotype" w:hAnsi="Palatino Linotype" w:eastAsia="Palatino Linotype" w:cs="Palatino Linotype"/>
          <w:color w:val="000000" w:themeColor="text1"/>
        </w:rPr>
        <w:t>:</w:t>
      </w:r>
      <w:proofErr w:type="gramEnd"/>
      <w:r w:rsidRPr="001E7BC0" w:rsidR="0067376F">
        <w:rPr>
          <w:rFonts w:ascii="Palatino Linotype" w:hAnsi="Palatino Linotype" w:eastAsia="Palatino Linotype" w:cs="Palatino Linotype"/>
          <w:color w:val="000000" w:themeColor="text1"/>
        </w:rPr>
        <w:t xml:space="preserve"> designs for </w:t>
      </w:r>
      <w:proofErr w:type="gramStart"/>
      <w:r w:rsidRPr="001E7BC0" w:rsidR="0067376F">
        <w:rPr>
          <w:rFonts w:ascii="Palatino Linotype" w:hAnsi="Palatino Linotype" w:eastAsia="Palatino Linotype" w:cs="Palatino Linotype"/>
          <w:color w:val="000000" w:themeColor="text1"/>
        </w:rPr>
        <w:t>pre-fabricated</w:t>
      </w:r>
      <w:proofErr w:type="gramEnd"/>
      <w:r w:rsidRPr="001E7BC0" w:rsidR="0067376F">
        <w:rPr>
          <w:rFonts w:ascii="Palatino Linotype" w:hAnsi="Palatino Linotype" w:eastAsia="Palatino Linotype" w:cs="Palatino Linotype"/>
          <w:color w:val="000000" w:themeColor="text1"/>
        </w:rPr>
        <w:t xml:space="preserve"> units for</w:t>
      </w:r>
      <w:r w:rsidRPr="001E7BC0" w:rsidR="00AE5813">
        <w:rPr>
          <w:rFonts w:ascii="Palatino Linotype" w:hAnsi="Palatino Linotype" w:eastAsia="Palatino Linotype" w:cs="Palatino Linotype"/>
          <w:color w:val="000000" w:themeColor="text1"/>
        </w:rPr>
        <w:t xml:space="preserve"> a</w:t>
      </w:r>
      <w:r w:rsidRPr="001E7BC0" w:rsidR="0067376F">
        <w:rPr>
          <w:rFonts w:ascii="Palatino Linotype" w:hAnsi="Palatino Linotype" w:eastAsia="Palatino Linotype" w:cs="Palatino Linotype"/>
          <w:color w:val="000000" w:themeColor="text1"/>
        </w:rPr>
        <w:t>dvanced interconnection systems</w:t>
      </w:r>
      <w:r w:rsidRPr="001E7BC0" w:rsidR="00AE5813">
        <w:rPr>
          <w:rFonts w:ascii="Palatino Linotype" w:hAnsi="Palatino Linotype" w:eastAsia="Palatino Linotype" w:cs="Palatino Linotype"/>
          <w:color w:val="000000" w:themeColor="text1"/>
        </w:rPr>
        <w:t xml:space="preserve">; </w:t>
      </w:r>
      <w:r w:rsidRPr="001E7BC0" w:rsidR="005B7E2B">
        <w:rPr>
          <w:rFonts w:ascii="Palatino Linotype" w:hAnsi="Palatino Linotype" w:eastAsia="Palatino Linotype" w:cs="Palatino Linotype"/>
          <w:color w:val="000000" w:themeColor="text1"/>
        </w:rPr>
        <w:t xml:space="preserve">smart and adaptable pressure control systems for maximizing acceptance of RNG onto gas pipeline infrastructure; and </w:t>
      </w:r>
      <w:r w:rsidRPr="001E7BC0" w:rsidR="00B6076B">
        <w:rPr>
          <w:rFonts w:ascii="Palatino Linotype" w:hAnsi="Palatino Linotype" w:eastAsia="Palatino Linotype" w:cs="Palatino Linotype"/>
          <w:color w:val="000000" w:themeColor="text1"/>
        </w:rPr>
        <w:t>biomass</w:t>
      </w:r>
    </w:p>
    <w:p w:rsidRPr="001E7BC0" w:rsidR="6F1FEA14" w:rsidP="002F5504" w:rsidRDefault="00B6076B" w14:paraId="66EB8BE1" w14:textId="277A7054">
      <w:pPr>
        <w:spacing w:after="0" w:line="276" w:lineRule="auto"/>
        <w:ind w:left="720"/>
        <w:rPr>
          <w:rFonts w:ascii="Palatino Linotype" w:hAnsi="Palatino Linotype" w:eastAsia="Palatino Linotype" w:cs="Palatino Linotype"/>
          <w:color w:val="000000" w:themeColor="text1"/>
        </w:rPr>
      </w:pPr>
      <w:r w:rsidRPr="001E7BC0">
        <w:rPr>
          <w:rFonts w:ascii="Palatino Linotype" w:hAnsi="Palatino Linotype" w:eastAsia="Palatino Linotype" w:cs="Palatino Linotype"/>
          <w:color w:val="000000" w:themeColor="text1"/>
        </w:rPr>
        <w:t xml:space="preserve">management practices to enable predictable and steady production of RNG from biomass digestion facilities with complicated feedstocks. Research Topics include: (i) advanced interconnection design; (ii) pipeline utilization strategies; and (iii) improved system efficiency. </w:t>
      </w:r>
      <w:r w:rsidRPr="001E7BC0" w:rsidR="0E1FCE44">
        <w:rPr>
          <w:rFonts w:ascii="Palatino Linotype" w:hAnsi="Palatino Linotype" w:eastAsia="Palatino Linotype" w:cs="Palatino Linotype"/>
          <w:color w:val="000000" w:themeColor="text1"/>
        </w:rPr>
        <w:t>SoCalGas lists potential metrics for tracking and evaluating the Initiative, including</w:t>
      </w:r>
      <w:r w:rsidRPr="001E7BC0" w:rsidR="002F5504">
        <w:rPr>
          <w:rFonts w:ascii="Palatino Linotype" w:hAnsi="Palatino Linotype" w:eastAsia="Palatino Linotype" w:cs="Palatino Linotype"/>
          <w:color w:val="000000" w:themeColor="text1"/>
        </w:rPr>
        <w:t xml:space="preserve"> increased takeaway capacity of the local pipeline system to eliminate/reduce flaring from some biogas production facilities</w:t>
      </w:r>
      <w:r w:rsidRPr="001E7BC0" w:rsidR="0E1FCE44">
        <w:rPr>
          <w:rFonts w:ascii="Palatino Linotype" w:hAnsi="Palatino Linotype" w:eastAsia="Palatino Linotype" w:cs="Palatino Linotype"/>
          <w:color w:val="000000" w:themeColor="text1"/>
        </w:rPr>
        <w:t>. SoCalGas proposes to allocate $2,556,900 in its 2026 Plan.</w:t>
      </w:r>
    </w:p>
    <w:p w:rsidR="693F203E" w:rsidP="00BA5357" w:rsidRDefault="693F203E" w14:paraId="769A2FC2" w14:textId="1E39EE23">
      <w:pPr>
        <w:spacing w:after="0" w:line="276" w:lineRule="auto"/>
        <w:rPr>
          <w:rFonts w:ascii="Palatino Linotype" w:hAnsi="Palatino Linotype" w:eastAsia="Palatino Linotype" w:cs="Palatino Linotype"/>
          <w:color w:val="000000" w:themeColor="text1"/>
        </w:rPr>
      </w:pPr>
    </w:p>
    <w:p w:rsidR="0E1FCE44" w:rsidP="693F203E" w:rsidRDefault="0E1FCE44" w14:paraId="4BE178DA" w14:textId="496C7E8E">
      <w:pPr>
        <w:spacing w:after="0"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i/>
          <w:iCs/>
          <w:color w:val="000000" w:themeColor="text1"/>
        </w:rPr>
        <w:t xml:space="preserve">Decarbonization Theme Proposed Initiatives </w:t>
      </w:r>
    </w:p>
    <w:p w:rsidR="693F203E" w:rsidP="693F203E" w:rsidRDefault="693F203E" w14:paraId="383E40DB" w14:textId="7B84B3A2">
      <w:pPr>
        <w:spacing w:after="0" w:line="276" w:lineRule="auto"/>
        <w:rPr>
          <w:rFonts w:ascii="Palatino Linotype" w:hAnsi="Palatino Linotype" w:eastAsia="Palatino Linotype" w:cs="Palatino Linotype"/>
          <w:color w:val="000000" w:themeColor="text1"/>
        </w:rPr>
      </w:pPr>
    </w:p>
    <w:p w:rsidR="0E1FCE44" w:rsidP="1648E9B2" w:rsidRDefault="0E1FCE44" w14:paraId="4C2B6C42" w14:textId="07340104">
      <w:pPr>
        <w:spacing w:after="0" w:line="276" w:lineRule="auto"/>
        <w:rPr>
          <w:rFonts w:ascii="Palatino Linotype" w:hAnsi="Palatino Linotype" w:eastAsia="Palatino Linotype" w:cs="Palatino Linotype"/>
          <w:color w:val="000000" w:themeColor="text1"/>
          <w:vertAlign w:val="superscript"/>
        </w:rPr>
      </w:pPr>
      <w:r w:rsidRPr="625BF580">
        <w:rPr>
          <w:rFonts w:ascii="Palatino Linotype" w:hAnsi="Palatino Linotype" w:eastAsia="Palatino Linotype" w:cs="Palatino Linotype"/>
          <w:color w:val="000000" w:themeColor="text1"/>
        </w:rPr>
        <w:t xml:space="preserve">SCG states that it seeks to develop Initiatives within the Decarbonization theme that focus on “advancing technologies that improve the affordability, availability, reliability, </w:t>
      </w:r>
      <w:r w:rsidRPr="625BF580">
        <w:rPr>
          <w:rFonts w:ascii="Palatino Linotype" w:hAnsi="Palatino Linotype" w:eastAsia="Palatino Linotype" w:cs="Palatino Linotype"/>
          <w:color w:val="000000" w:themeColor="text1"/>
        </w:rPr>
        <w:lastRenderedPageBreak/>
        <w:t>and integration of low-carbon fuels and energy systems for SoCalGas operations and customers” and “[supporting] California’s Climate and energy goals, by accelerating the development and deployment of renewable fuels, advanced infrastructure technologies, and emissions-reducing systems aligned with current RD&amp;D priorities.”</w:t>
      </w:r>
      <w:r w:rsidRPr="625BF580">
        <w:rPr>
          <w:rStyle w:val="FootnoteReference"/>
          <w:rFonts w:ascii="Palatino Linotype" w:hAnsi="Palatino Linotype" w:eastAsia="Palatino Linotype" w:cs="Palatino Linotype"/>
          <w:color w:val="000000" w:themeColor="text1"/>
        </w:rPr>
        <w:footnoteReference w:id="54"/>
      </w:r>
    </w:p>
    <w:p w:rsidR="693F203E" w:rsidP="693F203E" w:rsidRDefault="693F203E" w14:paraId="1368DA9A" w14:textId="5E8CB1D5">
      <w:pPr>
        <w:spacing w:after="0" w:line="276" w:lineRule="auto"/>
        <w:rPr>
          <w:rFonts w:ascii="Palatino Linotype" w:hAnsi="Palatino Linotype" w:eastAsia="Palatino Linotype" w:cs="Palatino Linotype"/>
          <w:color w:val="000000" w:themeColor="text1"/>
        </w:rPr>
      </w:pPr>
    </w:p>
    <w:p w:rsidRPr="00000607" w:rsidR="0E1FCE44" w:rsidP="00477204" w:rsidRDefault="0E1FCE44" w14:paraId="74C8818F" w14:textId="444C018B">
      <w:pPr>
        <w:pStyle w:val="ListParagraph"/>
        <w:numPr>
          <w:ilvl w:val="0"/>
          <w:numId w:val="5"/>
        </w:numPr>
        <w:spacing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t>Low-Carbon Fuels Techn</w:t>
      </w:r>
      <w:r w:rsidRPr="00000607">
        <w:rPr>
          <w:rFonts w:ascii="Palatino Linotype" w:hAnsi="Palatino Linotype" w:eastAsia="Palatino Linotype" w:cs="Palatino Linotype"/>
          <w:color w:val="000000" w:themeColor="text1"/>
        </w:rPr>
        <w:t>ologies</w:t>
      </w:r>
      <w:r w:rsidRPr="00000607">
        <w:rPr>
          <w:rStyle w:val="FootnoteReference"/>
          <w:rFonts w:ascii="Palatino Linotype" w:hAnsi="Palatino Linotype" w:eastAsia="Palatino Linotype" w:cs="Palatino Linotype"/>
          <w:color w:val="000000" w:themeColor="text1"/>
        </w:rPr>
        <w:footnoteReference w:id="55"/>
      </w:r>
    </w:p>
    <w:p w:rsidRPr="00000607" w:rsidR="0E1FCE44" w:rsidP="00D741CB" w:rsidRDefault="0E1FCE44" w14:paraId="5500D0B9" w14:textId="356AF8F9">
      <w:pPr>
        <w:spacing w:after="0" w:line="276" w:lineRule="auto"/>
        <w:ind w:left="720"/>
        <w:rPr>
          <w:rFonts w:ascii="Palatino Linotype" w:hAnsi="Palatino Linotype" w:eastAsia="Palatino Linotype" w:cs="Palatino Linotype"/>
          <w:color w:val="000000" w:themeColor="text1"/>
        </w:rPr>
      </w:pPr>
      <w:r w:rsidRPr="00000607">
        <w:rPr>
          <w:rFonts w:ascii="Palatino Linotype" w:hAnsi="Palatino Linotype" w:eastAsia="Palatino Linotype" w:cs="Palatino Linotype"/>
          <w:color w:val="000000" w:themeColor="text1"/>
        </w:rPr>
        <w:t>SoCalGas states that it seeks to develop projects within the</w:t>
      </w:r>
      <w:r w:rsidRPr="00000607">
        <w:rPr>
          <w:rFonts w:ascii="Aptos" w:hAnsi="Aptos" w:eastAsia="Aptos" w:cs="Aptos"/>
          <w:color w:val="000000" w:themeColor="text1"/>
        </w:rPr>
        <w:t xml:space="preserve"> </w:t>
      </w:r>
      <w:r w:rsidRPr="00000607">
        <w:rPr>
          <w:rFonts w:ascii="Palatino Linotype" w:hAnsi="Palatino Linotype" w:eastAsia="Palatino Linotype" w:cs="Palatino Linotype"/>
          <w:color w:val="000000" w:themeColor="text1"/>
        </w:rPr>
        <w:t>Low-Carbon Fuels Technologies Initiative to address key barriers to broad deployment of low-carbon fuels,</w:t>
      </w:r>
      <w:r w:rsidRPr="00000607" w:rsidR="00D741CB">
        <w:rPr>
          <w:rFonts w:ascii="Palatino Linotype" w:hAnsi="Palatino Linotype" w:eastAsia="Palatino Linotype" w:cs="Palatino Linotype"/>
          <w:color w:val="000000" w:themeColor="text1"/>
        </w:rPr>
        <w:t xml:space="preserve"> including:</w:t>
      </w:r>
      <w:r w:rsidRPr="00000607">
        <w:rPr>
          <w:rFonts w:ascii="Palatino Linotype" w:hAnsi="Palatino Linotype" w:eastAsia="Palatino Linotype" w:cs="Palatino Linotype"/>
          <w:color w:val="000000" w:themeColor="text1"/>
        </w:rPr>
        <w:t xml:space="preserve"> scaling-up power-to-gas</w:t>
      </w:r>
      <w:r w:rsidRPr="00000607" w:rsidR="00D741CB">
        <w:rPr>
          <w:rFonts w:ascii="Palatino Linotype" w:hAnsi="Palatino Linotype" w:eastAsia="Palatino Linotype" w:cs="Palatino Linotype"/>
          <w:color w:val="000000" w:themeColor="text1"/>
        </w:rPr>
        <w:t xml:space="preserve"> </w:t>
      </w:r>
      <w:r w:rsidRPr="00000607">
        <w:rPr>
          <w:rFonts w:ascii="Palatino Linotype" w:hAnsi="Palatino Linotype" w:eastAsia="Palatino Linotype" w:cs="Palatino Linotype"/>
          <w:color w:val="000000" w:themeColor="text1"/>
        </w:rPr>
        <w:t xml:space="preserve">technologies that can increase RNG yield and reduce upgrading cost through </w:t>
      </w:r>
      <w:proofErr w:type="spellStart"/>
      <w:r w:rsidRPr="00000607">
        <w:rPr>
          <w:rFonts w:ascii="Palatino Linotype" w:hAnsi="Palatino Linotype" w:eastAsia="Palatino Linotype" w:cs="Palatino Linotype"/>
          <w:color w:val="000000" w:themeColor="text1"/>
        </w:rPr>
        <w:t>biomethanation</w:t>
      </w:r>
      <w:proofErr w:type="spellEnd"/>
      <w:r w:rsidRPr="00000607">
        <w:rPr>
          <w:rFonts w:ascii="Palatino Linotype" w:hAnsi="Palatino Linotype" w:eastAsia="Palatino Linotype" w:cs="Palatino Linotype"/>
          <w:color w:val="000000" w:themeColor="text1"/>
        </w:rPr>
        <w:t xml:space="preserve"> of carbon dioxide (CO2) in biogas</w:t>
      </w:r>
      <w:r w:rsidRPr="00000607" w:rsidR="17D59B3B">
        <w:rPr>
          <w:rFonts w:ascii="Palatino Linotype" w:hAnsi="Palatino Linotype" w:eastAsia="Palatino Linotype" w:cs="Palatino Linotype"/>
          <w:color w:val="000000" w:themeColor="text1"/>
        </w:rPr>
        <w:t>;</w:t>
      </w:r>
      <w:r w:rsidRPr="00000607">
        <w:rPr>
          <w:rFonts w:ascii="Palatino Linotype" w:hAnsi="Palatino Linotype" w:eastAsia="Palatino Linotype" w:cs="Palatino Linotype"/>
          <w:color w:val="000000" w:themeColor="text1"/>
        </w:rPr>
        <w:t xml:space="preserve"> deploying and demonstrating membrane and other next-generation gas separations technologies to reduce capital and operating costs during RNG production</w:t>
      </w:r>
      <w:r w:rsidRPr="00000607" w:rsidR="00552ADE">
        <w:rPr>
          <w:rFonts w:ascii="Palatino Linotype" w:hAnsi="Palatino Linotype" w:eastAsia="Palatino Linotype" w:cs="Palatino Linotype"/>
          <w:color w:val="000000" w:themeColor="text1"/>
        </w:rPr>
        <w:t>; and de-risking promising biogas purification technologies.</w:t>
      </w:r>
      <w:r w:rsidRPr="00000607" w:rsidR="00BB5532">
        <w:rPr>
          <w:rFonts w:ascii="Palatino Linotype" w:hAnsi="Palatino Linotype" w:eastAsia="Palatino Linotype" w:cs="Palatino Linotype"/>
          <w:color w:val="000000" w:themeColor="text1"/>
        </w:rPr>
        <w:t xml:space="preserve"> </w:t>
      </w:r>
      <w:r w:rsidRPr="00000607">
        <w:rPr>
          <w:rFonts w:ascii="Palatino Linotype" w:hAnsi="Palatino Linotype" w:eastAsia="Palatino Linotype" w:cs="Palatino Linotype"/>
          <w:color w:val="000000" w:themeColor="text1"/>
        </w:rPr>
        <w:t xml:space="preserve">Research </w:t>
      </w:r>
      <w:r w:rsidRPr="00000607" w:rsidR="418741FD">
        <w:rPr>
          <w:rFonts w:ascii="Palatino Linotype" w:hAnsi="Palatino Linotype" w:eastAsia="Palatino Linotype" w:cs="Palatino Linotype"/>
          <w:color w:val="000000" w:themeColor="text1"/>
        </w:rPr>
        <w:t>Topics</w:t>
      </w:r>
      <w:r w:rsidRPr="00000607" w:rsidR="0037674D">
        <w:rPr>
          <w:rFonts w:ascii="Palatino Linotype" w:hAnsi="Palatino Linotype" w:eastAsia="Palatino Linotype" w:cs="Palatino Linotype"/>
          <w:color w:val="000000" w:themeColor="text1"/>
        </w:rPr>
        <w:t xml:space="preserve"> include: (i) advancing RNG production systems, (ii) scaling transformative technologies, and (iii) improving durability and performance. </w:t>
      </w:r>
      <w:r w:rsidRPr="00000607" w:rsidR="00AB0645">
        <w:rPr>
          <w:rFonts w:ascii="Palatino Linotype" w:hAnsi="Palatino Linotype" w:eastAsia="Palatino Linotype" w:cs="Palatino Linotype"/>
          <w:color w:val="000000" w:themeColor="text1"/>
        </w:rPr>
        <w:t>SoCalGas lists potential metrics for tracking and evaluating impacts from this Initiative</w:t>
      </w:r>
      <w:r w:rsidRPr="00000607">
        <w:rPr>
          <w:rFonts w:ascii="Palatino Linotype" w:hAnsi="Palatino Linotype" w:eastAsia="Palatino Linotype" w:cs="Palatino Linotype"/>
          <w:color w:val="000000" w:themeColor="text1"/>
        </w:rPr>
        <w:t>, including reduced capital, O&amp;M, and fuel costs, as well as reduced GHG emissions by increasing capture and productive use of methane.</w:t>
      </w:r>
      <w:r w:rsidRPr="00000607" w:rsidDel="000D0974">
        <w:rPr>
          <w:rFonts w:ascii="Palatino Linotype" w:hAnsi="Palatino Linotype" w:eastAsia="Palatino Linotype" w:cs="Palatino Linotype"/>
          <w:color w:val="000000" w:themeColor="text1"/>
        </w:rPr>
        <w:t xml:space="preserve"> </w:t>
      </w:r>
      <w:r w:rsidRPr="00000607">
        <w:rPr>
          <w:rFonts w:ascii="Palatino Linotype" w:hAnsi="Palatino Linotype" w:eastAsia="Palatino Linotype" w:cs="Palatino Linotype"/>
          <w:color w:val="000000" w:themeColor="text1"/>
        </w:rPr>
        <w:t>SoCalGas proposes to allocate $2,556,900 in its 2026 Plan.</w:t>
      </w:r>
    </w:p>
    <w:p w:rsidR="693F203E" w:rsidP="693F203E" w:rsidRDefault="693F203E" w14:paraId="6395B885" w14:textId="5F0DA877">
      <w:pPr>
        <w:spacing w:after="0" w:line="276" w:lineRule="auto"/>
        <w:rPr>
          <w:rFonts w:ascii="Palatino Linotype" w:hAnsi="Palatino Linotype" w:eastAsia="Palatino Linotype" w:cs="Palatino Linotype"/>
          <w:color w:val="000000" w:themeColor="text1"/>
        </w:rPr>
      </w:pPr>
    </w:p>
    <w:p w:rsidRPr="00D87C93" w:rsidR="0E1FCE44" w:rsidP="00477204" w:rsidRDefault="0E1FCE44" w14:paraId="0C6FCC02" w14:textId="6940F43C">
      <w:pPr>
        <w:pStyle w:val="ListParagraph"/>
        <w:numPr>
          <w:ilvl w:val="0"/>
          <w:numId w:val="5"/>
        </w:numPr>
        <w:spacing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t xml:space="preserve">Energy </w:t>
      </w:r>
      <w:r w:rsidRPr="00D87C93">
        <w:rPr>
          <w:rFonts w:ascii="Palatino Linotype" w:hAnsi="Palatino Linotype" w:eastAsia="Palatino Linotype" w:cs="Palatino Linotype"/>
          <w:color w:val="000000" w:themeColor="text1"/>
        </w:rPr>
        <w:t>Reliability &amp; Resilience</w:t>
      </w:r>
      <w:r w:rsidRPr="00D87C93">
        <w:rPr>
          <w:rStyle w:val="FootnoteReference"/>
          <w:rFonts w:ascii="Palatino Linotype" w:hAnsi="Palatino Linotype" w:eastAsia="Palatino Linotype" w:cs="Palatino Linotype"/>
          <w:color w:val="000000" w:themeColor="text1"/>
        </w:rPr>
        <w:footnoteReference w:id="56"/>
      </w:r>
    </w:p>
    <w:p w:rsidRPr="00D87C93" w:rsidR="0E1FCE44" w:rsidP="00EB09BA" w:rsidRDefault="0E1FCE44" w14:paraId="5AB89F59" w14:textId="043DD62C">
      <w:pPr>
        <w:spacing w:after="0" w:line="276" w:lineRule="auto"/>
        <w:ind w:left="720"/>
        <w:rPr>
          <w:rFonts w:ascii="Palatino Linotype" w:hAnsi="Palatino Linotype" w:eastAsia="Palatino Linotype" w:cs="Palatino Linotype"/>
          <w:color w:val="000000" w:themeColor="text1"/>
        </w:rPr>
      </w:pPr>
      <w:r w:rsidRPr="00D87C93">
        <w:rPr>
          <w:rFonts w:ascii="Palatino Linotype" w:hAnsi="Palatino Linotype" w:eastAsia="Palatino Linotype" w:cs="Palatino Linotype"/>
          <w:color w:val="000000" w:themeColor="text1"/>
        </w:rPr>
        <w:t xml:space="preserve">SoCalGas states that it seeks to develop projects within the Energy Reliability &amp; Resilience Initiative to advance technologies that lower emissions and improve energy resilience during periods of extreme weather, natural disasters, and grid outages </w:t>
      </w:r>
      <w:r w:rsidRPr="00D87C93" w:rsidR="00EB09BA">
        <w:rPr>
          <w:rFonts w:ascii="Palatino Linotype" w:hAnsi="Palatino Linotype" w:eastAsia="Palatino Linotype" w:cs="Palatino Linotype"/>
          <w:color w:val="000000" w:themeColor="text1"/>
        </w:rPr>
        <w:t xml:space="preserve">through </w:t>
      </w:r>
      <w:r w:rsidRPr="00D87C93">
        <w:rPr>
          <w:rFonts w:ascii="Palatino Linotype" w:hAnsi="Palatino Linotype" w:eastAsia="Palatino Linotype" w:cs="Palatino Linotype"/>
          <w:color w:val="000000" w:themeColor="text1"/>
        </w:rPr>
        <w:t>energy management system controls and integration,</w:t>
      </w:r>
      <w:r w:rsidRPr="00D87C93" w:rsidR="00EB09BA">
        <w:rPr>
          <w:rFonts w:ascii="Palatino Linotype" w:hAnsi="Palatino Linotype" w:eastAsia="Palatino Linotype" w:cs="Palatino Linotype"/>
          <w:color w:val="000000" w:themeColor="text1"/>
        </w:rPr>
        <w:t xml:space="preserve"> </w:t>
      </w:r>
      <w:r w:rsidRPr="00D87C93">
        <w:rPr>
          <w:rFonts w:ascii="Palatino Linotype" w:hAnsi="Palatino Linotype" w:eastAsia="Palatino Linotype" w:cs="Palatino Linotype"/>
          <w:color w:val="000000" w:themeColor="text1"/>
        </w:rPr>
        <w:t>optimization of Combined Heat and Power (CHP) systems, and scalable</w:t>
      </w:r>
      <w:r w:rsidRPr="00D87C93" w:rsidR="00EB09BA">
        <w:rPr>
          <w:rFonts w:ascii="Palatino Linotype" w:hAnsi="Palatino Linotype" w:eastAsia="Palatino Linotype" w:cs="Palatino Linotype"/>
          <w:color w:val="000000" w:themeColor="text1"/>
        </w:rPr>
        <w:t xml:space="preserve"> </w:t>
      </w:r>
      <w:r w:rsidRPr="00D87C93">
        <w:rPr>
          <w:rFonts w:ascii="Palatino Linotype" w:hAnsi="Palatino Linotype" w:eastAsia="Palatino Linotype" w:cs="Palatino Linotype"/>
          <w:color w:val="000000" w:themeColor="text1"/>
        </w:rPr>
        <w:t xml:space="preserve">microgrid control systems. Research </w:t>
      </w:r>
      <w:r w:rsidRPr="00D87C93" w:rsidR="58C529B0">
        <w:rPr>
          <w:rFonts w:ascii="Palatino Linotype" w:hAnsi="Palatino Linotype" w:eastAsia="Palatino Linotype" w:cs="Palatino Linotype"/>
          <w:color w:val="000000" w:themeColor="text1"/>
        </w:rPr>
        <w:t>Topics</w:t>
      </w:r>
      <w:r w:rsidRPr="00D87C93">
        <w:rPr>
          <w:rFonts w:ascii="Palatino Linotype" w:hAnsi="Palatino Linotype" w:eastAsia="Palatino Linotype" w:cs="Palatino Linotype"/>
          <w:color w:val="000000" w:themeColor="text1"/>
        </w:rPr>
        <w:t xml:space="preserve"> include: </w:t>
      </w:r>
      <w:r w:rsidRPr="00D87C93" w:rsidR="00C333DF">
        <w:rPr>
          <w:rFonts w:ascii="Palatino Linotype" w:hAnsi="Palatino Linotype" w:eastAsia="Palatino Linotype" w:cs="Palatino Linotype"/>
          <w:color w:val="000000" w:themeColor="text1"/>
        </w:rPr>
        <w:t xml:space="preserve">(i) </w:t>
      </w:r>
      <w:r w:rsidRPr="00D87C93" w:rsidR="1847F6A6">
        <w:rPr>
          <w:rFonts w:ascii="Palatino Linotype" w:hAnsi="Palatino Linotype" w:eastAsia="Palatino Linotype" w:cs="Palatino Linotype"/>
          <w:color w:val="000000" w:themeColor="text1"/>
        </w:rPr>
        <w:t>r</w:t>
      </w:r>
      <w:r w:rsidRPr="00D87C93">
        <w:rPr>
          <w:rFonts w:ascii="Palatino Linotype" w:hAnsi="Palatino Linotype" w:eastAsia="Palatino Linotype" w:cs="Palatino Linotype"/>
          <w:color w:val="000000" w:themeColor="text1"/>
        </w:rPr>
        <w:t>efining</w:t>
      </w:r>
      <w:r w:rsidRPr="00D87C93" w:rsidR="00A628B1">
        <w:rPr>
          <w:rFonts w:ascii="Palatino Linotype" w:hAnsi="Palatino Linotype" w:eastAsia="Palatino Linotype" w:cs="Palatino Linotype"/>
          <w:color w:val="000000" w:themeColor="text1"/>
        </w:rPr>
        <w:t xml:space="preserve"> microgrid/generation</w:t>
      </w:r>
      <w:r w:rsidRPr="00D87C93">
        <w:rPr>
          <w:rFonts w:ascii="Palatino Linotype" w:hAnsi="Palatino Linotype" w:eastAsia="Palatino Linotype" w:cs="Palatino Linotype"/>
          <w:color w:val="000000" w:themeColor="text1"/>
        </w:rPr>
        <w:t xml:space="preserve"> control</w:t>
      </w:r>
      <w:r w:rsidRPr="00D87C93" w:rsidR="00A13F43">
        <w:rPr>
          <w:rFonts w:ascii="Palatino Linotype" w:hAnsi="Palatino Linotype" w:eastAsia="Palatino Linotype" w:cs="Palatino Linotype"/>
          <w:color w:val="000000" w:themeColor="text1"/>
        </w:rPr>
        <w:t xml:space="preserve"> and operating approaches</w:t>
      </w:r>
      <w:r w:rsidRPr="00D87C93" w:rsidR="00FF0B43">
        <w:rPr>
          <w:rFonts w:ascii="Palatino Linotype" w:hAnsi="Palatino Linotype" w:eastAsia="Palatino Linotype" w:cs="Palatino Linotype"/>
          <w:color w:val="000000" w:themeColor="text1"/>
        </w:rPr>
        <w:t>;</w:t>
      </w:r>
      <w:r w:rsidRPr="00D87C93" w:rsidR="00A13F43">
        <w:rPr>
          <w:rFonts w:ascii="Palatino Linotype" w:hAnsi="Palatino Linotype" w:eastAsia="Palatino Linotype" w:cs="Palatino Linotype"/>
          <w:color w:val="000000" w:themeColor="text1"/>
        </w:rPr>
        <w:t xml:space="preserve"> (ii) </w:t>
      </w:r>
      <w:r w:rsidRPr="00D87C93">
        <w:rPr>
          <w:rFonts w:ascii="Palatino Linotype" w:hAnsi="Palatino Linotype" w:eastAsia="Palatino Linotype" w:cs="Palatino Linotype"/>
          <w:color w:val="000000" w:themeColor="text1"/>
        </w:rPr>
        <w:t>advancing lower-emission generation and retrofit approaches to improve practical performance in customer applications; and</w:t>
      </w:r>
      <w:r w:rsidRPr="00D87C93" w:rsidR="00FF0B43">
        <w:rPr>
          <w:rFonts w:ascii="Palatino Linotype" w:hAnsi="Palatino Linotype" w:eastAsia="Palatino Linotype" w:cs="Palatino Linotype"/>
          <w:color w:val="000000" w:themeColor="text1"/>
        </w:rPr>
        <w:t xml:space="preserve"> (iii)</w:t>
      </w:r>
      <w:r w:rsidRPr="00D87C93">
        <w:rPr>
          <w:rFonts w:ascii="Palatino Linotype" w:hAnsi="Palatino Linotype" w:eastAsia="Palatino Linotype" w:cs="Palatino Linotype"/>
          <w:color w:val="000000" w:themeColor="text1"/>
        </w:rPr>
        <w:t xml:space="preserve"> improv</w:t>
      </w:r>
      <w:r w:rsidRPr="00D87C93" w:rsidR="00A06E08">
        <w:rPr>
          <w:rFonts w:ascii="Palatino Linotype" w:hAnsi="Palatino Linotype" w:eastAsia="Palatino Linotype" w:cs="Palatino Linotype"/>
          <w:color w:val="000000" w:themeColor="text1"/>
        </w:rPr>
        <w:t>ing</w:t>
      </w:r>
      <w:r w:rsidRPr="00D87C93">
        <w:rPr>
          <w:rFonts w:ascii="Palatino Linotype" w:hAnsi="Palatino Linotype" w:eastAsia="Palatino Linotype" w:cs="Palatino Linotype"/>
          <w:color w:val="000000" w:themeColor="text1"/>
        </w:rPr>
        <w:t xml:space="preserve"> point-of-use</w:t>
      </w:r>
      <w:r w:rsidRPr="00D87C93" w:rsidR="7F51F5C5">
        <w:rPr>
          <w:rFonts w:ascii="Palatino Linotype" w:hAnsi="Palatino Linotype" w:eastAsia="Palatino Linotype" w:cs="Palatino Linotype"/>
          <w:color w:val="000000" w:themeColor="text1"/>
        </w:rPr>
        <w:t xml:space="preserve"> </w:t>
      </w:r>
      <w:r w:rsidRPr="00D87C93">
        <w:rPr>
          <w:rFonts w:ascii="Palatino Linotype" w:hAnsi="Palatino Linotype" w:eastAsia="Palatino Linotype" w:cs="Palatino Linotype"/>
          <w:color w:val="000000" w:themeColor="text1"/>
        </w:rPr>
        <w:t xml:space="preserve">decarbonization to </w:t>
      </w:r>
      <w:r w:rsidRPr="00D87C93">
        <w:rPr>
          <w:rFonts w:ascii="Palatino Linotype" w:hAnsi="Palatino Linotype" w:eastAsia="Palatino Linotype" w:cs="Palatino Linotype"/>
          <w:color w:val="000000" w:themeColor="text1"/>
        </w:rPr>
        <w:lastRenderedPageBreak/>
        <w:t>support better cost and operating performance.</w:t>
      </w:r>
      <w:r w:rsidRPr="00D87C93" w:rsidR="7A8D932E">
        <w:rPr>
          <w:rFonts w:ascii="Palatino Linotype" w:hAnsi="Palatino Linotype" w:eastAsia="Palatino Linotype" w:cs="Palatino Linotype"/>
          <w:color w:val="000000" w:themeColor="text1"/>
        </w:rPr>
        <w:t xml:space="preserve"> </w:t>
      </w:r>
      <w:r w:rsidRPr="00D87C93" w:rsidR="00AB0645">
        <w:rPr>
          <w:rFonts w:ascii="Palatino Linotype" w:hAnsi="Palatino Linotype" w:eastAsia="Palatino Linotype" w:cs="Palatino Linotype"/>
          <w:color w:val="000000" w:themeColor="text1"/>
        </w:rPr>
        <w:t>SoCalGas lists potential metrics for tracking and evaluating impacts from this Initiative</w:t>
      </w:r>
      <w:r w:rsidRPr="00D87C93">
        <w:rPr>
          <w:rFonts w:ascii="Palatino Linotype" w:hAnsi="Palatino Linotype" w:eastAsia="Palatino Linotype" w:cs="Palatino Linotype"/>
          <w:color w:val="000000" w:themeColor="text1"/>
        </w:rPr>
        <w:t>, including improved cost-effectiveness of lower carbon technology deployment a</w:t>
      </w:r>
      <w:r w:rsidRPr="00D87C93" w:rsidR="00771B44">
        <w:rPr>
          <w:rFonts w:ascii="Palatino Linotype" w:hAnsi="Palatino Linotype" w:eastAsia="Palatino Linotype" w:cs="Palatino Linotype"/>
          <w:color w:val="000000" w:themeColor="text1"/>
        </w:rPr>
        <w:t>nd</w:t>
      </w:r>
      <w:r w:rsidRPr="00D87C93">
        <w:rPr>
          <w:rFonts w:ascii="Palatino Linotype" w:hAnsi="Palatino Linotype" w:eastAsia="Palatino Linotype" w:cs="Palatino Linotype"/>
          <w:color w:val="000000" w:themeColor="text1"/>
        </w:rPr>
        <w:t xml:space="preserve"> </w:t>
      </w:r>
      <w:proofErr w:type="gramStart"/>
      <w:r w:rsidRPr="00D87C93" w:rsidR="00771B44">
        <w:rPr>
          <w:rFonts w:ascii="Palatino Linotype" w:hAnsi="Palatino Linotype" w:eastAsia="Palatino Linotype" w:cs="Palatino Linotype"/>
          <w:color w:val="000000" w:themeColor="text1"/>
        </w:rPr>
        <w:t>reduced</w:t>
      </w:r>
      <w:r w:rsidRPr="00D87C93">
        <w:rPr>
          <w:rFonts w:ascii="Palatino Linotype" w:hAnsi="Palatino Linotype" w:eastAsia="Palatino Linotype" w:cs="Palatino Linotype"/>
          <w:color w:val="000000" w:themeColor="text1"/>
        </w:rPr>
        <w:t xml:space="preserve"> </w:t>
      </w:r>
      <w:r w:rsidRPr="00D87C93" w:rsidR="00771B44">
        <w:rPr>
          <w:rFonts w:ascii="Palatino Linotype" w:hAnsi="Palatino Linotype" w:eastAsia="Palatino Linotype" w:cs="Palatino Linotype"/>
          <w:color w:val="000000" w:themeColor="text1"/>
        </w:rPr>
        <w:t>criteria</w:t>
      </w:r>
      <w:proofErr w:type="gramEnd"/>
      <w:r w:rsidRPr="00D87C93" w:rsidR="00771B44">
        <w:rPr>
          <w:rFonts w:ascii="Palatino Linotype" w:hAnsi="Palatino Linotype" w:eastAsia="Palatino Linotype" w:cs="Palatino Linotype"/>
          <w:color w:val="000000" w:themeColor="text1"/>
        </w:rPr>
        <w:t xml:space="preserve"> </w:t>
      </w:r>
      <w:r w:rsidRPr="00D87C93">
        <w:rPr>
          <w:rFonts w:ascii="Palatino Linotype" w:hAnsi="Palatino Linotype" w:eastAsia="Palatino Linotype" w:cs="Palatino Linotype"/>
          <w:color w:val="000000" w:themeColor="text1"/>
        </w:rPr>
        <w:t>air pollutants.</w:t>
      </w:r>
      <w:r w:rsidRPr="00D87C93" w:rsidR="1BEDEF86">
        <w:rPr>
          <w:rFonts w:ascii="Palatino Linotype" w:hAnsi="Palatino Linotype" w:eastAsia="Palatino Linotype" w:cs="Palatino Linotype"/>
          <w:color w:val="000000" w:themeColor="text1"/>
        </w:rPr>
        <w:t xml:space="preserve"> </w:t>
      </w:r>
      <w:r w:rsidRPr="00D87C93">
        <w:rPr>
          <w:rFonts w:ascii="Palatino Linotype" w:hAnsi="Palatino Linotype" w:eastAsia="Palatino Linotype" w:cs="Palatino Linotype"/>
          <w:color w:val="000000" w:themeColor="text1"/>
        </w:rPr>
        <w:t>SoCalGas proposes to allocate $2,556,900 in its 2026 Plan.</w:t>
      </w:r>
    </w:p>
    <w:p w:rsidR="693F203E" w:rsidP="693F203E" w:rsidRDefault="693F203E" w14:paraId="00DCD779" w14:textId="46C1CEB4">
      <w:pPr>
        <w:spacing w:after="0" w:line="276" w:lineRule="auto"/>
        <w:rPr>
          <w:rFonts w:ascii="Palatino Linotype" w:hAnsi="Palatino Linotype" w:eastAsia="Palatino Linotype" w:cs="Palatino Linotype"/>
          <w:color w:val="000000" w:themeColor="text1"/>
        </w:rPr>
      </w:pPr>
    </w:p>
    <w:p w:rsidRPr="00D87C93" w:rsidR="0E1FCE44" w:rsidP="00477204" w:rsidRDefault="0E1FCE44" w14:paraId="0AA8ACC9" w14:textId="21AE0A2B">
      <w:pPr>
        <w:pStyle w:val="ListParagraph"/>
        <w:numPr>
          <w:ilvl w:val="0"/>
          <w:numId w:val="5"/>
        </w:numPr>
        <w:spacing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t xml:space="preserve">Building &amp; </w:t>
      </w:r>
      <w:r w:rsidRPr="00D87C93">
        <w:rPr>
          <w:rFonts w:ascii="Palatino Linotype" w:hAnsi="Palatino Linotype" w:eastAsia="Palatino Linotype" w:cs="Palatino Linotype"/>
          <w:color w:val="000000" w:themeColor="text1"/>
        </w:rPr>
        <w:t>Facility Systems</w:t>
      </w:r>
      <w:r w:rsidRPr="00D87C93">
        <w:rPr>
          <w:rStyle w:val="FootnoteReference"/>
          <w:rFonts w:ascii="Palatino Linotype" w:hAnsi="Palatino Linotype" w:eastAsia="Palatino Linotype" w:cs="Palatino Linotype"/>
          <w:color w:val="000000" w:themeColor="text1"/>
        </w:rPr>
        <w:footnoteReference w:id="57"/>
      </w:r>
    </w:p>
    <w:p w:rsidRPr="00D87C93" w:rsidR="0E1FCE44" w:rsidP="005D0B79" w:rsidRDefault="0E1FCE44" w14:paraId="5FFED789" w14:textId="5AB3B01B">
      <w:pPr>
        <w:spacing w:after="0" w:line="276" w:lineRule="auto"/>
        <w:ind w:left="720"/>
        <w:rPr>
          <w:rFonts w:ascii="Palatino Linotype" w:hAnsi="Palatino Linotype" w:eastAsia="Palatino Linotype" w:cs="Palatino Linotype"/>
          <w:color w:val="000000" w:themeColor="text1"/>
        </w:rPr>
      </w:pPr>
      <w:r w:rsidRPr="00D87C93">
        <w:rPr>
          <w:rFonts w:ascii="Palatino Linotype" w:hAnsi="Palatino Linotype" w:eastAsia="Palatino Linotype" w:cs="Palatino Linotype"/>
          <w:color w:val="000000" w:themeColor="text1"/>
        </w:rPr>
        <w:t xml:space="preserve">SoCalGas states that it seeks to develop projects within the Building &amp; Facility Systems Initiative </w:t>
      </w:r>
      <w:r w:rsidRPr="00D87C93" w:rsidR="00E76DF4">
        <w:rPr>
          <w:rFonts w:ascii="Palatino Linotype" w:hAnsi="Palatino Linotype" w:eastAsia="Palatino Linotype" w:cs="Palatino Linotype"/>
          <w:color w:val="000000" w:themeColor="text1"/>
        </w:rPr>
        <w:t>to conduct targeted research and validation of building and facility technologies that reduce emissions, improve energy performance, and</w:t>
      </w:r>
      <w:r w:rsidRPr="00D87C93" w:rsidR="008B0396">
        <w:rPr>
          <w:rFonts w:ascii="Palatino Linotype" w:hAnsi="Palatino Linotype" w:eastAsia="Palatino Linotype" w:cs="Palatino Linotype"/>
          <w:color w:val="000000" w:themeColor="text1"/>
        </w:rPr>
        <w:t xml:space="preserve"> support future deployment; </w:t>
      </w:r>
      <w:r w:rsidRPr="00D87C93" w:rsidR="00522622">
        <w:rPr>
          <w:rFonts w:ascii="Palatino Linotype" w:hAnsi="Palatino Linotype" w:eastAsia="Palatino Linotype" w:cs="Palatino Linotype"/>
          <w:color w:val="000000" w:themeColor="text1"/>
        </w:rPr>
        <w:t>evaluate advanced building envelope materials and retrofit technologies</w:t>
      </w:r>
      <w:r w:rsidRPr="00D87C93" w:rsidR="00FC3B6B">
        <w:rPr>
          <w:rFonts w:ascii="Palatino Linotype" w:hAnsi="Palatino Linotype" w:eastAsia="Palatino Linotype" w:cs="Palatino Linotype"/>
          <w:color w:val="000000" w:themeColor="text1"/>
        </w:rPr>
        <w:t>; validate advanced energy management systems and smart controls</w:t>
      </w:r>
      <w:r w:rsidRPr="00D87C93" w:rsidR="005565DF">
        <w:rPr>
          <w:rFonts w:ascii="Palatino Linotype" w:hAnsi="Palatino Linotype" w:eastAsia="Palatino Linotype" w:cs="Palatino Linotype"/>
          <w:color w:val="000000" w:themeColor="text1"/>
        </w:rPr>
        <w:t xml:space="preserve">; assess waste heat recovery, thermal energy storage, and related system strategies; and </w:t>
      </w:r>
      <w:r w:rsidRPr="00D87C93" w:rsidR="005D0B79">
        <w:rPr>
          <w:rFonts w:ascii="Palatino Linotype" w:hAnsi="Palatino Linotype" w:eastAsia="Palatino Linotype" w:cs="Palatino Linotype"/>
          <w:color w:val="000000" w:themeColor="text1"/>
        </w:rPr>
        <w:t xml:space="preserve">advance lower-emission technologies for boilers, water heaters, commercial cooking equipment, and industrial process equipment. </w:t>
      </w:r>
      <w:r w:rsidRPr="00D87C93" w:rsidR="4B56E0AC">
        <w:rPr>
          <w:rFonts w:ascii="Palatino Linotype" w:hAnsi="Palatino Linotype" w:eastAsia="Palatino Linotype" w:cs="Palatino Linotype"/>
          <w:color w:val="000000" w:themeColor="text1"/>
        </w:rPr>
        <w:t xml:space="preserve">Research Topics </w:t>
      </w:r>
      <w:r w:rsidRPr="00D87C93">
        <w:rPr>
          <w:rFonts w:ascii="Palatino Linotype" w:hAnsi="Palatino Linotype" w:eastAsia="Palatino Linotype" w:cs="Palatino Linotype"/>
          <w:color w:val="000000" w:themeColor="text1"/>
        </w:rPr>
        <w:t>include</w:t>
      </w:r>
      <w:r w:rsidRPr="00D87C93" w:rsidR="004B2B4B">
        <w:rPr>
          <w:rFonts w:ascii="Palatino Linotype" w:hAnsi="Palatino Linotype" w:eastAsia="Palatino Linotype" w:cs="Palatino Linotype"/>
          <w:color w:val="000000" w:themeColor="text1"/>
        </w:rPr>
        <w:t>: (i)</w:t>
      </w:r>
      <w:r w:rsidRPr="00D87C93" w:rsidR="00903F3E">
        <w:rPr>
          <w:rFonts w:ascii="Palatino Linotype" w:hAnsi="Palatino Linotype" w:eastAsia="Palatino Linotype" w:cs="Palatino Linotype"/>
          <w:color w:val="000000" w:themeColor="text1"/>
        </w:rPr>
        <w:t xml:space="preserve"> cutting direct emissions</w:t>
      </w:r>
      <w:r w:rsidRPr="00D87C93" w:rsidR="007B2C03">
        <w:rPr>
          <w:rFonts w:ascii="Palatino Linotype" w:hAnsi="Palatino Linotype" w:eastAsia="Palatino Linotype" w:cs="Palatino Linotype"/>
          <w:color w:val="000000" w:themeColor="text1"/>
        </w:rPr>
        <w:t>;</w:t>
      </w:r>
      <w:r w:rsidRPr="00D87C93" w:rsidR="00903F3E">
        <w:rPr>
          <w:rFonts w:ascii="Palatino Linotype" w:hAnsi="Palatino Linotype" w:eastAsia="Palatino Linotype" w:cs="Palatino Linotype"/>
          <w:color w:val="000000" w:themeColor="text1"/>
        </w:rPr>
        <w:t xml:space="preserve"> (ii) enhancing load flexibility</w:t>
      </w:r>
      <w:r w:rsidRPr="00D87C93" w:rsidR="007B2C03">
        <w:rPr>
          <w:rFonts w:ascii="Palatino Linotype" w:hAnsi="Palatino Linotype" w:eastAsia="Palatino Linotype" w:cs="Palatino Linotype"/>
          <w:color w:val="000000" w:themeColor="text1"/>
        </w:rPr>
        <w:t>;</w:t>
      </w:r>
      <w:r w:rsidRPr="00D87C93" w:rsidR="00903F3E">
        <w:rPr>
          <w:rFonts w:ascii="Palatino Linotype" w:hAnsi="Palatino Linotype" w:eastAsia="Palatino Linotype" w:cs="Palatino Linotype"/>
          <w:color w:val="000000" w:themeColor="text1"/>
        </w:rPr>
        <w:t xml:space="preserve"> </w:t>
      </w:r>
      <w:r w:rsidR="00C43FC3">
        <w:rPr>
          <w:rFonts w:ascii="Palatino Linotype" w:hAnsi="Palatino Linotype" w:eastAsia="Palatino Linotype" w:cs="Palatino Linotype"/>
          <w:color w:val="000000" w:themeColor="text1"/>
        </w:rPr>
        <w:br/>
      </w:r>
      <w:r w:rsidRPr="00D87C93" w:rsidR="00903F3E">
        <w:rPr>
          <w:rFonts w:ascii="Palatino Linotype" w:hAnsi="Palatino Linotype" w:eastAsia="Palatino Linotype" w:cs="Palatino Linotype"/>
          <w:color w:val="000000" w:themeColor="text1"/>
        </w:rPr>
        <w:t>(iii) improving building efficiency</w:t>
      </w:r>
      <w:r w:rsidRPr="00D87C93" w:rsidR="007B2C03">
        <w:rPr>
          <w:rFonts w:ascii="Palatino Linotype" w:hAnsi="Palatino Linotype" w:eastAsia="Palatino Linotype" w:cs="Palatino Linotype"/>
          <w:color w:val="000000" w:themeColor="text1"/>
        </w:rPr>
        <w:t>;</w:t>
      </w:r>
      <w:r w:rsidRPr="00D87C93" w:rsidR="00903F3E">
        <w:rPr>
          <w:rFonts w:ascii="Palatino Linotype" w:hAnsi="Palatino Linotype" w:eastAsia="Palatino Linotype" w:cs="Palatino Linotype"/>
          <w:color w:val="000000" w:themeColor="text1"/>
        </w:rPr>
        <w:t xml:space="preserve"> and (iv) advancing CPUC priority technologies </w:t>
      </w:r>
      <w:r w:rsidRPr="00D87C93" w:rsidR="008A5D91">
        <w:rPr>
          <w:rFonts w:ascii="Palatino Linotype" w:hAnsi="Palatino Linotype" w:eastAsia="Palatino Linotype" w:cs="Palatino Linotype"/>
          <w:color w:val="000000" w:themeColor="text1"/>
        </w:rPr>
        <w:t xml:space="preserve">such as waste heat recovery, thermal energy storage, advanced infrared burners, and acid gas reduction. </w:t>
      </w:r>
      <w:r w:rsidRPr="00D87C93" w:rsidR="00AB0645">
        <w:rPr>
          <w:rFonts w:ascii="Palatino Linotype" w:hAnsi="Palatino Linotype" w:eastAsia="Palatino Linotype" w:cs="Palatino Linotype"/>
          <w:color w:val="000000" w:themeColor="text1"/>
        </w:rPr>
        <w:t>SoCalGas lists potential metrics for tracking and evaluating impacts from this Initiative</w:t>
      </w:r>
      <w:r w:rsidRPr="00D87C93">
        <w:rPr>
          <w:rFonts w:ascii="Palatino Linotype" w:hAnsi="Palatino Linotype" w:eastAsia="Palatino Linotype" w:cs="Palatino Linotype"/>
          <w:color w:val="000000" w:themeColor="text1"/>
        </w:rPr>
        <w:t>, including reduced energy consumption, operational expenses, waste generation</w:t>
      </w:r>
      <w:r w:rsidRPr="00D87C93" w:rsidR="00A16622">
        <w:rPr>
          <w:rFonts w:ascii="Palatino Linotype" w:hAnsi="Palatino Linotype" w:eastAsia="Palatino Linotype" w:cs="Palatino Linotype"/>
          <w:color w:val="000000" w:themeColor="text1"/>
        </w:rPr>
        <w:t>, and</w:t>
      </w:r>
      <w:r w:rsidRPr="00D87C93">
        <w:rPr>
          <w:rFonts w:ascii="Palatino Linotype" w:hAnsi="Palatino Linotype" w:eastAsia="Palatino Linotype" w:cs="Palatino Linotype"/>
          <w:color w:val="000000" w:themeColor="text1"/>
        </w:rPr>
        <w:t xml:space="preserve"> direct and indirect GHG and other criteria pollutant emissions from building and facility equipment. SoCalGas proposes to allocate $1,704,600 in its 2026 Plan.</w:t>
      </w:r>
    </w:p>
    <w:p w:rsidR="693F203E" w:rsidP="693F203E" w:rsidRDefault="693F203E" w14:paraId="4B9E9454" w14:textId="261FC681">
      <w:pPr>
        <w:spacing w:after="0" w:line="276" w:lineRule="auto"/>
        <w:rPr>
          <w:rFonts w:ascii="Palatino Linotype" w:hAnsi="Palatino Linotype" w:eastAsia="Palatino Linotype" w:cs="Palatino Linotype"/>
          <w:color w:val="000000" w:themeColor="text1"/>
        </w:rPr>
      </w:pPr>
    </w:p>
    <w:p w:rsidR="0E1FCE44" w:rsidP="693F203E" w:rsidRDefault="0E1FCE44" w14:paraId="1F4D9E31" w14:textId="191ADAD9">
      <w:pPr>
        <w:spacing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i/>
          <w:iCs/>
          <w:color w:val="000000" w:themeColor="text1"/>
        </w:rPr>
        <w:t>Program Administration</w:t>
      </w:r>
    </w:p>
    <w:p w:rsidR="0E1FCE44" w:rsidP="693F203E" w:rsidRDefault="0E1FCE44" w14:paraId="5B044F11" w14:textId="22BC59E8">
      <w:pPr>
        <w:spacing w:after="0" w:line="276" w:lineRule="auto"/>
      </w:pPr>
      <w:r w:rsidRPr="7510854C">
        <w:rPr>
          <w:rFonts w:ascii="Palatino Linotype" w:hAnsi="Palatino Linotype" w:eastAsia="Palatino Linotype" w:cs="Palatino Linotype"/>
          <w:color w:val="000000" w:themeColor="text1"/>
        </w:rPr>
        <w:t>SoCalGas proposes to allocate ten percent of its annual total budget to administrative costs, translating to $1,894,000 in its 2026 Plan.</w:t>
      </w:r>
    </w:p>
    <w:p w:rsidR="693F203E" w:rsidP="693F203E" w:rsidRDefault="693F203E" w14:paraId="468455ED" w14:textId="40972CA7">
      <w:pPr>
        <w:rPr>
          <w:rFonts w:ascii="Aptos" w:hAnsi="Aptos" w:eastAsia="Aptos" w:cs="Aptos"/>
          <w:color w:val="000000" w:themeColor="text1"/>
        </w:rPr>
      </w:pPr>
    </w:p>
    <w:p w:rsidR="45E5B059" w:rsidP="693F203E" w:rsidRDefault="45E5B059" w14:paraId="666AEB73" w14:textId="44678E13">
      <w:pPr>
        <w:spacing w:line="276" w:lineRule="auto"/>
      </w:pPr>
      <w:r w:rsidRPr="693F203E">
        <w:rPr>
          <w:rFonts w:ascii="Palatino Linotype" w:hAnsi="Palatino Linotype" w:eastAsia="Palatino Linotype" w:cs="Palatino Linotype"/>
          <w:b/>
          <w:bCs/>
          <w:color w:val="000000" w:themeColor="text1"/>
        </w:rPr>
        <w:t>Summary of SoCalGas’s Advice Letter 6646-G: 2027 Gas RD&amp;D Plan</w:t>
      </w:r>
    </w:p>
    <w:p w:rsidR="45E5B059" w:rsidP="693F203E" w:rsidRDefault="45E5B059" w14:paraId="371811B9" w14:textId="26E17363">
      <w:pPr>
        <w:spacing w:after="0" w:line="276" w:lineRule="auto"/>
      </w:pPr>
      <w:r w:rsidRPr="693F203E">
        <w:rPr>
          <w:rFonts w:ascii="Palatino Linotype" w:hAnsi="Palatino Linotype" w:eastAsia="Palatino Linotype" w:cs="Palatino Linotype"/>
          <w:color w:val="000000" w:themeColor="text1"/>
        </w:rPr>
        <w:t xml:space="preserve">SoCalGas submitted its 2027 Plan </w:t>
      </w:r>
      <w:r w:rsidR="00ED4983">
        <w:rPr>
          <w:rFonts w:ascii="Palatino Linotype" w:hAnsi="Palatino Linotype" w:eastAsia="Palatino Linotype" w:cs="Palatino Linotype"/>
          <w:color w:val="000000" w:themeColor="text1"/>
        </w:rPr>
        <w:t xml:space="preserve">via Tier 3 </w:t>
      </w:r>
      <w:r w:rsidRPr="693F203E">
        <w:rPr>
          <w:rFonts w:ascii="Palatino Linotype" w:hAnsi="Palatino Linotype" w:eastAsia="Palatino Linotype" w:cs="Palatino Linotype"/>
          <w:color w:val="000000" w:themeColor="text1"/>
        </w:rPr>
        <w:t xml:space="preserve">AL 6646-G on June 1, 2026. </w:t>
      </w:r>
    </w:p>
    <w:p w:rsidR="45E5B059" w:rsidP="693F203E" w:rsidRDefault="45E5B059" w14:paraId="58F17B33" w14:textId="6AB7BBBF">
      <w:pPr>
        <w:spacing w:after="0" w:line="276" w:lineRule="auto"/>
      </w:pPr>
      <w:r w:rsidRPr="693F203E">
        <w:rPr>
          <w:rFonts w:ascii="Palatino Linotype" w:hAnsi="Palatino Linotype" w:eastAsia="Palatino Linotype" w:cs="Palatino Linotype"/>
          <w:color w:val="000000" w:themeColor="text1"/>
        </w:rPr>
        <w:t xml:space="preserve"> </w:t>
      </w:r>
    </w:p>
    <w:p w:rsidR="45E5B059" w:rsidP="00C43FC3" w:rsidRDefault="45E5B059" w14:paraId="428F4832" w14:textId="664CBB3D">
      <w:pPr>
        <w:keepNext/>
        <w:spacing w:line="276" w:lineRule="auto"/>
      </w:pPr>
      <w:r w:rsidRPr="693F203E">
        <w:rPr>
          <w:rFonts w:ascii="Palatino Linotype" w:hAnsi="Palatino Linotype" w:eastAsia="Palatino Linotype" w:cs="Palatino Linotype"/>
          <w:color w:val="000000" w:themeColor="text1"/>
          <w:u w:val="single"/>
        </w:rPr>
        <w:lastRenderedPageBreak/>
        <w:t xml:space="preserve">SoCalGas’s Request for 2027 Gas RD&amp;D Plan </w:t>
      </w:r>
    </w:p>
    <w:p w:rsidR="45E5B059" w:rsidP="00C43FC3" w:rsidRDefault="45E5B059" w14:paraId="6C81508A" w14:textId="36FA8A02">
      <w:pPr>
        <w:keepNext/>
        <w:spacing w:after="0" w:line="276" w:lineRule="auto"/>
        <w:rPr>
          <w:rFonts w:ascii="Palatino Linotype" w:hAnsi="Palatino Linotype" w:eastAsia="Palatino Linotype" w:cs="Palatino Linotype"/>
          <w:color w:val="000000" w:themeColor="text1"/>
        </w:rPr>
      </w:pPr>
      <w:r w:rsidRPr="7510854C">
        <w:rPr>
          <w:rFonts w:ascii="Palatino Linotype" w:hAnsi="Palatino Linotype" w:eastAsia="Palatino Linotype" w:cs="Palatino Linotype"/>
          <w:color w:val="000000" w:themeColor="text1"/>
        </w:rPr>
        <w:t>SoCalGas seeks approval of its proposed Gas RD&amp;D Investment Plan for Calendar Year 2027 in AL 6646-G, authorized by D.24-12-074 at $19,508,100 with the following proposed budget allocations to various Initiatives:</w:t>
      </w:r>
      <w:r w:rsidRPr="7510854C">
        <w:rPr>
          <w:rStyle w:val="FootnoteReference"/>
          <w:rFonts w:ascii="Palatino Linotype" w:hAnsi="Palatino Linotype" w:eastAsia="Palatino Linotype" w:cs="Palatino Linotype"/>
          <w:color w:val="000000" w:themeColor="text1"/>
        </w:rPr>
        <w:footnoteReference w:id="58"/>
      </w:r>
    </w:p>
    <w:p w:rsidRPr="006F23A1" w:rsidR="003B0564" w:rsidP="006F23A1" w:rsidRDefault="003B0564" w14:paraId="7EF84A2D" w14:textId="77777777">
      <w:pPr>
        <w:spacing w:after="0" w:line="276" w:lineRule="auto"/>
        <w:rPr>
          <w:rFonts w:ascii="Palatino Linotype" w:hAnsi="Palatino Linotype" w:eastAsia="Palatino Linotype" w:cs="Times New Roman"/>
          <w:bCs/>
          <w:color w:val="808080" w:themeColor="background1" w:themeShade="80"/>
          <w:kern w:val="0"/>
          <w14:ligatures w14:val="none"/>
        </w:rPr>
      </w:pPr>
    </w:p>
    <w:tbl>
      <w:tblPr>
        <w:tblStyle w:val="TableGrid"/>
        <w:tblW w:w="0" w:type="auto"/>
        <w:tblLook w:val="04A0" w:firstRow="1" w:lastRow="0" w:firstColumn="1" w:lastColumn="0" w:noHBand="0" w:noVBand="1"/>
      </w:tblPr>
      <w:tblGrid>
        <w:gridCol w:w="2442"/>
        <w:gridCol w:w="4933"/>
        <w:gridCol w:w="630"/>
        <w:gridCol w:w="1345"/>
      </w:tblGrid>
      <w:tr w:rsidRPr="00C736B0" w:rsidR="003B0564" w:rsidTr="3642958B" w14:paraId="3F1A1821" w14:textId="77777777">
        <w:tc>
          <w:tcPr>
            <w:tcW w:w="9350" w:type="dxa"/>
            <w:gridSpan w:val="4"/>
          </w:tcPr>
          <w:p w:rsidRPr="00C736B0" w:rsidR="003B0564" w:rsidP="008B0199" w:rsidRDefault="003B0564" w14:paraId="1E4B0561" w14:textId="37383E2C">
            <w:pPr>
              <w:keepNext/>
              <w:spacing w:line="276" w:lineRule="auto"/>
              <w:jc w:val="center"/>
              <w:outlineLvl w:val="0"/>
              <w:rPr>
                <w:rFonts w:ascii="Palatino Linotype" w:hAnsi="Palatino Linotype" w:eastAsia="Palatino Linotype" w:cs="Times New Roman"/>
                <w:b/>
                <w:color w:val="000000" w:themeColor="text1"/>
                <w:sz w:val="22"/>
                <w:szCs w:val="22"/>
              </w:rPr>
            </w:pPr>
            <w:r w:rsidRPr="3642958B">
              <w:rPr>
                <w:rFonts w:ascii="Palatino Linotype" w:hAnsi="Palatino Linotype" w:eastAsia="Palatino Linotype" w:cs="Times New Roman"/>
                <w:b/>
                <w:color w:val="000000" w:themeColor="text1"/>
              </w:rPr>
              <w:t>Table 5: 2027 Gas RD&amp;D Plan Proposed Budget</w:t>
            </w:r>
          </w:p>
        </w:tc>
      </w:tr>
      <w:tr w:rsidRPr="00C736B0" w:rsidR="003B0564" w:rsidTr="3642958B" w14:paraId="73D31263" w14:textId="77777777">
        <w:tc>
          <w:tcPr>
            <w:tcW w:w="2442" w:type="dxa"/>
          </w:tcPr>
          <w:p w:rsidRPr="00C736B0" w:rsidR="003B0564" w:rsidP="008B0199" w:rsidRDefault="003B0564" w14:paraId="671C852D"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Investment Theme</w:t>
            </w:r>
          </w:p>
        </w:tc>
        <w:tc>
          <w:tcPr>
            <w:tcW w:w="4933" w:type="dxa"/>
          </w:tcPr>
          <w:p w:rsidRPr="00C736B0" w:rsidR="003B0564" w:rsidP="008B0199" w:rsidRDefault="003B0564" w14:paraId="4C2DEB5C"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Initiative Title</w:t>
            </w:r>
          </w:p>
        </w:tc>
        <w:tc>
          <w:tcPr>
            <w:tcW w:w="1975" w:type="dxa"/>
            <w:gridSpan w:val="2"/>
            <w:tcBorders>
              <w:bottom w:val="single" w:color="auto" w:sz="4" w:space="0"/>
            </w:tcBorders>
          </w:tcPr>
          <w:p w:rsidRPr="00C736B0" w:rsidR="003B0564" w:rsidP="008B0199" w:rsidRDefault="003B0564" w14:paraId="18AB045D" w14:textId="724D561C">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b/>
                <w:color w:val="000000" w:themeColor="text1"/>
                <w:sz w:val="22"/>
                <w:szCs w:val="22"/>
              </w:rPr>
              <w:t>202</w:t>
            </w:r>
            <w:r>
              <w:rPr>
                <w:rFonts w:ascii="Palatino Linotype" w:hAnsi="Palatino Linotype"/>
                <w:b/>
                <w:color w:val="000000" w:themeColor="text1"/>
                <w:sz w:val="22"/>
                <w:szCs w:val="22"/>
              </w:rPr>
              <w:t>7</w:t>
            </w:r>
            <w:r w:rsidRPr="00C736B0">
              <w:rPr>
                <w:rFonts w:ascii="Palatino Linotype" w:hAnsi="Palatino Linotype"/>
                <w:b/>
                <w:color w:val="000000" w:themeColor="text1"/>
                <w:sz w:val="22"/>
                <w:szCs w:val="22"/>
              </w:rPr>
              <w:t xml:space="preserve"> Plan Budget</w:t>
            </w:r>
          </w:p>
        </w:tc>
      </w:tr>
      <w:tr w:rsidRPr="00C736B0" w:rsidR="003B0564" w:rsidTr="3642958B" w14:paraId="10BD0565" w14:textId="77777777">
        <w:tc>
          <w:tcPr>
            <w:tcW w:w="2442" w:type="dxa"/>
            <w:vMerge w:val="restart"/>
          </w:tcPr>
          <w:p w:rsidRPr="00C736B0" w:rsidR="003B0564" w:rsidP="008B0199" w:rsidRDefault="003B0564" w14:paraId="03755F6C"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Gas</w:t>
            </w:r>
            <w:r w:rsidRPr="00C736B0">
              <w:rPr>
                <w:rFonts w:ascii="Palatino Linotype" w:hAnsi="Palatino Linotype" w:eastAsia="Palatino Linotype" w:cs="Times New Roman"/>
                <w:bCs w:val="0"/>
                <w:color w:val="000000" w:themeColor="text1"/>
                <w:sz w:val="22"/>
                <w:szCs w:val="22"/>
              </w:rPr>
              <w:t xml:space="preserve"> System Integrity </w:t>
            </w:r>
          </w:p>
        </w:tc>
        <w:tc>
          <w:tcPr>
            <w:tcW w:w="4933" w:type="dxa"/>
            <w:tcBorders>
              <w:right w:val="single" w:color="auto" w:sz="4" w:space="0"/>
            </w:tcBorders>
          </w:tcPr>
          <w:p w:rsidRPr="00C736B0" w:rsidR="003B0564" w:rsidP="008B0199" w:rsidRDefault="003B0564" w14:paraId="48DA64A9"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Environmental &amp; Safety</w:t>
            </w:r>
          </w:p>
        </w:tc>
        <w:tc>
          <w:tcPr>
            <w:tcW w:w="630" w:type="dxa"/>
            <w:tcBorders>
              <w:top w:val="single" w:color="auto" w:sz="4" w:space="0"/>
              <w:left w:val="single" w:color="auto" w:sz="4" w:space="0"/>
              <w:bottom w:val="single" w:color="auto" w:sz="4" w:space="0"/>
              <w:right w:val="nil"/>
            </w:tcBorders>
          </w:tcPr>
          <w:p w:rsidRPr="00EF28B8" w:rsidR="003B0564" w:rsidP="008B0199" w:rsidRDefault="003B0564" w14:paraId="7D548A99" w14:textId="77777777">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693F203E" w:rsidRDefault="0CBB2834" w14:paraId="2F55FC4E" w14:textId="28DB334B">
            <w:pPr>
              <w:keepNext/>
              <w:spacing w:line="276" w:lineRule="auto"/>
              <w:jc w:val="right"/>
            </w:pPr>
            <w:r w:rsidRPr="693F203E">
              <w:rPr>
                <w:rFonts w:ascii="Palatino Linotype" w:hAnsi="Palatino Linotype" w:eastAsia="Palatino Linotype" w:cs="Times New Roman"/>
                <w:color w:val="000000" w:themeColor="text1"/>
                <w:sz w:val="22"/>
                <w:szCs w:val="22"/>
              </w:rPr>
              <w:t>2,633,600</w:t>
            </w:r>
          </w:p>
        </w:tc>
      </w:tr>
      <w:tr w:rsidRPr="00C736B0" w:rsidR="003B0564" w:rsidTr="3642958B" w14:paraId="5ECE14A0" w14:textId="77777777">
        <w:tc>
          <w:tcPr>
            <w:tcW w:w="2442" w:type="dxa"/>
            <w:vMerge/>
          </w:tcPr>
          <w:p w:rsidRPr="00C736B0" w:rsidR="003B0564" w:rsidP="008B0199" w:rsidRDefault="003B0564" w14:paraId="3E84AAFD"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3B0564" w:rsidP="008B0199" w:rsidRDefault="003B0564" w14:paraId="02A087B4"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 xml:space="preserve">System Inspection &amp; Monitoring </w:t>
            </w:r>
          </w:p>
        </w:tc>
        <w:tc>
          <w:tcPr>
            <w:tcW w:w="630" w:type="dxa"/>
            <w:tcBorders>
              <w:top w:val="single" w:color="auto" w:sz="4" w:space="0"/>
              <w:left w:val="single" w:color="auto" w:sz="4" w:space="0"/>
              <w:bottom w:val="single" w:color="auto" w:sz="4" w:space="0"/>
              <w:right w:val="nil"/>
            </w:tcBorders>
          </w:tcPr>
          <w:p w:rsidRPr="00EF28B8" w:rsidR="003B0564" w:rsidP="008B0199" w:rsidRDefault="003B0564" w14:paraId="6382A50F"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4BAA75FD" w14:paraId="260311C9" w14:textId="0EDEF578">
            <w:pPr>
              <w:keepNext/>
              <w:spacing w:line="276" w:lineRule="auto"/>
              <w:jc w:val="right"/>
              <w:outlineLvl w:val="0"/>
            </w:pPr>
            <w:r w:rsidRPr="693F203E">
              <w:rPr>
                <w:rFonts w:ascii="Palatino Linotype" w:hAnsi="Palatino Linotype" w:eastAsia="Palatino Linotype" w:cs="Times New Roman"/>
                <w:color w:val="000000" w:themeColor="text1"/>
                <w:sz w:val="22"/>
                <w:szCs w:val="22"/>
              </w:rPr>
              <w:t>2,633,600</w:t>
            </w:r>
          </w:p>
        </w:tc>
      </w:tr>
      <w:tr w:rsidRPr="00C736B0" w:rsidR="003B0564" w:rsidTr="3642958B" w14:paraId="11B034F1" w14:textId="77777777">
        <w:tc>
          <w:tcPr>
            <w:tcW w:w="2442" w:type="dxa"/>
            <w:vMerge/>
          </w:tcPr>
          <w:p w:rsidRPr="00C736B0" w:rsidR="003B0564" w:rsidP="008B0199" w:rsidRDefault="003B0564" w14:paraId="22FA1857"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3B0564" w:rsidP="008B0199" w:rsidRDefault="003B0564" w14:paraId="6F848FC1" w14:textId="77777777">
            <w:pPr>
              <w:keepNext/>
              <w:spacing w:line="276" w:lineRule="auto"/>
              <w:outlineLvl w:val="0"/>
              <w:rPr>
                <w:rFonts w:ascii="Palatino Linotype" w:hAnsi="Palatino Linotype" w:eastAsia="Palatino Linotype" w:cs="Times New Roman"/>
                <w:color w:val="000000" w:themeColor="text1"/>
                <w:sz w:val="22"/>
                <w:szCs w:val="22"/>
              </w:rPr>
            </w:pPr>
            <w:r w:rsidRPr="00284901">
              <w:rPr>
                <w:rFonts w:ascii="Palatino Linotype" w:hAnsi="Palatino Linotype" w:eastAsia="Palatino Linotype" w:cs="Times New Roman"/>
                <w:color w:val="000000" w:themeColor="text1"/>
                <w:sz w:val="22"/>
                <w:szCs w:val="22"/>
              </w:rPr>
              <w:t>Community Impact &amp; Energy Conservation</w:t>
            </w:r>
          </w:p>
        </w:tc>
        <w:tc>
          <w:tcPr>
            <w:tcW w:w="630" w:type="dxa"/>
            <w:tcBorders>
              <w:top w:val="single" w:color="auto" w:sz="4" w:space="0"/>
              <w:left w:val="single" w:color="auto" w:sz="4" w:space="0"/>
              <w:bottom w:val="single" w:color="auto" w:sz="4" w:space="0"/>
              <w:right w:val="nil"/>
            </w:tcBorders>
          </w:tcPr>
          <w:p w:rsidRPr="008F6EFC" w:rsidR="003B0564" w:rsidP="008B0199" w:rsidRDefault="003B0564" w14:paraId="4B8BCA43" w14:textId="5E32C730">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12097CFA" w14:paraId="4CDB3C96" w14:textId="4EB9E873">
            <w:pPr>
              <w:keepNext/>
              <w:spacing w:line="276" w:lineRule="auto"/>
              <w:jc w:val="right"/>
              <w:outlineLvl w:val="0"/>
            </w:pPr>
            <w:r w:rsidRPr="693F203E">
              <w:rPr>
                <w:rFonts w:ascii="Palatino Linotype" w:hAnsi="Palatino Linotype" w:eastAsia="Palatino Linotype" w:cs="Times New Roman"/>
                <w:color w:val="000000" w:themeColor="text1"/>
                <w:sz w:val="22"/>
                <w:szCs w:val="22"/>
              </w:rPr>
              <w:t>1,755,700</w:t>
            </w:r>
          </w:p>
        </w:tc>
      </w:tr>
      <w:tr w:rsidRPr="00C736B0" w:rsidR="003B0564" w:rsidTr="3642958B" w14:paraId="69CB0EE9" w14:textId="77777777">
        <w:tc>
          <w:tcPr>
            <w:tcW w:w="2442" w:type="dxa"/>
            <w:vMerge/>
          </w:tcPr>
          <w:p w:rsidRPr="00C736B0" w:rsidR="003B0564" w:rsidP="008B0199" w:rsidRDefault="003B0564" w14:paraId="2FEBAAFD"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3B0564" w:rsidP="008B0199" w:rsidRDefault="003B0564" w14:paraId="7F0B708A"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System Design &amp; Materials</w:t>
            </w:r>
          </w:p>
        </w:tc>
        <w:tc>
          <w:tcPr>
            <w:tcW w:w="630" w:type="dxa"/>
            <w:tcBorders>
              <w:top w:val="single" w:color="auto" w:sz="4" w:space="0"/>
              <w:left w:val="single" w:color="auto" w:sz="4" w:space="0"/>
              <w:bottom w:val="single" w:color="auto" w:sz="4" w:space="0"/>
              <w:right w:val="nil"/>
            </w:tcBorders>
          </w:tcPr>
          <w:p w:rsidRPr="00EF28B8" w:rsidR="003B0564" w:rsidP="008B0199" w:rsidRDefault="003B0564" w14:paraId="74E96D05"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67CE7E5B" w14:paraId="3A0841A4" w14:textId="13B42D62">
            <w:pPr>
              <w:keepNext/>
              <w:spacing w:line="276" w:lineRule="auto"/>
              <w:jc w:val="right"/>
              <w:outlineLvl w:val="0"/>
            </w:pPr>
            <w:r w:rsidRPr="693F203E">
              <w:rPr>
                <w:rFonts w:ascii="Palatino Linotype" w:hAnsi="Palatino Linotype" w:eastAsia="Palatino Linotype" w:cs="Times New Roman"/>
                <w:color w:val="000000" w:themeColor="text1"/>
                <w:sz w:val="22"/>
                <w:szCs w:val="22"/>
              </w:rPr>
              <w:t>877,900</w:t>
            </w:r>
          </w:p>
        </w:tc>
      </w:tr>
      <w:tr w:rsidRPr="00C736B0" w:rsidR="003B0564" w:rsidTr="3642958B" w14:paraId="21ACF374" w14:textId="77777777">
        <w:tc>
          <w:tcPr>
            <w:tcW w:w="2442" w:type="dxa"/>
            <w:vMerge/>
          </w:tcPr>
          <w:p w:rsidRPr="00C736B0" w:rsidR="003B0564" w:rsidP="008B0199" w:rsidRDefault="003B0564" w14:paraId="2E07F4C9"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3B0564" w:rsidP="008B0199" w:rsidRDefault="003B0564" w14:paraId="02468B54"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RNG Infrastructure Optimization</w:t>
            </w:r>
          </w:p>
        </w:tc>
        <w:tc>
          <w:tcPr>
            <w:tcW w:w="630" w:type="dxa"/>
            <w:tcBorders>
              <w:top w:val="single" w:color="auto" w:sz="4" w:space="0"/>
              <w:left w:val="single" w:color="auto" w:sz="4" w:space="0"/>
              <w:bottom w:val="single" w:color="auto" w:sz="4" w:space="0"/>
              <w:right w:val="nil"/>
            </w:tcBorders>
          </w:tcPr>
          <w:p w:rsidRPr="00EF28B8" w:rsidR="003B0564" w:rsidP="008B0199" w:rsidRDefault="003B0564" w14:paraId="675BD3DB"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3315B09C" w14:paraId="48DB5732" w14:textId="6AF31D88">
            <w:pPr>
              <w:keepNext/>
              <w:spacing w:line="276" w:lineRule="auto"/>
              <w:jc w:val="right"/>
              <w:outlineLvl w:val="0"/>
            </w:pPr>
            <w:r w:rsidRPr="693F203E">
              <w:rPr>
                <w:rFonts w:ascii="Palatino Linotype" w:hAnsi="Palatino Linotype" w:eastAsia="Palatino Linotype" w:cs="Times New Roman"/>
                <w:color w:val="000000" w:themeColor="text1"/>
                <w:sz w:val="22"/>
                <w:szCs w:val="22"/>
              </w:rPr>
              <w:t>2,633,</w:t>
            </w:r>
            <w:r w:rsidRPr="693F203E" w:rsidR="586FA42C">
              <w:rPr>
                <w:rFonts w:ascii="Palatino Linotype" w:hAnsi="Palatino Linotype" w:eastAsia="Palatino Linotype" w:cs="Times New Roman"/>
                <w:color w:val="000000" w:themeColor="text1"/>
                <w:sz w:val="22"/>
                <w:szCs w:val="22"/>
              </w:rPr>
              <w:t>6</w:t>
            </w:r>
            <w:r w:rsidRPr="693F203E">
              <w:rPr>
                <w:rFonts w:ascii="Palatino Linotype" w:hAnsi="Palatino Linotype" w:eastAsia="Palatino Linotype" w:cs="Times New Roman"/>
                <w:color w:val="000000" w:themeColor="text1"/>
                <w:sz w:val="22"/>
                <w:szCs w:val="22"/>
              </w:rPr>
              <w:t>00</w:t>
            </w:r>
          </w:p>
        </w:tc>
      </w:tr>
      <w:tr w:rsidRPr="00C736B0" w:rsidR="003B0564" w:rsidTr="3642958B" w14:paraId="2E73B2AB" w14:textId="77777777">
        <w:tc>
          <w:tcPr>
            <w:tcW w:w="2442" w:type="dxa"/>
            <w:vMerge w:val="restart"/>
          </w:tcPr>
          <w:p w:rsidRPr="00C736B0" w:rsidR="003B0564" w:rsidP="008B0199" w:rsidRDefault="003B0564" w14:paraId="03047E43"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bCs w:val="0"/>
                <w:color w:val="000000" w:themeColor="text1"/>
                <w:sz w:val="22"/>
                <w:szCs w:val="22"/>
              </w:rPr>
              <w:t>Decarbonization</w:t>
            </w:r>
          </w:p>
        </w:tc>
        <w:tc>
          <w:tcPr>
            <w:tcW w:w="4933" w:type="dxa"/>
            <w:tcBorders>
              <w:right w:val="single" w:color="auto" w:sz="4" w:space="0"/>
            </w:tcBorders>
          </w:tcPr>
          <w:p w:rsidRPr="00C736B0" w:rsidR="003B0564" w:rsidP="008B0199" w:rsidRDefault="003B0564" w14:paraId="5E6C9100"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Low-Carbon Fuels Technologies</w:t>
            </w:r>
          </w:p>
        </w:tc>
        <w:tc>
          <w:tcPr>
            <w:tcW w:w="630" w:type="dxa"/>
            <w:tcBorders>
              <w:top w:val="single" w:color="auto" w:sz="4" w:space="0"/>
              <w:left w:val="single" w:color="auto" w:sz="4" w:space="0"/>
              <w:bottom w:val="single" w:color="auto" w:sz="4" w:space="0"/>
              <w:right w:val="nil"/>
            </w:tcBorders>
          </w:tcPr>
          <w:p w:rsidRPr="000C6988" w:rsidR="003B0564" w:rsidP="008B0199" w:rsidRDefault="003B0564" w14:paraId="0603A3D8"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14D9193D" w14:paraId="54B13CBB" w14:textId="2A083E71">
            <w:pPr>
              <w:keepNext/>
              <w:spacing w:line="276" w:lineRule="auto"/>
              <w:jc w:val="right"/>
              <w:outlineLvl w:val="0"/>
            </w:pPr>
            <w:r w:rsidRPr="693F203E">
              <w:rPr>
                <w:rFonts w:ascii="Palatino Linotype" w:hAnsi="Palatino Linotype" w:eastAsia="Palatino Linotype" w:cs="Times New Roman"/>
                <w:color w:val="000000" w:themeColor="text1"/>
                <w:sz w:val="22"/>
                <w:szCs w:val="22"/>
              </w:rPr>
              <w:t>2,633,600</w:t>
            </w:r>
          </w:p>
        </w:tc>
      </w:tr>
      <w:tr w:rsidRPr="00C736B0" w:rsidR="003B0564" w:rsidTr="3642958B" w14:paraId="5BEB6EB3" w14:textId="77777777">
        <w:tc>
          <w:tcPr>
            <w:tcW w:w="2442" w:type="dxa"/>
            <w:vMerge/>
          </w:tcPr>
          <w:p w:rsidRPr="00C736B0" w:rsidR="003B0564" w:rsidP="008B0199" w:rsidRDefault="003B0564" w14:paraId="279A10B5"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3B0564" w:rsidP="008B0199" w:rsidRDefault="003B0564" w14:paraId="5C7FA746"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Energy Reliability &amp; Resilience</w:t>
            </w:r>
          </w:p>
        </w:tc>
        <w:tc>
          <w:tcPr>
            <w:tcW w:w="630" w:type="dxa"/>
            <w:tcBorders>
              <w:top w:val="single" w:color="auto" w:sz="4" w:space="0"/>
              <w:left w:val="single" w:color="auto" w:sz="4" w:space="0"/>
              <w:bottom w:val="single" w:color="auto" w:sz="4" w:space="0"/>
              <w:right w:val="nil"/>
            </w:tcBorders>
          </w:tcPr>
          <w:p w:rsidRPr="000C6988" w:rsidR="003B0564" w:rsidP="008B0199" w:rsidRDefault="003B0564" w14:paraId="28411920"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5491CC75" w14:paraId="646D9B4B" w14:textId="250F1B82">
            <w:pPr>
              <w:keepNext/>
              <w:spacing w:line="276" w:lineRule="auto"/>
              <w:jc w:val="right"/>
              <w:outlineLvl w:val="0"/>
            </w:pPr>
            <w:r w:rsidRPr="693F203E">
              <w:rPr>
                <w:rFonts w:ascii="Palatino Linotype" w:hAnsi="Palatino Linotype" w:eastAsia="Palatino Linotype" w:cs="Times New Roman"/>
                <w:color w:val="000000" w:themeColor="text1"/>
                <w:sz w:val="22"/>
                <w:szCs w:val="22"/>
              </w:rPr>
              <w:t>2,633,600</w:t>
            </w:r>
          </w:p>
        </w:tc>
      </w:tr>
      <w:tr w:rsidRPr="00C736B0" w:rsidR="003B0564" w:rsidTr="3642958B" w14:paraId="54288D7B" w14:textId="77777777">
        <w:tc>
          <w:tcPr>
            <w:tcW w:w="2442" w:type="dxa"/>
            <w:vMerge/>
          </w:tcPr>
          <w:p w:rsidRPr="00C736B0" w:rsidR="003B0564" w:rsidP="008B0199" w:rsidRDefault="003B0564" w14:paraId="7202BCCA" w14:textId="77777777">
            <w:pPr>
              <w:keepNext/>
              <w:spacing w:line="276" w:lineRule="auto"/>
              <w:outlineLvl w:val="0"/>
              <w:rPr>
                <w:rFonts w:ascii="Palatino Linotype" w:hAnsi="Palatino Linotype" w:eastAsia="Palatino Linotype" w:cs="Times New Roman"/>
                <w:bCs w:val="0"/>
                <w:color w:val="000000" w:themeColor="text1"/>
                <w:sz w:val="22"/>
                <w:szCs w:val="22"/>
              </w:rPr>
            </w:pPr>
          </w:p>
        </w:tc>
        <w:tc>
          <w:tcPr>
            <w:tcW w:w="4933" w:type="dxa"/>
            <w:tcBorders>
              <w:right w:val="single" w:color="auto" w:sz="4" w:space="0"/>
            </w:tcBorders>
          </w:tcPr>
          <w:p w:rsidRPr="00C736B0" w:rsidR="003B0564" w:rsidP="008B0199" w:rsidRDefault="003B0564" w14:paraId="6E118392"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Building &amp; Facility Systems</w:t>
            </w:r>
          </w:p>
        </w:tc>
        <w:tc>
          <w:tcPr>
            <w:tcW w:w="630" w:type="dxa"/>
            <w:tcBorders>
              <w:top w:val="single" w:color="auto" w:sz="4" w:space="0"/>
              <w:left w:val="single" w:color="auto" w:sz="4" w:space="0"/>
              <w:bottom w:val="single" w:color="auto" w:sz="4" w:space="0"/>
              <w:right w:val="nil"/>
            </w:tcBorders>
          </w:tcPr>
          <w:p w:rsidRPr="000C6988" w:rsidR="003B0564" w:rsidP="008B0199" w:rsidRDefault="003B0564" w14:paraId="30F17159" w14:textId="77777777">
            <w:pPr>
              <w:keepNext/>
              <w:spacing w:line="276" w:lineRule="auto"/>
              <w:outlineLvl w:val="0"/>
              <w:rPr>
                <w:rFonts w:ascii="Palatino Linotype" w:hAnsi="Palatino Linotype" w:eastAsia="Palatino Linotype" w:cs="Times New Roman"/>
                <w:color w:val="000000" w:themeColor="text1"/>
                <w:sz w:val="22"/>
                <w:szCs w:val="22"/>
              </w:rPr>
            </w:pPr>
            <w:r w:rsidRPr="008F6EFC">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14A9B38D" w14:paraId="3996402B" w14:textId="2150302F">
            <w:pPr>
              <w:keepNext/>
              <w:spacing w:line="276" w:lineRule="auto"/>
              <w:jc w:val="right"/>
              <w:outlineLvl w:val="0"/>
            </w:pPr>
            <w:r w:rsidRPr="693F203E">
              <w:rPr>
                <w:rFonts w:ascii="Palatino Linotype" w:hAnsi="Palatino Linotype" w:eastAsia="Palatino Linotype" w:cs="Times New Roman"/>
                <w:color w:val="000000" w:themeColor="text1"/>
                <w:sz w:val="22"/>
                <w:szCs w:val="22"/>
              </w:rPr>
              <w:t>1,755,700</w:t>
            </w:r>
          </w:p>
        </w:tc>
      </w:tr>
      <w:tr w:rsidRPr="00C736B0" w:rsidR="003B0564" w:rsidTr="3642958B" w14:paraId="12415B00" w14:textId="77777777">
        <w:tc>
          <w:tcPr>
            <w:tcW w:w="7375" w:type="dxa"/>
            <w:gridSpan w:val="2"/>
            <w:tcBorders>
              <w:right w:val="single" w:color="auto" w:sz="4" w:space="0"/>
            </w:tcBorders>
          </w:tcPr>
          <w:p w:rsidRPr="00C736B0" w:rsidR="003B0564" w:rsidP="008B0199" w:rsidRDefault="003B0564" w14:paraId="32C89C0C" w14:textId="77777777">
            <w:pPr>
              <w:keepNext/>
              <w:spacing w:line="276" w:lineRule="auto"/>
              <w:outlineLvl w:val="0"/>
              <w:rPr>
                <w:rFonts w:ascii="Palatino Linotype" w:hAnsi="Palatino Linotype" w:eastAsia="Palatino Linotype" w:cs="Times New Roman"/>
                <w:bCs w:val="0"/>
                <w:color w:val="000000" w:themeColor="text1"/>
                <w:sz w:val="22"/>
                <w:szCs w:val="22"/>
              </w:rPr>
            </w:pPr>
            <w:r w:rsidRPr="00C736B0">
              <w:rPr>
                <w:rFonts w:ascii="Palatino Linotype" w:hAnsi="Palatino Linotype" w:eastAsia="Palatino Linotype" w:cs="Times New Roman"/>
                <w:color w:val="000000" w:themeColor="text1"/>
                <w:sz w:val="22"/>
                <w:szCs w:val="22"/>
              </w:rPr>
              <w:t>Program Administration</w:t>
            </w:r>
          </w:p>
        </w:tc>
        <w:tc>
          <w:tcPr>
            <w:tcW w:w="630" w:type="dxa"/>
            <w:tcBorders>
              <w:top w:val="single" w:color="auto" w:sz="4" w:space="0"/>
              <w:left w:val="single" w:color="auto" w:sz="4" w:space="0"/>
              <w:bottom w:val="single" w:color="auto" w:sz="4" w:space="0"/>
              <w:right w:val="nil"/>
            </w:tcBorders>
          </w:tcPr>
          <w:p w:rsidRPr="00BF2920" w:rsidR="003B0564" w:rsidP="008B0199" w:rsidRDefault="003B0564" w14:paraId="55175592" w14:textId="77777777">
            <w:pPr>
              <w:keepNext/>
              <w:spacing w:line="276" w:lineRule="auto"/>
              <w:outlineLvl w:val="0"/>
              <w:rPr>
                <w:rFonts w:ascii="Palatino Linotype" w:hAnsi="Palatino Linotype" w:eastAsia="Palatino Linotype" w:cs="Times New Roman"/>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09EC42CD" w14:paraId="7B3A9A60" w14:textId="09C88DC6">
            <w:pPr>
              <w:keepNext/>
              <w:spacing w:line="276" w:lineRule="auto"/>
              <w:jc w:val="right"/>
              <w:outlineLvl w:val="0"/>
            </w:pPr>
            <w:r w:rsidRPr="693F203E">
              <w:rPr>
                <w:rFonts w:ascii="Palatino Linotype" w:hAnsi="Palatino Linotype" w:eastAsia="Palatino Linotype" w:cs="Times New Roman"/>
                <w:color w:val="000000" w:themeColor="text1"/>
                <w:sz w:val="22"/>
                <w:szCs w:val="22"/>
              </w:rPr>
              <w:t>1,950,800</w:t>
            </w:r>
          </w:p>
        </w:tc>
      </w:tr>
      <w:tr w:rsidRPr="00C736B0" w:rsidR="003B0564" w:rsidTr="3642958B" w14:paraId="6FA6A652" w14:textId="77777777">
        <w:tc>
          <w:tcPr>
            <w:tcW w:w="7375" w:type="dxa"/>
            <w:gridSpan w:val="2"/>
            <w:tcBorders>
              <w:right w:val="single" w:color="auto" w:sz="4" w:space="0"/>
            </w:tcBorders>
          </w:tcPr>
          <w:p w:rsidRPr="00C736B0" w:rsidR="003B0564" w:rsidP="008B0199" w:rsidRDefault="003B0564" w14:paraId="704CC7DE" w14:textId="77777777">
            <w:pPr>
              <w:keepNext/>
              <w:spacing w:line="276" w:lineRule="auto"/>
              <w:jc w:val="right"/>
              <w:outlineLvl w:val="0"/>
              <w:rPr>
                <w:rFonts w:ascii="Palatino Linotype" w:hAnsi="Palatino Linotype" w:eastAsia="Palatino Linotype" w:cs="Times New Roman"/>
                <w:b/>
                <w:color w:val="000000" w:themeColor="text1"/>
                <w:sz w:val="22"/>
                <w:szCs w:val="22"/>
              </w:rPr>
            </w:pPr>
            <w:r w:rsidRPr="00C736B0">
              <w:rPr>
                <w:rFonts w:ascii="Palatino Linotype" w:hAnsi="Palatino Linotype" w:eastAsia="Palatino Linotype" w:cs="Times New Roman"/>
                <w:b/>
                <w:color w:val="000000" w:themeColor="text1"/>
                <w:sz w:val="22"/>
                <w:szCs w:val="22"/>
              </w:rPr>
              <w:t>ANNUAL TOTAL:</w:t>
            </w:r>
          </w:p>
        </w:tc>
        <w:tc>
          <w:tcPr>
            <w:tcW w:w="630" w:type="dxa"/>
            <w:tcBorders>
              <w:top w:val="single" w:color="auto" w:sz="4" w:space="0"/>
              <w:left w:val="single" w:color="auto" w:sz="4" w:space="0"/>
              <w:bottom w:val="single" w:color="auto" w:sz="4" w:space="0"/>
              <w:right w:val="nil"/>
            </w:tcBorders>
          </w:tcPr>
          <w:p w:rsidRPr="00BF2920" w:rsidR="003B0564" w:rsidP="008B0199" w:rsidRDefault="003B0564" w14:paraId="4C9C8AAE" w14:textId="77777777">
            <w:pPr>
              <w:keepNext/>
              <w:spacing w:line="276" w:lineRule="auto"/>
              <w:outlineLvl w:val="0"/>
              <w:rPr>
                <w:rFonts w:ascii="Palatino Linotype" w:hAnsi="Palatino Linotype" w:eastAsia="Palatino Linotype" w:cs="Times New Roman"/>
                <w:b/>
                <w:color w:val="000000" w:themeColor="text1"/>
                <w:sz w:val="22"/>
                <w:szCs w:val="22"/>
              </w:rPr>
            </w:pPr>
            <w:r>
              <w:rPr>
                <w:rFonts w:ascii="Palatino Linotype" w:hAnsi="Palatino Linotype" w:eastAsia="Palatino Linotype" w:cs="Times New Roman"/>
                <w:color w:val="000000" w:themeColor="text1"/>
                <w:sz w:val="22"/>
                <w:szCs w:val="22"/>
              </w:rPr>
              <w:t>$</w:t>
            </w:r>
          </w:p>
        </w:tc>
        <w:tc>
          <w:tcPr>
            <w:tcW w:w="1345" w:type="dxa"/>
            <w:tcBorders>
              <w:top w:val="single" w:color="auto" w:sz="4" w:space="0"/>
              <w:left w:val="nil"/>
              <w:bottom w:val="single" w:color="auto" w:sz="4" w:space="0"/>
              <w:right w:val="single" w:color="auto" w:sz="4" w:space="0"/>
            </w:tcBorders>
            <w:vAlign w:val="center"/>
          </w:tcPr>
          <w:p w:rsidRPr="00C736B0" w:rsidR="003B0564" w:rsidP="008B0199" w:rsidRDefault="722237C5" w14:paraId="2C8118F1" w14:textId="5DD4F734">
            <w:pPr>
              <w:keepNext/>
              <w:spacing w:line="276" w:lineRule="auto"/>
              <w:jc w:val="right"/>
              <w:outlineLvl w:val="0"/>
            </w:pPr>
            <w:r w:rsidRPr="693F203E">
              <w:rPr>
                <w:rFonts w:ascii="Palatino Linotype" w:hAnsi="Palatino Linotype" w:eastAsia="Palatino Linotype" w:cs="Times New Roman"/>
                <w:b/>
                <w:color w:val="000000" w:themeColor="text1"/>
                <w:sz w:val="22"/>
                <w:szCs w:val="22"/>
              </w:rPr>
              <w:t>19,508,100</w:t>
            </w:r>
          </w:p>
        </w:tc>
      </w:tr>
    </w:tbl>
    <w:p w:rsidR="43504DCE" w:rsidP="1648E9B2" w:rsidRDefault="43504DCE" w14:paraId="32A2FF5B" w14:textId="42E8394D">
      <w:pPr>
        <w:spacing w:after="0" w:line="276" w:lineRule="auto"/>
        <w:rPr>
          <w:rFonts w:ascii="Palatino Linotype" w:hAnsi="Palatino Linotype" w:eastAsia="Palatino Linotype" w:cs="Palatino Linotype"/>
          <w:color w:val="000000" w:themeColor="text1"/>
        </w:rPr>
      </w:pPr>
    </w:p>
    <w:p w:rsidR="43504DCE" w:rsidP="1648E9B2" w:rsidRDefault="11985E9D" w14:paraId="4A2C8ABA" w14:textId="614C184E">
      <w:pPr>
        <w:spacing w:after="0" w:line="276" w:lineRule="auto"/>
        <w:rPr>
          <w:rFonts w:ascii="Palatino Linotype" w:hAnsi="Palatino Linotype" w:eastAsia="Palatino Linotype" w:cs="Palatino Linotype"/>
          <w:color w:val="000000" w:themeColor="text1"/>
        </w:rPr>
      </w:pPr>
      <w:r w:rsidRPr="1648E9B2">
        <w:rPr>
          <w:rFonts w:ascii="Palatino Linotype" w:hAnsi="Palatino Linotype" w:eastAsia="Palatino Linotype" w:cs="Palatino Linotype"/>
          <w:i/>
          <w:iCs/>
          <w:color w:val="000000" w:themeColor="text1"/>
        </w:rPr>
        <w:t>Gas System Integrity Theme Proposed Initiatives</w:t>
      </w:r>
    </w:p>
    <w:p w:rsidR="43504DCE" w:rsidP="693F203E" w:rsidRDefault="43504DCE" w14:paraId="03AC6497" w14:textId="62747EFD">
      <w:pPr>
        <w:spacing w:after="0" w:line="276" w:lineRule="auto"/>
      </w:pPr>
      <w:r w:rsidRPr="1648E9B2">
        <w:rPr>
          <w:rFonts w:ascii="Palatino Linotype" w:hAnsi="Palatino Linotype" w:eastAsia="Palatino Linotype" w:cs="Palatino Linotype"/>
          <w:color w:val="000000" w:themeColor="text1"/>
        </w:rPr>
        <w:t xml:space="preserve"> </w:t>
      </w:r>
    </w:p>
    <w:p w:rsidR="43504DCE" w:rsidP="1648E9B2" w:rsidRDefault="43504DCE" w14:paraId="3E526BA7" w14:textId="75016163">
      <w:pPr>
        <w:spacing w:after="0" w:line="276" w:lineRule="auto"/>
        <w:rPr>
          <w:rFonts w:ascii="Palatino Linotype" w:hAnsi="Palatino Linotype" w:eastAsia="Palatino Linotype" w:cs="Palatino Linotype"/>
          <w:color w:val="000000" w:themeColor="text1"/>
        </w:rPr>
      </w:pPr>
      <w:r w:rsidRPr="693F203E">
        <w:rPr>
          <w:rFonts w:ascii="Palatino Linotype" w:hAnsi="Palatino Linotype" w:eastAsia="Palatino Linotype" w:cs="Palatino Linotype"/>
          <w:color w:val="000000" w:themeColor="text1"/>
        </w:rPr>
        <w:t>SoCalGas seeks to develop Initiatives within the Gas System Integrity Theme that support “supply, transmission, distribution, storage, and customers operations through innovations that enhance pipeline safety, maintain system reliability, increase operational efficiency, improve technologies needed to meet emerging regulatory requirements, increase operational efficiency, improve affordability, and reduce GHG impacts to the environment. It also advances technologies needed to meet emerging regulatory requirements and supports the safe, reliable, and cost-effective integration of renewable natural gas (RNG) into the SoCalGas system. The primary objective is to develop, test, and champion new gas operations technologies that benefit ratepayers, public safety, and the environment.”</w:t>
      </w:r>
      <w:r w:rsidRPr="1648E9B2">
        <w:rPr>
          <w:rStyle w:val="FootnoteReference"/>
          <w:rFonts w:ascii="Palatino Linotype" w:hAnsi="Palatino Linotype" w:eastAsia="Palatino Linotype" w:cs="Palatino Linotype"/>
          <w:color w:val="000000" w:themeColor="text1"/>
        </w:rPr>
        <w:footnoteReference w:id="59"/>
      </w:r>
    </w:p>
    <w:p w:rsidR="43504DCE" w:rsidP="1648E9B2" w:rsidRDefault="43504DCE" w14:paraId="1F73D3F2" w14:textId="35CB649E">
      <w:pPr>
        <w:spacing w:after="0" w:line="276" w:lineRule="auto"/>
        <w:rPr>
          <w:rFonts w:ascii="Palatino Linotype" w:hAnsi="Palatino Linotype" w:eastAsia="Palatino Linotype" w:cs="Palatino Linotype"/>
          <w:color w:val="000000" w:themeColor="text1"/>
        </w:rPr>
      </w:pPr>
    </w:p>
    <w:p w:rsidRPr="00D87C93" w:rsidR="1648E9B2" w:rsidP="00A821A4" w:rsidRDefault="422B41BC" w14:paraId="3CA2F1D1" w14:textId="531C160D">
      <w:pPr>
        <w:pStyle w:val="ListParagraph"/>
        <w:keepNext/>
        <w:numPr>
          <w:ilvl w:val="0"/>
          <w:numId w:val="4"/>
        </w:numPr>
        <w:spacing w:line="276" w:lineRule="auto"/>
        <w:ind w:left="1080"/>
        <w:rPr>
          <w:rFonts w:ascii="Palatino Linotype" w:hAnsi="Palatino Linotype" w:eastAsia="Palatino Linotype" w:cs="Palatino Linotype"/>
          <w:color w:val="000000" w:themeColor="text1"/>
        </w:rPr>
      </w:pPr>
      <w:r w:rsidRPr="625BF580">
        <w:rPr>
          <w:rFonts w:ascii="Palatino Linotype" w:hAnsi="Palatino Linotype" w:eastAsia="Palatino Linotype" w:cs="Palatino Linotype"/>
          <w:color w:val="000000" w:themeColor="text1"/>
        </w:rPr>
        <w:lastRenderedPageBreak/>
        <w:t xml:space="preserve">Environmental &amp; </w:t>
      </w:r>
      <w:r w:rsidRPr="00D87C93">
        <w:rPr>
          <w:rFonts w:ascii="Palatino Linotype" w:hAnsi="Palatino Linotype" w:eastAsia="Palatino Linotype" w:cs="Palatino Linotype"/>
          <w:color w:val="000000" w:themeColor="text1"/>
        </w:rPr>
        <w:t>Safety</w:t>
      </w:r>
      <w:r w:rsidRPr="00D87C93">
        <w:rPr>
          <w:rStyle w:val="FootnoteReference"/>
          <w:rFonts w:ascii="Palatino Linotype" w:hAnsi="Palatino Linotype" w:eastAsia="Palatino Linotype" w:cs="Palatino Linotype"/>
          <w:color w:val="000000" w:themeColor="text1"/>
        </w:rPr>
        <w:footnoteReference w:id="60"/>
      </w:r>
    </w:p>
    <w:p w:rsidRPr="00D87C93" w:rsidR="1648E9B2" w:rsidP="00A821A4" w:rsidRDefault="422B41BC" w14:paraId="7816DCC8" w14:textId="5BA2B838">
      <w:pPr>
        <w:keepNext/>
        <w:spacing w:after="0" w:line="276" w:lineRule="auto"/>
        <w:ind w:left="720"/>
        <w:rPr>
          <w:color w:val="000000" w:themeColor="text1"/>
        </w:rPr>
      </w:pPr>
      <w:r w:rsidRPr="00D87C93">
        <w:rPr>
          <w:rFonts w:ascii="Palatino Linotype" w:hAnsi="Palatino Linotype" w:eastAsia="Palatino Linotype" w:cs="Palatino Linotype"/>
          <w:color w:val="000000" w:themeColor="text1"/>
        </w:rPr>
        <w:t xml:space="preserve">SoCalGas states that it seeks to develop projects within the Environmental &amp; Safety Initiative that promotes a shift from reactive leak repairs to predictive prevention. Research Topics include: (i) evaluate advanced leak detection technologies capable of rapidly and frequently covering the vast territory at lower overall cost, and (ii) leverage belowground failure mode data and </w:t>
      </w:r>
    </w:p>
    <w:p w:rsidRPr="00D87C93" w:rsidR="1648E9B2" w:rsidP="625BF580" w:rsidRDefault="422B41BC" w14:paraId="337A64E8" w14:textId="121CEDFD">
      <w:pPr>
        <w:spacing w:after="0" w:line="276" w:lineRule="auto"/>
        <w:ind w:left="720"/>
        <w:rPr>
          <w:color w:val="000000" w:themeColor="text1"/>
        </w:rPr>
      </w:pPr>
      <w:r w:rsidRPr="00D87C93">
        <w:rPr>
          <w:rFonts w:ascii="Palatino Linotype" w:hAnsi="Palatino Linotype" w:eastAsia="Palatino Linotype" w:cs="Palatino Linotype"/>
          <w:color w:val="000000" w:themeColor="text1"/>
        </w:rPr>
        <w:t>lessons learned from prior research to identify and validate cost-effective leak prevention solutions.</w:t>
      </w:r>
      <w:r w:rsidRPr="00D87C93" w:rsidR="05DBA77A">
        <w:rPr>
          <w:rFonts w:ascii="Palatino Linotype" w:hAnsi="Palatino Linotype" w:eastAsia="Palatino Linotype" w:cs="Palatino Linotype"/>
          <w:color w:val="000000" w:themeColor="text1"/>
        </w:rPr>
        <w:t xml:space="preserve"> </w:t>
      </w:r>
      <w:r w:rsidRPr="00D87C93" w:rsidR="00AB0645">
        <w:rPr>
          <w:rFonts w:ascii="Palatino Linotype" w:hAnsi="Palatino Linotype" w:eastAsia="Palatino Linotype" w:cs="Palatino Linotype"/>
          <w:color w:val="000000" w:themeColor="text1"/>
        </w:rPr>
        <w:t>SoCalGas lists potential metrics for tracking and evaluating impacts from this Initiative</w:t>
      </w:r>
      <w:r w:rsidRPr="00D87C93">
        <w:rPr>
          <w:rFonts w:ascii="Palatino Linotype" w:hAnsi="Palatino Linotype" w:eastAsia="Palatino Linotype" w:cs="Palatino Linotype"/>
          <w:color w:val="000000" w:themeColor="text1"/>
        </w:rPr>
        <w:t>, including reductions in both GHG emissions and inspection, maintenance, and repair costs. SoCalGas proposes to allocate $2,633,600 in its 2027 Plan.</w:t>
      </w:r>
    </w:p>
    <w:p w:rsidR="1648E9B2" w:rsidP="625BF580" w:rsidRDefault="1648E9B2" w14:paraId="7A8C43F8" w14:textId="4517AFE2">
      <w:pPr>
        <w:spacing w:after="0" w:line="276" w:lineRule="auto"/>
        <w:ind w:left="720"/>
        <w:rPr>
          <w:rFonts w:ascii="Palatino Linotype" w:hAnsi="Palatino Linotype" w:eastAsia="Palatino Linotype" w:cs="Palatino Linotype"/>
          <w:color w:val="000000" w:themeColor="text1"/>
        </w:rPr>
      </w:pPr>
    </w:p>
    <w:p w:rsidRPr="00400A05" w:rsidR="74F78437" w:rsidP="00477204" w:rsidRDefault="74F78437" w14:paraId="3FE9C561" w14:textId="0AE4DC60">
      <w:pPr>
        <w:pStyle w:val="ListParagraph"/>
        <w:numPr>
          <w:ilvl w:val="0"/>
          <w:numId w:val="7"/>
        </w:numPr>
        <w:spacing w:line="276" w:lineRule="auto"/>
        <w:rPr>
          <w:rFonts w:ascii="Palatino Linotype" w:hAnsi="Palatino Linotype" w:eastAsia="Palatino Linotype" w:cs="Palatino Linotype"/>
          <w:color w:val="000000" w:themeColor="text1"/>
        </w:rPr>
      </w:pPr>
      <w:r w:rsidRPr="0D1434B3">
        <w:rPr>
          <w:rFonts w:ascii="Palatino Linotype" w:hAnsi="Palatino Linotype" w:eastAsia="Palatino Linotype" w:cs="Palatino Linotype"/>
          <w:color w:val="000000" w:themeColor="text1"/>
        </w:rPr>
        <w:t xml:space="preserve">System </w:t>
      </w:r>
      <w:r w:rsidRPr="00400A05">
        <w:rPr>
          <w:rFonts w:ascii="Palatino Linotype" w:hAnsi="Palatino Linotype" w:eastAsia="Palatino Linotype" w:cs="Palatino Linotype"/>
          <w:color w:val="000000" w:themeColor="text1"/>
        </w:rPr>
        <w:t>Inspection &amp; Monitoring</w:t>
      </w:r>
      <w:r w:rsidRPr="00400A05">
        <w:rPr>
          <w:rStyle w:val="FootnoteReference"/>
          <w:rFonts w:ascii="Palatino Linotype" w:hAnsi="Palatino Linotype" w:eastAsia="Palatino Linotype" w:cs="Palatino Linotype"/>
          <w:color w:val="000000" w:themeColor="text1"/>
        </w:rPr>
        <w:footnoteReference w:id="61"/>
      </w:r>
    </w:p>
    <w:p w:rsidRPr="00400A05" w:rsidR="74F78437" w:rsidP="0D1434B3" w:rsidRDefault="74F78437" w14:paraId="66F10309" w14:textId="0E740904">
      <w:pPr>
        <w:spacing w:line="276" w:lineRule="auto"/>
        <w:ind w:left="720"/>
        <w:rPr>
          <w:rFonts w:ascii="Palatino Linotype" w:hAnsi="Palatino Linotype" w:eastAsia="Palatino Linotype" w:cs="Palatino Linotype"/>
          <w:color w:val="000000" w:themeColor="text1"/>
        </w:rPr>
      </w:pPr>
      <w:r w:rsidRPr="00400A05">
        <w:rPr>
          <w:rFonts w:ascii="Palatino Linotype" w:hAnsi="Palatino Linotype" w:eastAsia="Palatino Linotype" w:cs="Palatino Linotype"/>
          <w:color w:val="000000" w:themeColor="text1"/>
        </w:rPr>
        <w:t xml:space="preserve">SoCalGas states that it seeks to develop projects within the System Inspection &amp; Monitoring Initiative to adopt techniques from adjacent technologies to increase operational efficiencies, leverage </w:t>
      </w:r>
      <w:r w:rsidRPr="00400A05" w:rsidR="00AB0645">
        <w:rPr>
          <w:rFonts w:ascii="Palatino Linotype" w:hAnsi="Palatino Linotype" w:eastAsia="Palatino Linotype" w:cs="Palatino Linotype"/>
          <w:color w:val="000000" w:themeColor="text1"/>
        </w:rPr>
        <w:t>AI</w:t>
      </w:r>
      <w:r w:rsidRPr="00400A05">
        <w:rPr>
          <w:rFonts w:ascii="Palatino Linotype" w:hAnsi="Palatino Linotype" w:eastAsia="Palatino Linotype" w:cs="Palatino Linotype"/>
          <w:color w:val="000000" w:themeColor="text1"/>
        </w:rPr>
        <w:t xml:space="preserve"> to connect disparate data sources, improve access and usability of real time information for field employees. </w:t>
      </w:r>
      <w:r w:rsidRPr="00400A05" w:rsidR="00A05D6B">
        <w:rPr>
          <w:rFonts w:ascii="Palatino Linotype" w:hAnsi="Palatino Linotype" w:eastAsia="Palatino Linotype" w:cs="Palatino Linotype"/>
          <w:color w:val="000000" w:themeColor="text1"/>
        </w:rPr>
        <w:t xml:space="preserve">Research Topics </w:t>
      </w:r>
      <w:proofErr w:type="gramStart"/>
      <w:r w:rsidRPr="00400A05" w:rsidR="00A05D6B">
        <w:rPr>
          <w:rFonts w:ascii="Palatino Linotype" w:hAnsi="Palatino Linotype" w:eastAsia="Palatino Linotype" w:cs="Palatino Linotype"/>
          <w:color w:val="000000" w:themeColor="text1"/>
        </w:rPr>
        <w:t>include:</w:t>
      </w:r>
      <w:proofErr w:type="gramEnd"/>
      <w:r w:rsidRPr="00400A05" w:rsidR="00A05D6B">
        <w:rPr>
          <w:rFonts w:ascii="Palatino Linotype" w:hAnsi="Palatino Linotype" w:eastAsia="Palatino Linotype" w:cs="Palatino Linotype"/>
          <w:color w:val="000000" w:themeColor="text1"/>
        </w:rPr>
        <w:t xml:space="preserve"> developing (i) alternate in-line inspection tool calibration methods; </w:t>
      </w:r>
      <w:r w:rsidR="003353D6">
        <w:rPr>
          <w:rFonts w:ascii="Palatino Linotype" w:hAnsi="Palatino Linotype" w:eastAsia="Palatino Linotype" w:cs="Palatino Linotype"/>
          <w:color w:val="000000" w:themeColor="text1"/>
        </w:rPr>
        <w:br/>
      </w:r>
      <w:r w:rsidRPr="00400A05" w:rsidR="00A05D6B">
        <w:rPr>
          <w:rFonts w:ascii="Palatino Linotype" w:hAnsi="Palatino Linotype" w:eastAsia="Palatino Linotype" w:cs="Palatino Linotype"/>
          <w:color w:val="000000" w:themeColor="text1"/>
        </w:rPr>
        <w:t>(ii) tools to analyze and model geohazard impacts, machine learning (ML) or AI assisted; and (iii) tools to streamline system inspections by leveraging existing electronic data</w:t>
      </w:r>
      <w:r w:rsidRPr="00400A05">
        <w:rPr>
          <w:rFonts w:ascii="Palatino Linotype" w:hAnsi="Palatino Linotype" w:eastAsia="Palatino Linotype" w:cs="Palatino Linotype"/>
          <w:color w:val="000000" w:themeColor="text1"/>
        </w:rPr>
        <w:t xml:space="preserve">. </w:t>
      </w:r>
      <w:r w:rsidRPr="00400A05" w:rsidR="00AB0645">
        <w:rPr>
          <w:rFonts w:ascii="Palatino Linotype" w:hAnsi="Palatino Linotype" w:eastAsia="Palatino Linotype" w:cs="Palatino Linotype"/>
          <w:color w:val="000000" w:themeColor="text1"/>
        </w:rPr>
        <w:t>SoCalGas lists potential metrics for tracking and evaluating impacts from this Initiative</w:t>
      </w:r>
      <w:r w:rsidRPr="00400A05">
        <w:rPr>
          <w:rFonts w:ascii="Palatino Linotype" w:hAnsi="Palatino Linotype" w:eastAsia="Palatino Linotype" w:cs="Palatino Linotype"/>
          <w:color w:val="000000" w:themeColor="text1"/>
        </w:rPr>
        <w:t>, including reduced out-of-service time for infrastructure and increased energy availability. SoCalGas proposes to allocate $</w:t>
      </w:r>
      <w:r w:rsidRPr="00400A05" w:rsidR="4D104883">
        <w:rPr>
          <w:rFonts w:ascii="Palatino Linotype" w:hAnsi="Palatino Linotype" w:eastAsia="Palatino Linotype" w:cs="Palatino Linotype"/>
          <w:color w:val="000000" w:themeColor="text1"/>
        </w:rPr>
        <w:t>2,633,600 for its 2027</w:t>
      </w:r>
      <w:r w:rsidRPr="00400A05">
        <w:rPr>
          <w:rFonts w:ascii="Palatino Linotype" w:hAnsi="Palatino Linotype" w:eastAsia="Palatino Linotype" w:cs="Palatino Linotype"/>
          <w:color w:val="000000" w:themeColor="text1"/>
        </w:rPr>
        <w:t xml:space="preserve"> Plan.</w:t>
      </w:r>
    </w:p>
    <w:p w:rsidR="693F203E" w:rsidP="693F203E" w:rsidRDefault="693F203E" w14:paraId="5887A8F6" w14:textId="3557DBE8">
      <w:pPr>
        <w:spacing w:after="0" w:line="276" w:lineRule="auto"/>
        <w:rPr>
          <w:rFonts w:ascii="Palatino Linotype" w:hAnsi="Palatino Linotype" w:eastAsia="Palatino Linotype" w:cs="Times New Roman"/>
          <w:b/>
          <w:bCs/>
          <w:u w:val="single"/>
        </w:rPr>
      </w:pPr>
    </w:p>
    <w:p w:rsidRPr="00DF6849" w:rsidR="7510854C" w:rsidP="00A821A4" w:rsidRDefault="7D86F992" w14:paraId="02B203AA" w14:textId="7C70BB7F">
      <w:pPr>
        <w:pStyle w:val="ListParagraph"/>
        <w:keepNext/>
        <w:numPr>
          <w:ilvl w:val="0"/>
          <w:numId w:val="6"/>
        </w:numPr>
        <w:spacing w:line="276" w:lineRule="auto"/>
        <w:rPr>
          <w:rFonts w:ascii="Palatino Linotype" w:hAnsi="Palatino Linotype" w:eastAsia="Palatino Linotype" w:cs="Palatino Linotype"/>
          <w:color w:val="000000" w:themeColor="text1"/>
        </w:rPr>
      </w:pPr>
      <w:r w:rsidRPr="7510854C">
        <w:rPr>
          <w:rFonts w:ascii="Palatino Linotype" w:hAnsi="Palatino Linotype" w:eastAsia="Palatino Linotype" w:cs="Palatino Linotype"/>
          <w:color w:val="000000" w:themeColor="text1"/>
        </w:rPr>
        <w:t xml:space="preserve">Community Impact and Energy </w:t>
      </w:r>
      <w:r w:rsidRPr="00DF6849">
        <w:rPr>
          <w:rFonts w:ascii="Palatino Linotype" w:hAnsi="Palatino Linotype" w:eastAsia="Palatino Linotype" w:cs="Palatino Linotype"/>
          <w:color w:val="000000" w:themeColor="text1"/>
        </w:rPr>
        <w:t>Conservation</w:t>
      </w:r>
      <w:r w:rsidRPr="00DF6849">
        <w:rPr>
          <w:rStyle w:val="FootnoteReference"/>
          <w:rFonts w:ascii="Palatino Linotype" w:hAnsi="Palatino Linotype" w:eastAsia="Palatino Linotype" w:cs="Palatino Linotype"/>
          <w:color w:val="000000" w:themeColor="text1"/>
        </w:rPr>
        <w:footnoteReference w:id="62"/>
      </w:r>
    </w:p>
    <w:p w:rsidRPr="005D0C62" w:rsidR="693F203E" w:rsidP="00A821A4" w:rsidRDefault="7D86F992" w14:paraId="31532399" w14:textId="74E9ADE1">
      <w:pPr>
        <w:keepNext/>
        <w:spacing w:after="0" w:line="276" w:lineRule="auto"/>
        <w:ind w:left="720"/>
        <w:rPr>
          <w:rFonts w:ascii="Palatino Linotype" w:hAnsi="Palatino Linotype" w:eastAsia="Palatino Linotype" w:cs="Palatino Linotype"/>
          <w:color w:val="000000" w:themeColor="text1"/>
        </w:rPr>
      </w:pPr>
      <w:r w:rsidRPr="00DF6849">
        <w:rPr>
          <w:rFonts w:ascii="Palatino Linotype" w:hAnsi="Palatino Linotype" w:eastAsia="Palatino Linotype" w:cs="Palatino Linotype"/>
          <w:color w:val="000000" w:themeColor="text1"/>
        </w:rPr>
        <w:t xml:space="preserve">SoCalGas states that it seeks to develop projects within the Community Impact and Energy Conservation Initiative </w:t>
      </w:r>
      <w:r w:rsidRPr="00DF6849" w:rsidR="00FB1B8B">
        <w:rPr>
          <w:rFonts w:ascii="Palatino Linotype" w:hAnsi="Palatino Linotype" w:eastAsia="Palatino Linotype" w:cs="Palatino Linotype"/>
          <w:color w:val="000000" w:themeColor="text1"/>
        </w:rPr>
        <w:t>to generate data insights into areas of frequent or unresolve</w:t>
      </w:r>
      <w:r w:rsidRPr="00DF6849" w:rsidR="00A85955">
        <w:rPr>
          <w:rFonts w:ascii="Palatino Linotype" w:hAnsi="Palatino Linotype" w:eastAsia="Palatino Linotype" w:cs="Palatino Linotype"/>
          <w:color w:val="000000" w:themeColor="text1"/>
        </w:rPr>
        <w:t xml:space="preserve">d </w:t>
      </w:r>
      <w:r w:rsidRPr="00DF6849" w:rsidR="00FB1B8B">
        <w:rPr>
          <w:rFonts w:ascii="Palatino Linotype" w:hAnsi="Palatino Linotype" w:eastAsia="Palatino Linotype" w:cs="Palatino Linotype"/>
          <w:color w:val="000000" w:themeColor="text1"/>
        </w:rPr>
        <w:t xml:space="preserve">gas and water leaks could support efforts to address </w:t>
      </w:r>
      <w:r w:rsidRPr="00DF6849" w:rsidR="00FB1B8B">
        <w:rPr>
          <w:rFonts w:ascii="Palatino Linotype" w:hAnsi="Palatino Linotype" w:eastAsia="Palatino Linotype" w:cs="Palatino Linotype"/>
          <w:color w:val="000000" w:themeColor="text1"/>
        </w:rPr>
        <w:lastRenderedPageBreak/>
        <w:t>systemic maintenance challenges in disadvantaged communities.</w:t>
      </w:r>
      <w:r w:rsidRPr="00DF6849" w:rsidR="005D0C62">
        <w:rPr>
          <w:rFonts w:ascii="Palatino Linotype" w:hAnsi="Palatino Linotype" w:eastAsia="Palatino Linotype" w:cs="Palatino Linotype"/>
          <w:color w:val="000000" w:themeColor="text1"/>
        </w:rPr>
        <w:t xml:space="preserve"> </w:t>
      </w:r>
      <w:r w:rsidRPr="00DF6849">
        <w:rPr>
          <w:rFonts w:ascii="Palatino Linotype" w:hAnsi="Palatino Linotype" w:eastAsia="Palatino Linotype" w:cs="Palatino Linotype"/>
          <w:color w:val="000000" w:themeColor="text1"/>
        </w:rPr>
        <w:t>Research Topics include</w:t>
      </w:r>
      <w:r w:rsidRPr="00DF6849" w:rsidR="005D0C62">
        <w:rPr>
          <w:rFonts w:ascii="Palatino Linotype" w:hAnsi="Palatino Linotype" w:eastAsia="Palatino Linotype" w:cs="Palatino Linotype"/>
          <w:color w:val="000000" w:themeColor="text1"/>
        </w:rPr>
        <w:t>:</w:t>
      </w:r>
      <w:r w:rsidRPr="00DF6849" w:rsidR="389EBBC3">
        <w:rPr>
          <w:rFonts w:ascii="Palatino Linotype" w:hAnsi="Palatino Linotype" w:eastAsia="Palatino Linotype" w:cs="Palatino Linotype"/>
          <w:color w:val="000000" w:themeColor="text1"/>
        </w:rPr>
        <w:t xml:space="preserve"> </w:t>
      </w:r>
      <w:r w:rsidRPr="00DF6849" w:rsidR="00045D4A">
        <w:rPr>
          <w:rFonts w:ascii="Palatino Linotype" w:hAnsi="Palatino Linotype" w:eastAsia="Palatino Linotype" w:cs="Palatino Linotype"/>
          <w:color w:val="000000" w:themeColor="text1"/>
        </w:rPr>
        <w:t xml:space="preserve">(i) technologies that provide energy insights directly to ratepayers, and (ii) </w:t>
      </w:r>
      <w:r w:rsidRPr="00DF6849" w:rsidR="00C8264C">
        <w:rPr>
          <w:rFonts w:ascii="Palatino Linotype" w:hAnsi="Palatino Linotype" w:eastAsia="Palatino Linotype" w:cs="Palatino Linotype"/>
          <w:color w:val="000000" w:themeColor="text1"/>
        </w:rPr>
        <w:t xml:space="preserve">technologies that provide insights to support additional aid for disadvantaged communities. </w:t>
      </w:r>
      <w:r w:rsidRPr="00DF6849" w:rsidR="00AB0645">
        <w:rPr>
          <w:rFonts w:ascii="Palatino Linotype" w:hAnsi="Palatino Linotype" w:eastAsia="Palatino Linotype" w:cs="Palatino Linotype"/>
          <w:color w:val="000000" w:themeColor="text1"/>
        </w:rPr>
        <w:t>SoCalGas lists potential metrics for tracking and evaluating impacts from this Initiative</w:t>
      </w:r>
      <w:r w:rsidRPr="00DF6849" w:rsidR="5F84AADA">
        <w:rPr>
          <w:rFonts w:ascii="Palatino Linotype" w:hAnsi="Palatino Linotype" w:eastAsia="Palatino Linotype" w:cs="Palatino Linotype"/>
          <w:color w:val="000000" w:themeColor="text1"/>
        </w:rPr>
        <w:t>, including</w:t>
      </w:r>
      <w:r w:rsidRPr="00DF6849" w:rsidR="00264E7D">
        <w:rPr>
          <w:rFonts w:ascii="Palatino Linotype" w:hAnsi="Palatino Linotype" w:eastAsia="Palatino Linotype" w:cs="Palatino Linotype"/>
          <w:color w:val="000000" w:themeColor="text1"/>
        </w:rPr>
        <w:t xml:space="preserve"> reduced </w:t>
      </w:r>
      <w:r w:rsidRPr="00DF6849" w:rsidR="5F84AADA">
        <w:rPr>
          <w:rFonts w:ascii="Palatino Linotype" w:hAnsi="Palatino Linotype" w:eastAsia="Palatino Linotype" w:cs="Palatino Linotype"/>
          <w:color w:val="000000" w:themeColor="text1"/>
        </w:rPr>
        <w:t>GHG</w:t>
      </w:r>
      <w:r w:rsidRPr="00DF6849" w:rsidR="150667D9">
        <w:rPr>
          <w:rFonts w:ascii="Palatino Linotype" w:hAnsi="Palatino Linotype" w:eastAsia="Palatino Linotype" w:cs="Palatino Linotype"/>
          <w:color w:val="000000" w:themeColor="text1"/>
        </w:rPr>
        <w:t xml:space="preserve"> </w:t>
      </w:r>
      <w:r w:rsidRPr="00DF6849" w:rsidR="5F84AADA">
        <w:rPr>
          <w:rFonts w:ascii="Palatino Linotype" w:hAnsi="Palatino Linotype" w:eastAsia="Palatino Linotype" w:cs="Palatino Linotype"/>
          <w:color w:val="000000" w:themeColor="text1"/>
        </w:rPr>
        <w:t>emissions</w:t>
      </w:r>
      <w:r w:rsidRPr="00DF6849" w:rsidR="00FE687D">
        <w:rPr>
          <w:rFonts w:ascii="Palatino Linotype" w:hAnsi="Palatino Linotype" w:eastAsia="Palatino Linotype" w:cs="Palatino Linotype"/>
          <w:color w:val="000000" w:themeColor="text1"/>
        </w:rPr>
        <w:t xml:space="preserve"> from leaks</w:t>
      </w:r>
      <w:r w:rsidRPr="00DF6849" w:rsidR="00534295">
        <w:rPr>
          <w:rFonts w:ascii="Palatino Linotype" w:hAnsi="Palatino Linotype" w:eastAsia="Palatino Linotype" w:cs="Palatino Linotype"/>
          <w:color w:val="000000" w:themeColor="text1"/>
        </w:rPr>
        <w:t xml:space="preserve"> and criteria pollutants from combustion emissions</w:t>
      </w:r>
      <w:r w:rsidRPr="00DF6849" w:rsidR="5F84AADA">
        <w:rPr>
          <w:rFonts w:ascii="Palatino Linotype" w:hAnsi="Palatino Linotype" w:eastAsia="Palatino Linotype" w:cs="Palatino Linotype"/>
          <w:color w:val="000000" w:themeColor="text1"/>
        </w:rPr>
        <w:t>.</w:t>
      </w:r>
      <w:r w:rsidRPr="00DF6849" w:rsidR="70087511">
        <w:rPr>
          <w:rFonts w:ascii="Palatino Linotype" w:hAnsi="Palatino Linotype" w:eastAsia="Palatino Linotype" w:cs="Palatino Linotype"/>
          <w:color w:val="000000" w:themeColor="text1"/>
        </w:rPr>
        <w:t xml:space="preserve"> SoCalGas </w:t>
      </w:r>
      <w:r w:rsidRPr="00534295" w:rsidR="70087511">
        <w:rPr>
          <w:rFonts w:ascii="Palatino Linotype" w:hAnsi="Palatino Linotype" w:eastAsia="Palatino Linotype" w:cs="Palatino Linotype"/>
          <w:color w:val="000000" w:themeColor="text1"/>
        </w:rPr>
        <w:t>proposes to allocate $1,755,700 in its 2027 Plan.</w:t>
      </w:r>
    </w:p>
    <w:p w:rsidRPr="00DF6849" w:rsidR="693F203E" w:rsidP="6AE203D8" w:rsidRDefault="693F203E" w14:paraId="22C3C55B" w14:textId="5F464331">
      <w:pPr>
        <w:spacing w:after="0" w:line="276" w:lineRule="auto"/>
        <w:ind w:left="720"/>
        <w:rPr>
          <w:rFonts w:ascii="Palatino Linotype" w:hAnsi="Palatino Linotype" w:eastAsia="Palatino Linotype" w:cs="Palatino Linotype"/>
          <w:color w:val="000000" w:themeColor="text1"/>
        </w:rPr>
      </w:pPr>
    </w:p>
    <w:p w:rsidRPr="00DF6849" w:rsidR="693F203E" w:rsidP="00477204" w:rsidRDefault="45870C9C" w14:paraId="60310EC2" w14:textId="5FE7AED7">
      <w:pPr>
        <w:pStyle w:val="ListParagraph"/>
        <w:numPr>
          <w:ilvl w:val="0"/>
          <w:numId w:val="3"/>
        </w:numPr>
        <w:spacing w:line="276" w:lineRule="auto"/>
        <w:ind w:left="1080"/>
        <w:rPr>
          <w:rFonts w:ascii="Palatino Linotype" w:hAnsi="Palatino Linotype" w:eastAsia="Palatino Linotype" w:cs="Palatino Linotype"/>
          <w:color w:val="000000" w:themeColor="text1"/>
        </w:rPr>
      </w:pPr>
      <w:r w:rsidRPr="00DF6849">
        <w:rPr>
          <w:rFonts w:ascii="Palatino Linotype" w:hAnsi="Palatino Linotype" w:eastAsia="Palatino Linotype" w:cs="Palatino Linotype"/>
          <w:color w:val="000000" w:themeColor="text1"/>
        </w:rPr>
        <w:t>System Design &amp; Materials</w:t>
      </w:r>
      <w:r w:rsidRPr="00DF6849">
        <w:rPr>
          <w:rStyle w:val="FootnoteReference"/>
          <w:rFonts w:ascii="Palatino Linotype" w:hAnsi="Palatino Linotype" w:eastAsia="Palatino Linotype" w:cs="Palatino Linotype"/>
          <w:color w:val="000000" w:themeColor="text1"/>
        </w:rPr>
        <w:footnoteReference w:id="63"/>
      </w:r>
    </w:p>
    <w:p w:rsidRPr="00DF6849" w:rsidR="00CF2644" w:rsidP="00CF2644" w:rsidRDefault="00CF2644" w14:paraId="4A2386FB" w14:textId="77777777">
      <w:pPr>
        <w:pStyle w:val="ListParagraph"/>
        <w:spacing w:line="276" w:lineRule="auto"/>
        <w:rPr>
          <w:rFonts w:ascii="Palatino Linotype" w:hAnsi="Palatino Linotype" w:eastAsia="Palatino Linotype" w:cs="Palatino Linotype"/>
          <w:color w:val="000000" w:themeColor="text1"/>
          <w:sz w:val="10"/>
          <w:szCs w:val="10"/>
        </w:rPr>
      </w:pPr>
    </w:p>
    <w:p w:rsidRPr="00DF6849" w:rsidR="00E043FA" w:rsidP="00E043FA" w:rsidRDefault="45870C9C" w14:paraId="6C6BB483" w14:textId="3C4E23AD">
      <w:pPr>
        <w:pStyle w:val="ListParagraph"/>
        <w:spacing w:before="240" w:line="276" w:lineRule="auto"/>
        <w:rPr>
          <w:rFonts w:ascii="Palatino Linotype" w:hAnsi="Palatino Linotype" w:eastAsia="Palatino Linotype" w:cs="Palatino Linotype"/>
          <w:color w:val="000000" w:themeColor="text1"/>
        </w:rPr>
      </w:pPr>
      <w:r w:rsidRPr="00DF6849">
        <w:rPr>
          <w:rFonts w:ascii="Palatino Linotype" w:hAnsi="Palatino Linotype" w:eastAsia="Palatino Linotype" w:cs="Palatino Linotype"/>
          <w:color w:val="000000" w:themeColor="text1"/>
        </w:rPr>
        <w:t>SoCalGas states that it seeks to develop projects within the System Design &amp; Materials Initiative that System Design &amp; Materials</w:t>
      </w:r>
      <w:r w:rsidRPr="00DF6849" w:rsidR="00E043FA">
        <w:rPr>
          <w:rFonts w:ascii="Palatino Linotype" w:hAnsi="Palatino Linotype" w:eastAsia="Palatino Linotype" w:cs="Palatino Linotype"/>
          <w:color w:val="000000" w:themeColor="text1"/>
        </w:rPr>
        <w:t xml:space="preserve"> </w:t>
      </w:r>
      <w:proofErr w:type="gramStart"/>
      <w:r w:rsidRPr="00DF6849" w:rsidR="00E043FA">
        <w:rPr>
          <w:rFonts w:ascii="Palatino Linotype" w:hAnsi="Palatino Linotype" w:eastAsia="Palatino Linotype" w:cs="Palatino Linotype"/>
          <w:color w:val="000000" w:themeColor="text1"/>
        </w:rPr>
        <w:t>to:</w:t>
      </w:r>
      <w:proofErr w:type="gramEnd"/>
      <w:r w:rsidRPr="00DF6849" w:rsidR="00E043FA">
        <w:rPr>
          <w:rFonts w:ascii="Palatino Linotype" w:hAnsi="Palatino Linotype" w:eastAsia="Palatino Linotype" w:cs="Palatino Linotype"/>
          <w:color w:val="000000" w:themeColor="text1"/>
        </w:rPr>
        <w:t xml:space="preserve"> establish integrity values</w:t>
      </w:r>
    </w:p>
    <w:p w:rsidRPr="00DF6849" w:rsidR="00B27238" w:rsidP="00B27238" w:rsidRDefault="00E043FA" w14:paraId="1B26A080" w14:textId="34EF40F7">
      <w:pPr>
        <w:pStyle w:val="ListParagraph"/>
        <w:spacing w:before="240" w:line="276" w:lineRule="auto"/>
        <w:rPr>
          <w:rFonts w:ascii="Palatino Linotype" w:hAnsi="Palatino Linotype" w:eastAsia="Palatino Linotype" w:cs="Palatino Linotype"/>
          <w:color w:val="000000" w:themeColor="text1"/>
        </w:rPr>
      </w:pPr>
      <w:r w:rsidRPr="00DF6849">
        <w:rPr>
          <w:rFonts w:ascii="Palatino Linotype" w:hAnsi="Palatino Linotype" w:eastAsia="Palatino Linotype" w:cs="Palatino Linotype"/>
          <w:color w:val="000000" w:themeColor="text1"/>
        </w:rPr>
        <w:t xml:space="preserve">and thresholds with barrier evaluation and analysis of flow paths; </w:t>
      </w:r>
      <w:r w:rsidRPr="00DF6849" w:rsidR="00C91678">
        <w:rPr>
          <w:rFonts w:ascii="Palatino Linotype" w:hAnsi="Palatino Linotype" w:eastAsia="Palatino Linotype" w:cs="Palatino Linotype"/>
          <w:color w:val="000000" w:themeColor="text1"/>
        </w:rPr>
        <w:t xml:space="preserve">evaluate non-traditional repair methods for safety and reliability; </w:t>
      </w:r>
      <w:r w:rsidRPr="00DF6849" w:rsidR="001F671B">
        <w:rPr>
          <w:rFonts w:ascii="Palatino Linotype" w:hAnsi="Palatino Linotype" w:eastAsia="Palatino Linotype" w:cs="Palatino Linotype"/>
          <w:color w:val="000000" w:themeColor="text1"/>
        </w:rPr>
        <w:t xml:space="preserve">validate models assessing new technologies and alternatives to replacement; and </w:t>
      </w:r>
      <w:r w:rsidRPr="00DF6849" w:rsidR="00B27238">
        <w:rPr>
          <w:rFonts w:ascii="Palatino Linotype" w:hAnsi="Palatino Linotype" w:eastAsia="Palatino Linotype" w:cs="Palatino Linotype"/>
          <w:color w:val="000000" w:themeColor="text1"/>
        </w:rPr>
        <w:t>identify barriers to repair;</w:t>
      </w:r>
    </w:p>
    <w:p w:rsidRPr="0048686C" w:rsidR="693F203E" w:rsidP="00BA5357" w:rsidRDefault="00B27238" w14:paraId="60D80826" w14:textId="53C98DF7">
      <w:pPr>
        <w:pStyle w:val="ListParagraph"/>
        <w:spacing w:before="240" w:after="0" w:line="276" w:lineRule="auto"/>
        <w:rPr>
          <w:rFonts w:ascii="Palatino Linotype" w:hAnsi="Palatino Linotype" w:eastAsia="Palatino Linotype" w:cs="Palatino Linotype"/>
          <w:color w:val="000000" w:themeColor="text1"/>
        </w:rPr>
      </w:pPr>
      <w:r w:rsidRPr="00DF6849">
        <w:rPr>
          <w:rFonts w:ascii="Palatino Linotype" w:hAnsi="Palatino Linotype" w:eastAsia="Palatino Linotype" w:cs="Palatino Linotype"/>
          <w:color w:val="000000" w:themeColor="text1"/>
        </w:rPr>
        <w:t xml:space="preserve">develop </w:t>
      </w:r>
      <w:proofErr w:type="gramStart"/>
      <w:r w:rsidRPr="00DF6849">
        <w:rPr>
          <w:rFonts w:ascii="Palatino Linotype" w:hAnsi="Palatino Linotype" w:eastAsia="Palatino Linotype" w:cs="Palatino Linotype"/>
          <w:color w:val="000000" w:themeColor="text1"/>
        </w:rPr>
        <w:t>tool</w:t>
      </w:r>
      <w:proofErr w:type="gramEnd"/>
      <w:r w:rsidRPr="00DF6849">
        <w:rPr>
          <w:rFonts w:ascii="Palatino Linotype" w:hAnsi="Palatino Linotype" w:eastAsia="Palatino Linotype" w:cs="Palatino Linotype"/>
          <w:color w:val="000000" w:themeColor="text1"/>
        </w:rPr>
        <w:t xml:space="preserve"> to expedite the repair process. </w:t>
      </w:r>
      <w:r w:rsidRPr="00DF6849" w:rsidR="68453936">
        <w:rPr>
          <w:rFonts w:ascii="Palatino Linotype" w:hAnsi="Palatino Linotype" w:eastAsia="Palatino Linotype" w:cs="Palatino Linotype"/>
          <w:color w:val="000000" w:themeColor="text1"/>
        </w:rPr>
        <w:t xml:space="preserve">Research Topics include: </w:t>
      </w:r>
      <w:r w:rsidR="00A821A4">
        <w:rPr>
          <w:rFonts w:ascii="Palatino Linotype" w:hAnsi="Palatino Linotype" w:eastAsia="Palatino Linotype" w:cs="Palatino Linotype"/>
          <w:color w:val="000000" w:themeColor="text1"/>
        </w:rPr>
        <w:br/>
      </w:r>
      <w:r w:rsidRPr="00DF6849" w:rsidR="68453936">
        <w:rPr>
          <w:rFonts w:ascii="Palatino Linotype" w:hAnsi="Palatino Linotype" w:eastAsia="Palatino Linotype" w:cs="Palatino Linotype"/>
          <w:color w:val="000000" w:themeColor="text1"/>
        </w:rPr>
        <w:t>(i)</w:t>
      </w:r>
      <w:r w:rsidRPr="00DF6849" w:rsidR="00022AAE">
        <w:rPr>
          <w:rFonts w:ascii="Palatino Linotype" w:hAnsi="Palatino Linotype" w:eastAsia="Palatino Linotype" w:cs="Palatino Linotype"/>
          <w:color w:val="000000" w:themeColor="text1"/>
        </w:rPr>
        <w:t xml:space="preserve"> optimizing system materials; (ii)</w:t>
      </w:r>
      <w:r w:rsidRPr="00DF6849" w:rsidR="00516E7E">
        <w:rPr>
          <w:rFonts w:ascii="Palatino Linotype" w:hAnsi="Palatino Linotype" w:eastAsia="Palatino Linotype" w:cs="Palatino Linotype"/>
          <w:color w:val="000000" w:themeColor="text1"/>
        </w:rPr>
        <w:t xml:space="preserve"> increas</w:t>
      </w:r>
      <w:r w:rsidRPr="00DF6849" w:rsidR="005041B8">
        <w:rPr>
          <w:rFonts w:ascii="Palatino Linotype" w:hAnsi="Palatino Linotype" w:eastAsia="Palatino Linotype" w:cs="Palatino Linotype"/>
          <w:color w:val="000000" w:themeColor="text1"/>
        </w:rPr>
        <w:t>ing</w:t>
      </w:r>
      <w:r w:rsidRPr="00DF6849" w:rsidR="00516E7E">
        <w:rPr>
          <w:rFonts w:ascii="Palatino Linotype" w:hAnsi="Palatino Linotype" w:eastAsia="Palatino Linotype" w:cs="Palatino Linotype"/>
          <w:color w:val="000000" w:themeColor="text1"/>
        </w:rPr>
        <w:t xml:space="preserve"> life of assets; and (iii) </w:t>
      </w:r>
      <w:r w:rsidRPr="00DF6849" w:rsidR="0027094C">
        <w:rPr>
          <w:rFonts w:ascii="Palatino Linotype" w:hAnsi="Palatino Linotype" w:eastAsia="Palatino Linotype" w:cs="Palatino Linotype"/>
          <w:color w:val="000000" w:themeColor="text1"/>
        </w:rPr>
        <w:t>new/updated SoCalGas-specific models and risk analyses</w:t>
      </w:r>
      <w:r w:rsidRPr="00DF6849" w:rsidR="68453936">
        <w:rPr>
          <w:rFonts w:ascii="Palatino Linotype" w:hAnsi="Palatino Linotype" w:eastAsia="Palatino Linotype" w:cs="Palatino Linotype"/>
          <w:color w:val="000000" w:themeColor="text1"/>
        </w:rPr>
        <w:t>.</w:t>
      </w:r>
      <w:r w:rsidRPr="00DF6849" w:rsidR="2F43527C">
        <w:rPr>
          <w:rFonts w:ascii="Palatino Linotype" w:hAnsi="Palatino Linotype" w:eastAsia="Palatino Linotype" w:cs="Palatino Linotype"/>
          <w:color w:val="000000" w:themeColor="text1"/>
        </w:rPr>
        <w:t xml:space="preserve"> </w:t>
      </w:r>
      <w:r w:rsidRPr="00DF6849" w:rsidR="00AB0645">
        <w:rPr>
          <w:rFonts w:ascii="Palatino Linotype" w:hAnsi="Palatino Linotype" w:eastAsia="Palatino Linotype" w:cs="Palatino Linotype"/>
          <w:color w:val="000000" w:themeColor="text1"/>
        </w:rPr>
        <w:t>SoCalGas lists potential metrics for tracking and evaluating impacts from this Initiative</w:t>
      </w:r>
      <w:r w:rsidRPr="00DF6849" w:rsidR="2F43527C">
        <w:rPr>
          <w:rFonts w:ascii="Palatino Linotype" w:hAnsi="Palatino Linotype" w:eastAsia="Palatino Linotype" w:cs="Palatino Linotype"/>
          <w:color w:val="000000" w:themeColor="text1"/>
        </w:rPr>
        <w:t xml:space="preserve">, including </w:t>
      </w:r>
      <w:r w:rsidRPr="00DF6849" w:rsidR="0048686C">
        <w:rPr>
          <w:rFonts w:ascii="Palatino Linotype" w:hAnsi="Palatino Linotype" w:eastAsia="Palatino Linotype" w:cs="Palatino Linotype"/>
          <w:color w:val="000000" w:themeColor="text1"/>
        </w:rPr>
        <w:t>reduced ratepayer costs achieved by avoiding costly full asset replacement, reducing emergency repair expenses, and minimizing system downtime through targeted, proactive interventions</w:t>
      </w:r>
      <w:r w:rsidRPr="00DF6849" w:rsidR="2F43527C">
        <w:rPr>
          <w:rFonts w:ascii="Palatino Linotype" w:hAnsi="Palatino Linotype" w:eastAsia="Palatino Linotype" w:cs="Palatino Linotype"/>
          <w:color w:val="000000" w:themeColor="text1"/>
        </w:rPr>
        <w:t>.</w:t>
      </w:r>
      <w:r w:rsidRPr="00DF6849" w:rsidR="45870C9C">
        <w:rPr>
          <w:rFonts w:ascii="Palatino Linotype" w:hAnsi="Palatino Linotype" w:eastAsia="Palatino Linotype" w:cs="Palatino Linotype"/>
          <w:color w:val="000000" w:themeColor="text1"/>
        </w:rPr>
        <w:t xml:space="preserve"> SoCalGas proposes </w:t>
      </w:r>
      <w:r w:rsidRPr="0048686C" w:rsidR="45870C9C">
        <w:rPr>
          <w:rFonts w:ascii="Palatino Linotype" w:hAnsi="Palatino Linotype" w:eastAsia="Palatino Linotype" w:cs="Palatino Linotype"/>
          <w:color w:val="000000" w:themeColor="text1"/>
        </w:rPr>
        <w:t>to allocate $877,900 in its 2027 Plan.</w:t>
      </w:r>
    </w:p>
    <w:p w:rsidR="693F203E" w:rsidP="6AE203D8" w:rsidRDefault="693F203E" w14:paraId="21F8534C" w14:textId="581129A0">
      <w:pPr>
        <w:spacing w:after="0" w:line="276" w:lineRule="auto"/>
        <w:rPr>
          <w:rFonts w:ascii="Palatino Linotype" w:hAnsi="Palatino Linotype" w:eastAsia="Palatino Linotype" w:cs="Palatino Linotype"/>
          <w:color w:val="000000" w:themeColor="text1"/>
        </w:rPr>
      </w:pPr>
    </w:p>
    <w:p w:rsidRPr="00DF6849" w:rsidR="693F203E" w:rsidP="00477204" w:rsidRDefault="32ECC53B" w14:paraId="144EF85B" w14:textId="7E90602B">
      <w:pPr>
        <w:pStyle w:val="ListParagraph"/>
        <w:numPr>
          <w:ilvl w:val="0"/>
          <w:numId w:val="2"/>
        </w:numPr>
        <w:spacing w:line="276" w:lineRule="auto"/>
        <w:ind w:left="1080"/>
        <w:rPr>
          <w:rFonts w:ascii="Palatino Linotype" w:hAnsi="Palatino Linotype" w:eastAsia="Palatino Linotype" w:cs="Palatino Linotype"/>
          <w:color w:val="000000" w:themeColor="text1"/>
        </w:rPr>
      </w:pPr>
      <w:r w:rsidRPr="6AE203D8">
        <w:rPr>
          <w:rFonts w:ascii="Palatino Linotype" w:hAnsi="Palatino Linotype" w:eastAsia="Palatino Linotype" w:cs="Palatino Linotype"/>
          <w:color w:val="000000" w:themeColor="text1"/>
        </w:rPr>
        <w:t xml:space="preserve">RNG </w:t>
      </w:r>
      <w:r w:rsidRPr="00DF6849">
        <w:rPr>
          <w:rFonts w:ascii="Palatino Linotype" w:hAnsi="Palatino Linotype" w:eastAsia="Palatino Linotype" w:cs="Palatino Linotype"/>
          <w:color w:val="000000" w:themeColor="text1"/>
        </w:rPr>
        <w:t>Infrastructure Optimization</w:t>
      </w:r>
      <w:r w:rsidRPr="00DF6849">
        <w:rPr>
          <w:rStyle w:val="FootnoteReference"/>
          <w:rFonts w:ascii="Palatino Linotype" w:hAnsi="Palatino Linotype" w:eastAsia="Palatino Linotype" w:cs="Palatino Linotype"/>
          <w:color w:val="000000" w:themeColor="text1"/>
        </w:rPr>
        <w:footnoteReference w:id="64"/>
      </w:r>
    </w:p>
    <w:p w:rsidRPr="00DF6849" w:rsidR="00BE085C" w:rsidP="0087043B" w:rsidRDefault="32ECC53B" w14:paraId="1F1B6380" w14:textId="2654835F">
      <w:pPr>
        <w:spacing w:after="0" w:line="276" w:lineRule="auto"/>
        <w:ind w:left="720"/>
        <w:rPr>
          <w:color w:val="000000" w:themeColor="text1"/>
        </w:rPr>
      </w:pPr>
      <w:r w:rsidRPr="00DF6849">
        <w:rPr>
          <w:rFonts w:ascii="Palatino Linotype" w:hAnsi="Palatino Linotype" w:eastAsia="Palatino Linotype" w:cs="Palatino Linotype"/>
          <w:color w:val="000000" w:themeColor="text1"/>
        </w:rPr>
        <w:t xml:space="preserve">SoCalGas states that it seeks to develop projects within the RNG Infrastructure Optimization Initiative to </w:t>
      </w:r>
      <w:r w:rsidRPr="00DF6849" w:rsidR="00BE085C">
        <w:rPr>
          <w:rFonts w:ascii="Palatino Linotype" w:hAnsi="Palatino Linotype" w:eastAsia="Palatino Linotype" w:cs="Palatino Linotype"/>
          <w:color w:val="000000" w:themeColor="text1"/>
        </w:rPr>
        <w:t xml:space="preserve">continue to develop reverse flow/bidirectional pipeline technology from earlier research plans by demonstrating operational controls and localized pressure management to open pace in constrained or lower-pressure segments; develop low-cost and small-footprint odor management systems that minimize parasitic energy loads while maximizing odor removal efficiency; and develop technologies that can predict changes in gas quality to </w:t>
      </w:r>
      <w:r w:rsidRPr="00DF6849" w:rsidR="00BE085C">
        <w:rPr>
          <w:rFonts w:ascii="Palatino Linotype" w:hAnsi="Palatino Linotype" w:eastAsia="Palatino Linotype" w:cs="Palatino Linotype"/>
          <w:color w:val="000000" w:themeColor="text1"/>
        </w:rPr>
        <w:lastRenderedPageBreak/>
        <w:t>help inform process management strategies to avoid flaring or otherwise rejecting RNG due to pipeline specification.</w:t>
      </w:r>
      <w:r w:rsidRPr="00DF6849" w:rsidR="0087043B">
        <w:rPr>
          <w:rFonts w:ascii="Palatino Linotype" w:hAnsi="Palatino Linotype" w:eastAsia="Palatino Linotype" w:cs="Palatino Linotype"/>
          <w:color w:val="000000" w:themeColor="text1"/>
        </w:rPr>
        <w:t xml:space="preserve"> Research Topics include: </w:t>
      </w:r>
      <w:r w:rsidR="003353D6">
        <w:rPr>
          <w:rFonts w:ascii="Palatino Linotype" w:hAnsi="Palatino Linotype" w:eastAsia="Palatino Linotype" w:cs="Palatino Linotype"/>
          <w:color w:val="000000" w:themeColor="text1"/>
        </w:rPr>
        <w:br/>
      </w:r>
      <w:r w:rsidRPr="00DF6849" w:rsidR="0087043B">
        <w:rPr>
          <w:rFonts w:ascii="Palatino Linotype" w:hAnsi="Palatino Linotype" w:eastAsia="Palatino Linotype" w:cs="Palatino Linotype"/>
          <w:color w:val="000000" w:themeColor="text1"/>
        </w:rPr>
        <w:t xml:space="preserve">(i) advanced interconnection design; (ii) pipeline utilization strategies; and </w:t>
      </w:r>
      <w:r w:rsidR="003353D6">
        <w:rPr>
          <w:rFonts w:ascii="Palatino Linotype" w:hAnsi="Palatino Linotype" w:eastAsia="Palatino Linotype" w:cs="Palatino Linotype"/>
          <w:color w:val="000000" w:themeColor="text1"/>
        </w:rPr>
        <w:br/>
      </w:r>
      <w:r w:rsidRPr="00DF6849" w:rsidR="0087043B">
        <w:rPr>
          <w:rFonts w:ascii="Palatino Linotype" w:hAnsi="Palatino Linotype" w:eastAsia="Palatino Linotype" w:cs="Palatino Linotype"/>
          <w:color w:val="000000" w:themeColor="text1"/>
        </w:rPr>
        <w:t>(iii) improved system efficiency. SoCalGas lists potential metrics for tracking and evaluating impacts from this Initiative, including</w:t>
      </w:r>
      <w:r w:rsidRPr="00DF6849" w:rsidR="00BE0A7E">
        <w:rPr>
          <w:rFonts w:ascii="Palatino Linotype" w:hAnsi="Palatino Linotype" w:eastAsia="Palatino Linotype" w:cs="Palatino Linotype"/>
          <w:color w:val="000000" w:themeColor="text1"/>
        </w:rPr>
        <w:t xml:space="preserve"> reduced</w:t>
      </w:r>
      <w:r w:rsidRPr="00DF6849" w:rsidR="0087043B">
        <w:rPr>
          <w:rFonts w:ascii="Palatino Linotype" w:hAnsi="Palatino Linotype" w:eastAsia="Palatino Linotype" w:cs="Palatino Linotype"/>
          <w:color w:val="000000" w:themeColor="text1"/>
        </w:rPr>
        <w:t xml:space="preserve"> flaring from biogas production facilities</w:t>
      </w:r>
      <w:r w:rsidRPr="00DF6849" w:rsidR="00BE0A7E">
        <w:rPr>
          <w:rFonts w:ascii="Palatino Linotype" w:hAnsi="Palatino Linotype" w:eastAsia="Palatino Linotype" w:cs="Palatino Linotype"/>
          <w:color w:val="000000" w:themeColor="text1"/>
        </w:rPr>
        <w:t xml:space="preserve"> through studies that evaluate and test compatibility of new RNG technologies with the gas system</w:t>
      </w:r>
      <w:r w:rsidRPr="00DF6849" w:rsidR="0087043B">
        <w:rPr>
          <w:rFonts w:ascii="Palatino Linotype" w:hAnsi="Palatino Linotype" w:eastAsia="Palatino Linotype" w:cs="Palatino Linotype"/>
          <w:color w:val="000000" w:themeColor="text1"/>
        </w:rPr>
        <w:t>. SoCalGas proposes to allocate $2,633,600 in its 2027 Plan.</w:t>
      </w:r>
    </w:p>
    <w:p w:rsidR="693F203E" w:rsidP="6AE203D8" w:rsidRDefault="693F203E" w14:paraId="6007ED1F" w14:textId="6AEB7954">
      <w:pPr>
        <w:spacing w:after="0" w:line="276" w:lineRule="auto"/>
        <w:ind w:left="720"/>
        <w:rPr>
          <w:rFonts w:ascii="Palatino Linotype" w:hAnsi="Palatino Linotype" w:eastAsia="Palatino Linotype" w:cs="Palatino Linotype"/>
          <w:i/>
          <w:iCs/>
          <w:color w:val="000000" w:themeColor="text1"/>
        </w:rPr>
      </w:pPr>
    </w:p>
    <w:p w:rsidR="693F203E" w:rsidP="6AE203D8" w:rsidRDefault="468B4172" w14:paraId="443783DF" w14:textId="32ED93F5">
      <w:pPr>
        <w:spacing w:after="0" w:line="276" w:lineRule="auto"/>
        <w:rPr>
          <w:rFonts w:ascii="Palatino Linotype" w:hAnsi="Palatino Linotype" w:eastAsia="Palatino Linotype" w:cs="Palatino Linotype"/>
          <w:i/>
          <w:iCs/>
          <w:color w:val="000000" w:themeColor="text1"/>
        </w:rPr>
      </w:pPr>
      <w:r w:rsidRPr="6AE203D8">
        <w:rPr>
          <w:rFonts w:ascii="Palatino Linotype" w:hAnsi="Palatino Linotype" w:eastAsia="Palatino Linotype" w:cs="Palatino Linotype"/>
          <w:i/>
          <w:iCs/>
          <w:color w:val="000000" w:themeColor="text1"/>
        </w:rPr>
        <w:t xml:space="preserve">Decarbonization Theme Proposed Initiatives </w:t>
      </w:r>
    </w:p>
    <w:p w:rsidR="693F203E" w:rsidP="6AE203D8" w:rsidRDefault="468B4172" w14:paraId="7DCE8959" w14:textId="68414986">
      <w:pPr>
        <w:spacing w:after="0" w:line="276" w:lineRule="auto"/>
      </w:pPr>
      <w:r w:rsidRPr="6AE203D8">
        <w:rPr>
          <w:rFonts w:ascii="Palatino Linotype" w:hAnsi="Palatino Linotype" w:eastAsia="Palatino Linotype" w:cs="Palatino Linotype"/>
          <w:color w:val="000000" w:themeColor="text1"/>
        </w:rPr>
        <w:t xml:space="preserve"> </w:t>
      </w:r>
    </w:p>
    <w:p w:rsidR="693F203E" w:rsidP="6AE203D8" w:rsidRDefault="468B4172" w14:paraId="2D78C3D2" w14:textId="47B33D62">
      <w:pPr>
        <w:spacing w:after="0" w:line="276" w:lineRule="auto"/>
      </w:pPr>
      <w:r w:rsidRPr="6AE203D8">
        <w:rPr>
          <w:rFonts w:ascii="Palatino Linotype" w:hAnsi="Palatino Linotype" w:eastAsia="Palatino Linotype" w:cs="Palatino Linotype"/>
          <w:color w:val="000000" w:themeColor="text1"/>
        </w:rPr>
        <w:t xml:space="preserve">SoCalGas states that it </w:t>
      </w:r>
      <w:r w:rsidRPr="7510854C">
        <w:rPr>
          <w:rFonts w:ascii="Palatino Linotype" w:hAnsi="Palatino Linotype" w:eastAsia="Palatino Linotype" w:cs="Palatino Linotype"/>
          <w:color w:val="000000" w:themeColor="text1"/>
        </w:rPr>
        <w:t>seeks to develop Initiatives within the Decarbonization theme that</w:t>
      </w:r>
      <w:r w:rsidRPr="6AE203D8" w:rsidR="414271C9">
        <w:rPr>
          <w:rFonts w:ascii="Palatino Linotype" w:hAnsi="Palatino Linotype" w:eastAsia="Palatino Linotype" w:cs="Palatino Linotype"/>
          <w:color w:val="000000" w:themeColor="text1"/>
        </w:rPr>
        <w:t xml:space="preserve"> “</w:t>
      </w:r>
      <w:r w:rsidRPr="7510854C" w:rsidR="414271C9">
        <w:rPr>
          <w:rFonts w:ascii="Palatino Linotype" w:hAnsi="Palatino Linotype" w:eastAsia="Palatino Linotype" w:cs="Palatino Linotype"/>
          <w:color w:val="000000" w:themeColor="text1"/>
        </w:rPr>
        <w:t>advance technologies that improve the affordability, availability,</w:t>
      </w:r>
      <w:r w:rsidRPr="7510854C" w:rsidR="3FF9C3EE">
        <w:rPr>
          <w:rFonts w:ascii="Palatino Linotype" w:hAnsi="Palatino Linotype" w:eastAsia="Palatino Linotype" w:cs="Palatino Linotype"/>
          <w:color w:val="000000" w:themeColor="text1"/>
        </w:rPr>
        <w:t xml:space="preserve"> </w:t>
      </w:r>
      <w:r w:rsidRPr="7510854C" w:rsidR="414271C9">
        <w:rPr>
          <w:rFonts w:ascii="Palatino Linotype" w:hAnsi="Palatino Linotype" w:eastAsia="Palatino Linotype" w:cs="Palatino Linotype"/>
          <w:color w:val="000000" w:themeColor="text1"/>
        </w:rPr>
        <w:t xml:space="preserve">reliability, and integration of low-carbon fuels and energy systems for SoCalGas customers. These emphasize solutions that support California’s climate and energy goals, particularly through the integration of renewable fuels, advanced storage technologies, and emissions-reducing systems—with a focus on areas </w:t>
      </w:r>
      <w:proofErr w:type="gramStart"/>
      <w:r w:rsidRPr="7510854C" w:rsidR="414271C9">
        <w:rPr>
          <w:rFonts w:ascii="Palatino Linotype" w:hAnsi="Palatino Linotype" w:eastAsia="Palatino Linotype" w:cs="Palatino Linotype"/>
          <w:color w:val="000000" w:themeColor="text1"/>
        </w:rPr>
        <w:t>align</w:t>
      </w:r>
      <w:proofErr w:type="gramEnd"/>
      <w:r w:rsidRPr="7510854C" w:rsidR="038CC664">
        <w:rPr>
          <w:rFonts w:ascii="Palatino Linotype" w:hAnsi="Palatino Linotype" w:eastAsia="Palatino Linotype" w:cs="Palatino Linotype"/>
          <w:color w:val="000000" w:themeColor="text1"/>
        </w:rPr>
        <w:t xml:space="preserve"> </w:t>
      </w:r>
      <w:r w:rsidRPr="7510854C" w:rsidR="414271C9">
        <w:rPr>
          <w:rFonts w:ascii="Palatino Linotype" w:hAnsi="Palatino Linotype" w:eastAsia="Palatino Linotype" w:cs="Palatino Linotype"/>
          <w:color w:val="000000" w:themeColor="text1"/>
        </w:rPr>
        <w:t>with current RD&amp;D initiatives and CPUC priorities.</w:t>
      </w:r>
      <w:r w:rsidRPr="7510854C">
        <w:rPr>
          <w:rStyle w:val="FootnoteReference"/>
          <w:rFonts w:ascii="Palatino Linotype" w:hAnsi="Palatino Linotype" w:eastAsia="Palatino Linotype" w:cs="Palatino Linotype"/>
          <w:color w:val="000000" w:themeColor="text1"/>
        </w:rPr>
        <w:footnoteReference w:id="65"/>
      </w:r>
      <w:r w:rsidRPr="7510854C" w:rsidR="26A9E12C">
        <w:rPr>
          <w:rFonts w:ascii="Palatino Linotype" w:hAnsi="Palatino Linotype" w:eastAsia="Palatino Linotype" w:cs="Palatino Linotype"/>
          <w:color w:val="000000" w:themeColor="text1"/>
        </w:rPr>
        <w:t xml:space="preserve">  </w:t>
      </w:r>
    </w:p>
    <w:p w:rsidRPr="00DF6849" w:rsidR="693F203E" w:rsidP="6AE203D8" w:rsidRDefault="693F203E" w14:paraId="44DFB3F6" w14:textId="3840904F">
      <w:pPr>
        <w:spacing w:after="0" w:line="276" w:lineRule="auto"/>
        <w:rPr>
          <w:rFonts w:ascii="Palatino Linotype" w:hAnsi="Palatino Linotype" w:eastAsia="Palatino Linotype" w:cs="Palatino Linotype"/>
          <w:color w:val="000000" w:themeColor="text1"/>
        </w:rPr>
      </w:pPr>
    </w:p>
    <w:p w:rsidRPr="00DF6849" w:rsidR="693F203E" w:rsidP="00477204" w:rsidRDefault="5E0AE94C" w14:paraId="2BB94B52" w14:textId="173FA298">
      <w:pPr>
        <w:pStyle w:val="ListParagraph"/>
        <w:numPr>
          <w:ilvl w:val="0"/>
          <w:numId w:val="5"/>
        </w:numPr>
        <w:spacing w:line="276" w:lineRule="auto"/>
        <w:rPr>
          <w:rFonts w:ascii="Palatino Linotype" w:hAnsi="Palatino Linotype" w:eastAsia="Palatino Linotype" w:cs="Palatino Linotype"/>
          <w:color w:val="000000" w:themeColor="text1"/>
        </w:rPr>
      </w:pPr>
      <w:r w:rsidRPr="00DF6849">
        <w:rPr>
          <w:rFonts w:ascii="Palatino Linotype" w:hAnsi="Palatino Linotype" w:eastAsia="Palatino Linotype" w:cs="Palatino Linotype"/>
          <w:color w:val="000000" w:themeColor="text1"/>
        </w:rPr>
        <w:t>Low-Carbon Fuels Technologies</w:t>
      </w:r>
      <w:r w:rsidRPr="00DF6849">
        <w:rPr>
          <w:rStyle w:val="FootnoteReference"/>
          <w:rFonts w:ascii="Palatino Linotype" w:hAnsi="Palatino Linotype" w:eastAsia="Palatino Linotype" w:cs="Palatino Linotype"/>
          <w:color w:val="000000" w:themeColor="text1"/>
        </w:rPr>
        <w:footnoteReference w:id="66"/>
      </w:r>
    </w:p>
    <w:p w:rsidRPr="00DF6849" w:rsidR="693F203E" w:rsidP="001E4440" w:rsidRDefault="5E0AE94C" w14:paraId="28146C2A" w14:textId="13409ED1">
      <w:pPr>
        <w:spacing w:after="0" w:line="276" w:lineRule="auto"/>
        <w:ind w:left="720"/>
        <w:rPr>
          <w:rFonts w:ascii="Palatino Linotype" w:hAnsi="Palatino Linotype" w:eastAsia="Palatino Linotype" w:cs="Palatino Linotype"/>
          <w:color w:val="000000" w:themeColor="text1"/>
        </w:rPr>
      </w:pPr>
      <w:r w:rsidRPr="00DF6849">
        <w:rPr>
          <w:rFonts w:ascii="Palatino Linotype" w:hAnsi="Palatino Linotype" w:eastAsia="Palatino Linotype" w:cs="Palatino Linotype"/>
          <w:color w:val="000000" w:themeColor="text1"/>
        </w:rPr>
        <w:t>SoCalGas states that it seeks to develop projects within the</w:t>
      </w:r>
      <w:r w:rsidRPr="00DF6849">
        <w:rPr>
          <w:rFonts w:ascii="Aptos" w:hAnsi="Aptos" w:eastAsia="Aptos" w:cs="Aptos"/>
          <w:color w:val="000000" w:themeColor="text1"/>
        </w:rPr>
        <w:t xml:space="preserve"> </w:t>
      </w:r>
      <w:r w:rsidRPr="00DF6849">
        <w:rPr>
          <w:rFonts w:ascii="Palatino Linotype" w:hAnsi="Palatino Linotype" w:eastAsia="Palatino Linotype" w:cs="Palatino Linotype"/>
          <w:color w:val="000000" w:themeColor="text1"/>
        </w:rPr>
        <w:t xml:space="preserve">Low-Carbon Fuels Technologies Initiative </w:t>
      </w:r>
      <w:r w:rsidRPr="00DF6849" w:rsidR="00101437">
        <w:rPr>
          <w:rFonts w:ascii="Palatino Linotype" w:hAnsi="Palatino Linotype" w:eastAsia="Palatino Linotype" w:cs="Palatino Linotype"/>
          <w:color w:val="000000" w:themeColor="text1"/>
        </w:rPr>
        <w:t xml:space="preserve">to: improve selectivity, efficiency, and affordability of CO2 conversion through electrochemical methods; develop strategies to recover valuable coproducts from biogas facilities to improve affordability of RNG recovery; develop technologies to efficiently recover water generated and/or used in RNG production; and evaluate and develop RNG facility process improvements that can mitigate biomethane leaks. </w:t>
      </w:r>
      <w:r w:rsidRPr="00DF6849" w:rsidR="001E4440">
        <w:rPr>
          <w:rFonts w:ascii="Palatino Linotype" w:hAnsi="Palatino Linotype" w:eastAsia="Palatino Linotype" w:cs="Palatino Linotype"/>
          <w:color w:val="000000" w:themeColor="text1"/>
        </w:rPr>
        <w:t xml:space="preserve">Research Topics include: </w:t>
      </w:r>
      <w:r w:rsidR="003353D6">
        <w:rPr>
          <w:rFonts w:ascii="Palatino Linotype" w:hAnsi="Palatino Linotype" w:eastAsia="Palatino Linotype" w:cs="Palatino Linotype"/>
          <w:color w:val="000000" w:themeColor="text1"/>
        </w:rPr>
        <w:br/>
      </w:r>
      <w:r w:rsidRPr="00DF6849" w:rsidR="001E4440">
        <w:rPr>
          <w:rFonts w:ascii="Palatino Linotype" w:hAnsi="Palatino Linotype" w:eastAsia="Palatino Linotype" w:cs="Palatino Linotype"/>
          <w:color w:val="000000" w:themeColor="text1"/>
        </w:rPr>
        <w:t xml:space="preserve">(i) advancing RNG production systems; (ii) scaling transformative technologies; and (iii) improving durability and performance. </w:t>
      </w:r>
      <w:r w:rsidRPr="00DF6849" w:rsidR="004700E4">
        <w:rPr>
          <w:rFonts w:ascii="Palatino Linotype" w:hAnsi="Palatino Linotype" w:eastAsia="Palatino Linotype" w:cs="Palatino Linotype"/>
          <w:color w:val="000000" w:themeColor="text1"/>
        </w:rPr>
        <w:t>SoCalGas lists potential metrics for tracking and evaluating impacts from this Initiative</w:t>
      </w:r>
      <w:r w:rsidRPr="00DF6849" w:rsidR="5EC882FA">
        <w:rPr>
          <w:rFonts w:ascii="Palatino Linotype" w:hAnsi="Palatino Linotype" w:eastAsia="Palatino Linotype" w:cs="Palatino Linotype"/>
          <w:color w:val="000000" w:themeColor="text1"/>
        </w:rPr>
        <w:t xml:space="preserve">, including reduced </w:t>
      </w:r>
      <w:r w:rsidRPr="00DF6849" w:rsidR="5EC882FA">
        <w:rPr>
          <w:rFonts w:ascii="Palatino Linotype" w:hAnsi="Palatino Linotype" w:eastAsia="Palatino Linotype" w:cs="Palatino Linotype"/>
          <w:color w:val="000000" w:themeColor="text1"/>
        </w:rPr>
        <w:lastRenderedPageBreak/>
        <w:t>capital, O&amp;M, and fuel costs, as well as increased affordability</w:t>
      </w:r>
      <w:r w:rsidRPr="00DF6849" w:rsidR="0695AD06">
        <w:rPr>
          <w:rFonts w:ascii="Palatino Linotype" w:hAnsi="Palatino Linotype" w:eastAsia="Palatino Linotype" w:cs="Palatino Linotype"/>
          <w:color w:val="000000" w:themeColor="text1"/>
        </w:rPr>
        <w:t xml:space="preserve"> by</w:t>
      </w:r>
      <w:r w:rsidRPr="00DF6849" w:rsidR="001E4440">
        <w:rPr>
          <w:rFonts w:ascii="Palatino Linotype" w:hAnsi="Palatino Linotype" w:eastAsia="Palatino Linotype" w:cs="Palatino Linotype"/>
          <w:color w:val="000000" w:themeColor="text1"/>
        </w:rPr>
        <w:t xml:space="preserve"> </w:t>
      </w:r>
      <w:r w:rsidRPr="00DF6849" w:rsidR="0695AD06">
        <w:rPr>
          <w:rFonts w:ascii="Palatino Linotype" w:hAnsi="Palatino Linotype" w:eastAsia="Palatino Linotype" w:cs="Palatino Linotype"/>
          <w:color w:val="000000" w:themeColor="text1"/>
        </w:rPr>
        <w:t>developing new technologies to efficiently convert biogas to RNG.</w:t>
      </w:r>
      <w:r w:rsidRPr="00DF6849" w:rsidR="132F2FAF">
        <w:rPr>
          <w:rFonts w:ascii="Palatino Linotype" w:hAnsi="Palatino Linotype" w:eastAsia="Palatino Linotype" w:cs="Palatino Linotype"/>
          <w:color w:val="000000" w:themeColor="text1"/>
        </w:rPr>
        <w:t xml:space="preserve"> </w:t>
      </w:r>
      <w:r w:rsidRPr="00DF6849" w:rsidR="56C1B8CB">
        <w:rPr>
          <w:rFonts w:ascii="Palatino Linotype" w:hAnsi="Palatino Linotype" w:eastAsia="Palatino Linotype" w:cs="Palatino Linotype"/>
          <w:color w:val="000000" w:themeColor="text1"/>
        </w:rPr>
        <w:t xml:space="preserve">SoCalGas proposes to allocate $$2,633,600 </w:t>
      </w:r>
      <w:proofErr w:type="gramStart"/>
      <w:r w:rsidRPr="00DF6849" w:rsidR="56C1B8CB">
        <w:rPr>
          <w:rFonts w:ascii="Palatino Linotype" w:hAnsi="Palatino Linotype" w:eastAsia="Palatino Linotype" w:cs="Palatino Linotype"/>
          <w:color w:val="000000" w:themeColor="text1"/>
        </w:rPr>
        <w:t>in</w:t>
      </w:r>
      <w:proofErr w:type="gramEnd"/>
      <w:r w:rsidRPr="00DF6849" w:rsidR="56C1B8CB">
        <w:rPr>
          <w:rFonts w:ascii="Palatino Linotype" w:hAnsi="Palatino Linotype" w:eastAsia="Palatino Linotype" w:cs="Palatino Linotype"/>
          <w:color w:val="000000" w:themeColor="text1"/>
        </w:rPr>
        <w:t xml:space="preserve"> its 2027 Plan.</w:t>
      </w:r>
    </w:p>
    <w:p w:rsidR="693F203E" w:rsidP="6AE203D8" w:rsidRDefault="693F203E" w14:paraId="0CC34E81" w14:textId="45046E48">
      <w:pPr>
        <w:spacing w:after="0" w:line="276" w:lineRule="auto"/>
        <w:ind w:left="720"/>
        <w:rPr>
          <w:rFonts w:ascii="Palatino Linotype" w:hAnsi="Palatino Linotype" w:eastAsia="Palatino Linotype" w:cs="Palatino Linotype"/>
          <w:color w:val="000000" w:themeColor="text1"/>
        </w:rPr>
      </w:pPr>
    </w:p>
    <w:p w:rsidRPr="00DF6849" w:rsidR="693F203E" w:rsidP="00477204" w:rsidRDefault="52BEE323" w14:paraId="005E7FBB" w14:textId="33963B74">
      <w:pPr>
        <w:pStyle w:val="ListParagraph"/>
        <w:numPr>
          <w:ilvl w:val="0"/>
          <w:numId w:val="5"/>
        </w:numPr>
        <w:spacing w:after="0" w:line="276" w:lineRule="auto"/>
        <w:rPr>
          <w:rFonts w:ascii="Palatino Linotype" w:hAnsi="Palatino Linotype" w:eastAsia="Palatino Linotype" w:cs="Palatino Linotype"/>
          <w:color w:val="000000" w:themeColor="text1"/>
        </w:rPr>
      </w:pPr>
      <w:r w:rsidRPr="6AE203D8">
        <w:rPr>
          <w:rFonts w:ascii="Palatino Linotype" w:hAnsi="Palatino Linotype" w:eastAsia="Palatino Linotype" w:cs="Palatino Linotype"/>
          <w:color w:val="000000" w:themeColor="text1"/>
        </w:rPr>
        <w:t xml:space="preserve">Energy Reliability </w:t>
      </w:r>
      <w:r w:rsidRPr="00DF6849">
        <w:rPr>
          <w:rFonts w:ascii="Palatino Linotype" w:hAnsi="Palatino Linotype" w:eastAsia="Palatino Linotype" w:cs="Palatino Linotype"/>
          <w:color w:val="000000" w:themeColor="text1"/>
        </w:rPr>
        <w:t>&amp; Resilience</w:t>
      </w:r>
      <w:r w:rsidRPr="00DF6849">
        <w:rPr>
          <w:rStyle w:val="FootnoteReference"/>
          <w:rFonts w:ascii="Palatino Linotype" w:hAnsi="Palatino Linotype" w:eastAsia="Palatino Linotype" w:cs="Palatino Linotype"/>
          <w:color w:val="000000" w:themeColor="text1"/>
        </w:rPr>
        <w:footnoteReference w:id="67"/>
      </w:r>
    </w:p>
    <w:p w:rsidRPr="00DF6849" w:rsidR="00CF2644" w:rsidP="00CF2644" w:rsidRDefault="00CF2644" w14:paraId="101FCB04" w14:textId="77777777">
      <w:pPr>
        <w:pStyle w:val="ListParagraph"/>
        <w:spacing w:after="0" w:line="276" w:lineRule="auto"/>
        <w:ind w:left="1080"/>
        <w:rPr>
          <w:rFonts w:ascii="Palatino Linotype" w:hAnsi="Palatino Linotype" w:eastAsia="Palatino Linotype" w:cs="Palatino Linotype"/>
          <w:color w:val="000000" w:themeColor="text1"/>
          <w:sz w:val="10"/>
          <w:szCs w:val="10"/>
        </w:rPr>
      </w:pPr>
    </w:p>
    <w:p w:rsidR="693F203E" w:rsidP="6AE203D8" w:rsidRDefault="00587036" w14:paraId="5DA6A754" w14:textId="1E2162D6">
      <w:pPr>
        <w:spacing w:after="0" w:line="276" w:lineRule="auto"/>
        <w:ind w:left="720"/>
      </w:pPr>
      <w:r w:rsidRPr="00DF6849">
        <w:rPr>
          <w:rFonts w:ascii="Palatino Linotype" w:hAnsi="Palatino Linotype" w:eastAsia="Palatino Linotype" w:cs="Palatino Linotype"/>
          <w:color w:val="000000" w:themeColor="text1"/>
        </w:rPr>
        <w:t>So</w:t>
      </w:r>
      <w:r w:rsidRPr="00DF6849" w:rsidR="00CF2644">
        <w:rPr>
          <w:rFonts w:ascii="Palatino Linotype" w:hAnsi="Palatino Linotype" w:eastAsia="Palatino Linotype" w:cs="Palatino Linotype"/>
          <w:color w:val="000000" w:themeColor="text1"/>
        </w:rPr>
        <w:t>C</w:t>
      </w:r>
      <w:r w:rsidRPr="00DF6849">
        <w:rPr>
          <w:rFonts w:ascii="Palatino Linotype" w:hAnsi="Palatino Linotype" w:eastAsia="Palatino Linotype" w:cs="Palatino Linotype"/>
          <w:color w:val="000000" w:themeColor="text1"/>
        </w:rPr>
        <w:t xml:space="preserve">alGas states that it seeks to develop projects within the Energy Reliability &amp; Resilience Initiative to advance technologies that lower emissions and improve energy resilience during periods of extreme weather, natural disasters, and grid outages through energy management system controls and integration, optimization of Combined Heat and Power (CHP) systems, and scalable microgrid control systems. Research Topics include: (i) refining microgrid/generation control and operating approaches; (ii) advancing lower-emission generation and retrofit approaches to improve practical performance in customer applications; and (iii) improving point-of-use decarbonization to support better cost and operating performance. SoCalGas lists potential metrics for tracking and evaluating impacts from this Initiative, including improved cost-effectiveness of lower carbon technology deployment and </w:t>
      </w:r>
      <w:proofErr w:type="gramStart"/>
      <w:r w:rsidRPr="00DF6849">
        <w:rPr>
          <w:rFonts w:ascii="Palatino Linotype" w:hAnsi="Palatino Linotype" w:eastAsia="Palatino Linotype" w:cs="Palatino Linotype"/>
          <w:color w:val="000000" w:themeColor="text1"/>
        </w:rPr>
        <w:t>reduced criteria</w:t>
      </w:r>
      <w:proofErr w:type="gramEnd"/>
      <w:r w:rsidRPr="00DF6849">
        <w:rPr>
          <w:rFonts w:ascii="Palatino Linotype" w:hAnsi="Palatino Linotype" w:eastAsia="Palatino Linotype" w:cs="Palatino Linotype"/>
          <w:color w:val="000000" w:themeColor="text1"/>
        </w:rPr>
        <w:t xml:space="preserve"> air pollutants</w:t>
      </w:r>
      <w:r w:rsidRPr="00DF6849" w:rsidR="52BEE323">
        <w:rPr>
          <w:rFonts w:ascii="Palatino Linotype" w:hAnsi="Palatino Linotype" w:eastAsia="Palatino Linotype" w:cs="Palatino Linotype"/>
          <w:color w:val="000000" w:themeColor="text1"/>
        </w:rPr>
        <w:t xml:space="preserve">. </w:t>
      </w:r>
      <w:r w:rsidRPr="00DF6849" w:rsidR="1393F0D4">
        <w:rPr>
          <w:rFonts w:ascii="Palatino Linotype" w:hAnsi="Palatino Linotype" w:eastAsia="Palatino Linotype" w:cs="Palatino Linotype"/>
          <w:color w:val="000000" w:themeColor="text1"/>
        </w:rPr>
        <w:t xml:space="preserve">SoCalGas proposes to allocate </w:t>
      </w:r>
      <w:r w:rsidRPr="00DF6849" w:rsidR="31D873A5">
        <w:rPr>
          <w:rFonts w:ascii="Palatino Linotype" w:hAnsi="Palatino Linotype" w:eastAsia="Palatino Linotype" w:cs="Palatino Linotype"/>
          <w:color w:val="000000" w:themeColor="text1"/>
        </w:rPr>
        <w:t>$</w:t>
      </w:r>
      <w:r w:rsidRPr="00DF6849" w:rsidR="1393F0D4">
        <w:rPr>
          <w:rFonts w:ascii="Palatino Linotype" w:hAnsi="Palatino Linotype" w:eastAsia="Palatino Linotype" w:cs="Palatino Linotype"/>
          <w:color w:val="000000" w:themeColor="text1"/>
        </w:rPr>
        <w:t>2,633</w:t>
      </w:r>
      <w:r w:rsidRPr="6AE203D8" w:rsidR="1393F0D4">
        <w:rPr>
          <w:rFonts w:ascii="Palatino Linotype" w:hAnsi="Palatino Linotype" w:eastAsia="Palatino Linotype" w:cs="Palatino Linotype"/>
          <w:color w:val="000000" w:themeColor="text1"/>
        </w:rPr>
        <w:t>,600 in its 2027 Plan.</w:t>
      </w:r>
    </w:p>
    <w:p w:rsidR="693F203E" w:rsidP="6AE203D8" w:rsidRDefault="1393F0D4" w14:paraId="0705DD42" w14:textId="487E3E99">
      <w:pPr>
        <w:spacing w:after="0" w:line="276" w:lineRule="auto"/>
        <w:ind w:left="720"/>
      </w:pPr>
      <w:r w:rsidRPr="6AE203D8">
        <w:rPr>
          <w:rFonts w:ascii="Palatino Linotype" w:hAnsi="Palatino Linotype" w:eastAsia="Palatino Linotype" w:cs="Palatino Linotype"/>
          <w:color w:val="000000" w:themeColor="text1"/>
        </w:rPr>
        <w:t xml:space="preserve"> </w:t>
      </w:r>
    </w:p>
    <w:p w:rsidRPr="00622535" w:rsidR="693F203E" w:rsidP="00477204" w:rsidRDefault="52919497" w14:paraId="6DD00B84" w14:textId="1FCE838A">
      <w:pPr>
        <w:pStyle w:val="ListParagraph"/>
        <w:numPr>
          <w:ilvl w:val="0"/>
          <w:numId w:val="1"/>
        </w:numPr>
        <w:spacing w:line="276" w:lineRule="auto"/>
        <w:ind w:left="1080"/>
        <w:rPr>
          <w:rFonts w:ascii="Palatino Linotype" w:hAnsi="Palatino Linotype" w:eastAsia="Palatino Linotype" w:cs="Palatino Linotype"/>
          <w:color w:val="000000" w:themeColor="text1"/>
        </w:rPr>
      </w:pPr>
      <w:r w:rsidRPr="6AE203D8">
        <w:rPr>
          <w:rFonts w:ascii="Palatino Linotype" w:hAnsi="Palatino Linotype" w:eastAsia="Palatino Linotype" w:cs="Palatino Linotype"/>
          <w:color w:val="000000" w:themeColor="text1"/>
        </w:rPr>
        <w:t xml:space="preserve">Building &amp; </w:t>
      </w:r>
      <w:r w:rsidRPr="00622535">
        <w:rPr>
          <w:rFonts w:ascii="Palatino Linotype" w:hAnsi="Palatino Linotype" w:eastAsia="Palatino Linotype" w:cs="Palatino Linotype"/>
          <w:color w:val="000000" w:themeColor="text1"/>
        </w:rPr>
        <w:t>Facility Systems</w:t>
      </w:r>
      <w:r w:rsidRPr="00622535">
        <w:rPr>
          <w:rStyle w:val="FootnoteReference"/>
          <w:rFonts w:ascii="Palatino Linotype" w:hAnsi="Palatino Linotype" w:eastAsia="Palatino Linotype" w:cs="Palatino Linotype"/>
          <w:color w:val="000000" w:themeColor="text1"/>
        </w:rPr>
        <w:footnoteReference w:id="68"/>
      </w:r>
    </w:p>
    <w:p w:rsidRPr="00171C99" w:rsidR="693F203E" w:rsidP="00250C6D" w:rsidRDefault="52919497" w14:paraId="5C5F5721" w14:textId="3BAC11A6">
      <w:pPr>
        <w:spacing w:after="0" w:line="276" w:lineRule="auto"/>
        <w:ind w:left="720"/>
        <w:rPr>
          <w:rFonts w:ascii="Palatino Linotype" w:hAnsi="Palatino Linotype" w:eastAsia="Palatino Linotype" w:cs="Palatino Linotype"/>
          <w:color w:val="000000" w:themeColor="text1"/>
        </w:rPr>
      </w:pPr>
      <w:r w:rsidRPr="00622535">
        <w:rPr>
          <w:rFonts w:ascii="Palatino Linotype" w:hAnsi="Palatino Linotype" w:eastAsia="Palatino Linotype" w:cs="Palatino Linotype"/>
          <w:color w:val="000000" w:themeColor="text1"/>
        </w:rPr>
        <w:t>SoCalGas states that it seeks to develop projects within the Building &amp; Facility Systems Initiative to</w:t>
      </w:r>
      <w:r w:rsidRPr="00622535" w:rsidR="00171C99">
        <w:rPr>
          <w:rFonts w:ascii="Palatino Linotype" w:hAnsi="Palatino Linotype" w:eastAsia="Palatino Linotype" w:cs="Palatino Linotype"/>
          <w:color w:val="000000" w:themeColor="text1"/>
        </w:rPr>
        <w:t xml:space="preserve">: demonstrate advanced building envelope materials and retrofit technologies in representative building applications; integrate and optimize advanced energy management systems and smart controls to reduce gas and electricity use and improve equipment operation; demonstrate waste heat recovery, thermal energy storage, and related system; and pilot lower-emission technologies for boilers, water heaters, commercial cooking equipment, and industrial process equipment in selected applications. </w:t>
      </w:r>
      <w:r w:rsidRPr="00622535" w:rsidR="00620F17">
        <w:rPr>
          <w:rFonts w:ascii="Palatino Linotype" w:hAnsi="Palatino Linotype" w:eastAsia="Palatino Linotype" w:cs="Palatino Linotype"/>
          <w:color w:val="000000" w:themeColor="text1"/>
        </w:rPr>
        <w:t xml:space="preserve">Research Topics include: (i) cutting direct emissions; (ii) enhancing load flexibility; (iii) improving building efficiency; and (iv) advancing CPUC priority technologies such as waste </w:t>
      </w:r>
      <w:r w:rsidRPr="00622535" w:rsidR="00620F17">
        <w:rPr>
          <w:rFonts w:ascii="Palatino Linotype" w:hAnsi="Palatino Linotype" w:eastAsia="Palatino Linotype" w:cs="Palatino Linotype"/>
          <w:color w:val="000000" w:themeColor="text1"/>
        </w:rPr>
        <w:lastRenderedPageBreak/>
        <w:t xml:space="preserve">heat recovery, thermal energy storage, advanced infrared burners, and acid gas reduction. SoCalGas lists potential metrics for tracking and evaluating impacts from this Initiative, </w:t>
      </w:r>
      <w:proofErr w:type="gramStart"/>
      <w:r w:rsidRPr="00622535" w:rsidR="00620F17">
        <w:rPr>
          <w:rFonts w:ascii="Palatino Linotype" w:hAnsi="Palatino Linotype" w:eastAsia="Palatino Linotype" w:cs="Palatino Linotype"/>
          <w:color w:val="000000" w:themeColor="text1"/>
        </w:rPr>
        <w:t>includin</w:t>
      </w:r>
      <w:r w:rsidRPr="00622535" w:rsidR="00250C6D">
        <w:rPr>
          <w:rFonts w:ascii="Palatino Linotype" w:hAnsi="Palatino Linotype" w:eastAsia="Palatino Linotype" w:cs="Palatino Linotype"/>
          <w:color w:val="000000" w:themeColor="text1"/>
        </w:rPr>
        <w:t>g:</w:t>
      </w:r>
      <w:proofErr w:type="gramEnd"/>
      <w:r w:rsidRPr="00622535" w:rsidR="00250C6D">
        <w:rPr>
          <w:rFonts w:ascii="Palatino Linotype" w:hAnsi="Palatino Linotype" w:eastAsia="Palatino Linotype" w:cs="Palatino Linotype"/>
          <w:color w:val="000000" w:themeColor="text1"/>
        </w:rPr>
        <w:t xml:space="preserve"> </w:t>
      </w:r>
      <w:r w:rsidRPr="00622535" w:rsidR="7F461B46">
        <w:rPr>
          <w:rFonts w:ascii="Palatino Linotype" w:hAnsi="Palatino Linotype" w:eastAsia="Palatino Linotype" w:cs="Palatino Linotype"/>
          <w:color w:val="000000" w:themeColor="text1"/>
        </w:rPr>
        <w:t>improved affordability via lower lifecycle cost, reduced energy consumption, operational expenses, and waste generation; reduced direct and indirect GHG emissions from buildings and facilities; and reduced NOx and other criteria pollutant emissions from building and facility equipment</w:t>
      </w:r>
      <w:r w:rsidRPr="00622535" w:rsidR="767F3FDC">
        <w:rPr>
          <w:rFonts w:ascii="Palatino Linotype" w:hAnsi="Palatino Linotype" w:eastAsia="Palatino Linotype" w:cs="Palatino Linotype"/>
          <w:color w:val="000000" w:themeColor="text1"/>
        </w:rPr>
        <w:t>.</w:t>
      </w:r>
      <w:r w:rsidRPr="00622535" w:rsidR="1802769E">
        <w:rPr>
          <w:rFonts w:ascii="Palatino Linotype" w:hAnsi="Palatino Linotype" w:eastAsia="Palatino Linotype" w:cs="Palatino Linotype"/>
          <w:color w:val="000000" w:themeColor="text1"/>
        </w:rPr>
        <w:t xml:space="preserve"> </w:t>
      </w:r>
      <w:r w:rsidRPr="00622535">
        <w:rPr>
          <w:rFonts w:ascii="Palatino Linotype" w:hAnsi="Palatino Linotype" w:eastAsia="Palatino Linotype" w:cs="Palatino Linotype"/>
          <w:color w:val="000000" w:themeColor="text1"/>
        </w:rPr>
        <w:t xml:space="preserve">SoCalGas proposes to allocate $1,755,700 </w:t>
      </w:r>
      <w:r w:rsidRPr="0A8E74AB">
        <w:rPr>
          <w:rFonts w:ascii="Palatino Linotype" w:hAnsi="Palatino Linotype" w:eastAsia="Palatino Linotype" w:cs="Palatino Linotype"/>
          <w:color w:val="000000" w:themeColor="text1"/>
        </w:rPr>
        <w:t>in its 2027 Plan.</w:t>
      </w:r>
    </w:p>
    <w:p w:rsidR="693F203E" w:rsidP="693F203E" w:rsidRDefault="693F203E" w14:paraId="5D513517" w14:textId="4BCD44FD">
      <w:pPr>
        <w:spacing w:after="0" w:line="276" w:lineRule="auto"/>
        <w:rPr>
          <w:rFonts w:ascii="Palatino Linotype" w:hAnsi="Palatino Linotype" w:eastAsia="Palatino Linotype" w:cs="Times New Roman"/>
          <w:b/>
          <w:bCs/>
          <w:u w:val="single"/>
        </w:rPr>
      </w:pPr>
    </w:p>
    <w:p w:rsidRPr="001942D0" w:rsidR="00A76F4A" w:rsidP="00F97978" w:rsidRDefault="00A76F4A" w14:paraId="030741A5" w14:textId="77777777">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Pr="000C6FDB" w:rsidR="000C6FDB" w:rsidP="00F97978" w:rsidRDefault="000C6FDB" w14:paraId="11656A4A" w14:textId="625EAB3B">
      <w:pPr>
        <w:spacing w:after="0" w:line="276" w:lineRule="auto"/>
        <w:rPr>
          <w:rFonts w:ascii="Palatino Linotype" w:hAnsi="Palatino Linotype" w:eastAsia="Palatino Linotype" w:cs="Times New Roman"/>
          <w:kern w:val="0"/>
          <w14:ligatures w14:val="none"/>
        </w:rPr>
      </w:pPr>
      <w:r w:rsidRPr="000C6FDB">
        <w:rPr>
          <w:rFonts w:ascii="Palatino Linotype" w:hAnsi="Palatino Linotype" w:eastAsia="Palatino Linotype" w:cs="Times New Roman"/>
          <w:kern w:val="0"/>
          <w14:ligatures w14:val="none"/>
        </w:rPr>
        <w:t>Notice of Advice Letter</w:t>
      </w:r>
      <w:r w:rsidR="001D0786">
        <w:rPr>
          <w:rFonts w:ascii="Palatino Linotype" w:hAnsi="Palatino Linotype" w:eastAsia="Palatino Linotype" w:cs="Times New Roman"/>
          <w:kern w:val="0"/>
          <w14:ligatures w14:val="none"/>
        </w:rPr>
        <w:t>s</w:t>
      </w:r>
      <w:r w:rsidRPr="000C6FDB">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6495-G-A</w:t>
      </w:r>
      <w:r w:rsidRPr="000C6FDB">
        <w:rPr>
          <w:rFonts w:ascii="Palatino Linotype" w:hAnsi="Palatino Linotype" w:eastAsia="Palatino Linotype" w:cs="Times New Roman"/>
          <w:kern w:val="0"/>
          <w14:ligatures w14:val="none"/>
        </w:rPr>
        <w:t xml:space="preserve"> </w:t>
      </w:r>
      <w:r w:rsidR="001D0786">
        <w:rPr>
          <w:rFonts w:ascii="Palatino Linotype" w:hAnsi="Palatino Linotype" w:eastAsia="Palatino Linotype" w:cs="Times New Roman"/>
          <w:kern w:val="0"/>
          <w14:ligatures w14:val="none"/>
        </w:rPr>
        <w:t>and 6496-G-A</w:t>
      </w:r>
      <w:r w:rsidRPr="000C6FDB" w:rsidR="001D0786">
        <w:rPr>
          <w:rFonts w:ascii="Palatino Linotype" w:hAnsi="Palatino Linotype" w:eastAsia="Palatino Linotype" w:cs="Times New Roman"/>
          <w:kern w:val="0"/>
          <w14:ligatures w14:val="none"/>
        </w:rPr>
        <w:t xml:space="preserve"> </w:t>
      </w:r>
      <w:r w:rsidRPr="000C6FDB">
        <w:rPr>
          <w:rFonts w:ascii="Palatino Linotype" w:hAnsi="Palatino Linotype" w:eastAsia="Palatino Linotype" w:cs="Times New Roman"/>
          <w:kern w:val="0"/>
          <w14:ligatures w14:val="none"/>
        </w:rPr>
        <w:t>w</w:t>
      </w:r>
      <w:r w:rsidR="001D0786">
        <w:rPr>
          <w:rFonts w:ascii="Palatino Linotype" w:hAnsi="Palatino Linotype" w:eastAsia="Palatino Linotype" w:cs="Times New Roman"/>
          <w:kern w:val="0"/>
          <w14:ligatures w14:val="none"/>
        </w:rPr>
        <w:t>ere</w:t>
      </w:r>
      <w:r w:rsidRPr="000C6FDB">
        <w:rPr>
          <w:rFonts w:ascii="Palatino Linotype" w:hAnsi="Palatino Linotype" w:eastAsia="Palatino Linotype" w:cs="Times New Roman"/>
          <w:kern w:val="0"/>
          <w14:ligatures w14:val="none"/>
        </w:rPr>
        <w:t xml:space="preserve"> made by publication on the Commission’s Daily Calendar on </w:t>
      </w:r>
      <w:r w:rsidR="001D0786">
        <w:rPr>
          <w:rFonts w:ascii="Palatino Linotype" w:hAnsi="Palatino Linotype" w:eastAsia="Palatino Linotype" w:cs="Times New Roman"/>
          <w:kern w:val="0"/>
          <w14:ligatures w14:val="none"/>
        </w:rPr>
        <w:t>April 8, 2026</w:t>
      </w:r>
      <w:r w:rsidRPr="000C6FDB">
        <w:rPr>
          <w:rFonts w:ascii="Palatino Linotype" w:hAnsi="Palatino Linotype" w:eastAsia="Palatino Linotype" w:cs="Times New Roman"/>
          <w:kern w:val="0"/>
          <w14:ligatures w14:val="none"/>
        </w:rPr>
        <w:t xml:space="preserve">. </w:t>
      </w:r>
      <w:r w:rsidRPr="000C6FDB" w:rsidR="004C5DEA">
        <w:rPr>
          <w:rFonts w:ascii="Palatino Linotype" w:hAnsi="Palatino Linotype" w:eastAsia="Palatino Linotype" w:cs="Times New Roman"/>
          <w:kern w:val="0"/>
          <w14:ligatures w14:val="none"/>
        </w:rPr>
        <w:t>Notice of Advice Letter</w:t>
      </w:r>
      <w:r w:rsidR="004C5DEA">
        <w:rPr>
          <w:rFonts w:ascii="Palatino Linotype" w:hAnsi="Palatino Linotype" w:eastAsia="Palatino Linotype" w:cs="Times New Roman"/>
          <w:kern w:val="0"/>
          <w14:ligatures w14:val="none"/>
        </w:rPr>
        <w:t>s</w:t>
      </w:r>
      <w:r w:rsidRPr="000C6FDB" w:rsidR="004C5DEA">
        <w:rPr>
          <w:rFonts w:ascii="Palatino Linotype" w:hAnsi="Palatino Linotype" w:eastAsia="Palatino Linotype" w:cs="Times New Roman"/>
          <w:kern w:val="0"/>
          <w14:ligatures w14:val="none"/>
        </w:rPr>
        <w:t xml:space="preserve"> </w:t>
      </w:r>
      <w:r w:rsidR="004C5DEA">
        <w:rPr>
          <w:rFonts w:ascii="Palatino Linotype" w:hAnsi="Palatino Linotype" w:eastAsia="Palatino Linotype" w:cs="Times New Roman"/>
          <w:kern w:val="0"/>
          <w14:ligatures w14:val="none"/>
        </w:rPr>
        <w:t>6645-G</w:t>
      </w:r>
      <w:r w:rsidRPr="000C6FDB" w:rsidR="004C5DEA">
        <w:rPr>
          <w:rFonts w:ascii="Palatino Linotype" w:hAnsi="Palatino Linotype" w:eastAsia="Palatino Linotype" w:cs="Times New Roman"/>
          <w:kern w:val="0"/>
          <w14:ligatures w14:val="none"/>
        </w:rPr>
        <w:t xml:space="preserve"> </w:t>
      </w:r>
      <w:r w:rsidR="004C5DEA">
        <w:rPr>
          <w:rFonts w:ascii="Palatino Linotype" w:hAnsi="Palatino Linotype" w:eastAsia="Palatino Linotype" w:cs="Times New Roman"/>
          <w:kern w:val="0"/>
          <w14:ligatures w14:val="none"/>
        </w:rPr>
        <w:t>and 6646-G</w:t>
      </w:r>
      <w:r w:rsidRPr="000C6FDB" w:rsidR="004C5DEA">
        <w:rPr>
          <w:rFonts w:ascii="Palatino Linotype" w:hAnsi="Palatino Linotype" w:eastAsia="Palatino Linotype" w:cs="Times New Roman"/>
          <w:kern w:val="0"/>
          <w14:ligatures w14:val="none"/>
        </w:rPr>
        <w:t xml:space="preserve"> w</w:t>
      </w:r>
      <w:r w:rsidR="004C5DEA">
        <w:rPr>
          <w:rFonts w:ascii="Palatino Linotype" w:hAnsi="Palatino Linotype" w:eastAsia="Palatino Linotype" w:cs="Times New Roman"/>
          <w:kern w:val="0"/>
          <w14:ligatures w14:val="none"/>
        </w:rPr>
        <w:t>ere</w:t>
      </w:r>
      <w:r w:rsidRPr="000C6FDB" w:rsidR="004C5DEA">
        <w:rPr>
          <w:rFonts w:ascii="Palatino Linotype" w:hAnsi="Palatino Linotype" w:eastAsia="Palatino Linotype" w:cs="Times New Roman"/>
          <w:kern w:val="0"/>
          <w14:ligatures w14:val="none"/>
        </w:rPr>
        <w:t xml:space="preserve"> made by publication on the Commission’s Daily Calendar o</w:t>
      </w:r>
      <w:r w:rsidRPr="00B375B5" w:rsidR="004C5DEA">
        <w:rPr>
          <w:rFonts w:ascii="Palatino Linotype" w:hAnsi="Palatino Linotype" w:eastAsia="Palatino Linotype" w:cs="Times New Roman"/>
          <w:color w:val="000000" w:themeColor="text1"/>
          <w:kern w:val="0"/>
          <w14:ligatures w14:val="none"/>
        </w:rPr>
        <w:t xml:space="preserve">n </w:t>
      </w:r>
      <w:r w:rsidRPr="00B375B5" w:rsidR="00B375B5">
        <w:rPr>
          <w:rFonts w:ascii="Palatino Linotype" w:hAnsi="Palatino Linotype" w:eastAsia="Palatino Linotype" w:cs="Times New Roman"/>
          <w:color w:val="000000" w:themeColor="text1"/>
          <w:kern w:val="0"/>
          <w14:ligatures w14:val="none"/>
        </w:rPr>
        <w:t xml:space="preserve">June 8, </w:t>
      </w:r>
      <w:r w:rsidR="004C5DEA">
        <w:rPr>
          <w:rFonts w:ascii="Palatino Linotype" w:hAnsi="Palatino Linotype" w:eastAsia="Palatino Linotype" w:cs="Times New Roman"/>
          <w:kern w:val="0"/>
          <w14:ligatures w14:val="none"/>
        </w:rPr>
        <w:t>2026</w:t>
      </w:r>
      <w:r w:rsidRPr="000C6FDB" w:rsidR="004C5DEA">
        <w:rPr>
          <w:rFonts w:ascii="Palatino Linotype" w:hAnsi="Palatino Linotype" w:eastAsia="Palatino Linotype" w:cs="Times New Roman"/>
          <w:kern w:val="0"/>
          <w14:ligatures w14:val="none"/>
        </w:rPr>
        <w:t xml:space="preserve">. </w:t>
      </w:r>
      <w:r w:rsidR="004C5DEA">
        <w:rPr>
          <w:rFonts w:ascii="Palatino Linotype" w:hAnsi="Palatino Linotype"/>
          <w:color w:val="000000" w:themeColor="text1"/>
        </w:rPr>
        <w:t>SoCalGas</w:t>
      </w:r>
      <w:r w:rsidRPr="00F0784E">
        <w:rPr>
          <w:rFonts w:ascii="Palatino Linotype" w:hAnsi="Palatino Linotype" w:eastAsia="Palatino Linotype" w:cs="Times New Roman"/>
          <w:color w:val="000000" w:themeColor="text1"/>
          <w:kern w:val="0"/>
          <w14:ligatures w14:val="none"/>
        </w:rPr>
        <w:t xml:space="preserve"> states that copies of the Advice Letters were mailed and distributed in accordance with Section 4 of General Order 96-B.</w:t>
      </w:r>
      <w:r w:rsidR="00F0784E">
        <w:rPr>
          <w:rStyle w:val="FootnoteReference"/>
          <w:rFonts w:ascii="Palatino Linotype" w:hAnsi="Palatino Linotype" w:eastAsia="Palatino Linotype" w:cs="Times New Roman"/>
          <w:color w:val="000000" w:themeColor="text1"/>
          <w:kern w:val="0"/>
          <w14:ligatures w14:val="none"/>
        </w:rPr>
        <w:footnoteReference w:id="69"/>
      </w:r>
    </w:p>
    <w:p w:rsidRPr="001942D0" w:rsidR="00AF74D5" w:rsidP="00F97978" w:rsidRDefault="00AF74D5" w14:paraId="408FBCEB" w14:textId="77777777">
      <w:pPr>
        <w:spacing w:after="0" w:line="276" w:lineRule="auto"/>
        <w:rPr>
          <w:rFonts w:ascii="Palatino Linotype" w:hAnsi="Palatino Linotype" w:eastAsia="Palatino Linotype" w:cs="Times New Roman"/>
          <w:kern w:val="0"/>
          <w14:ligatures w14:val="none"/>
        </w:rPr>
      </w:pPr>
    </w:p>
    <w:p w:rsidR="00A76F4A" w:rsidP="00F97978" w:rsidRDefault="00A76F4A" w14:paraId="3DC7474D" w14:textId="77777777">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F97978" w:rsidRDefault="00E7721E" w14:paraId="7EEC86B5" w14:textId="65F35360">
      <w:pPr>
        <w:spacing w:after="0" w:line="276" w:lineRule="auto"/>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Advice Letter</w:t>
      </w:r>
      <w:r w:rsidR="00435B1E">
        <w:rPr>
          <w:rFonts w:ascii="Palatino Linotype" w:hAnsi="Palatino Linotype" w:eastAsia="Palatino Linotype" w:cs="Times New Roman"/>
          <w:kern w:val="0"/>
          <w14:ligatures w14:val="none"/>
        </w:rPr>
        <w:t>s</w:t>
      </w:r>
      <w:r>
        <w:rPr>
          <w:rFonts w:ascii="Palatino Linotype" w:hAnsi="Palatino Linotype" w:eastAsia="Palatino Linotype" w:cs="Times New Roman"/>
          <w:kern w:val="0"/>
          <w14:ligatures w14:val="none"/>
        </w:rPr>
        <w:t xml:space="preserve"> </w:t>
      </w:r>
      <w:r w:rsidR="00003809">
        <w:rPr>
          <w:rFonts w:ascii="Palatino Linotype" w:hAnsi="Palatino Linotype" w:eastAsia="Palatino Linotype" w:cs="Times New Roman"/>
          <w:kern w:val="0"/>
          <w14:ligatures w14:val="none"/>
        </w:rPr>
        <w:t>6495</w:t>
      </w:r>
      <w:r>
        <w:rPr>
          <w:rFonts w:ascii="Palatino Linotype" w:hAnsi="Palatino Linotype" w:eastAsia="Palatino Linotype" w:cs="Times New Roman"/>
          <w:kern w:val="0"/>
          <w14:ligatures w14:val="none"/>
        </w:rPr>
        <w:t>-G</w:t>
      </w:r>
      <w:r w:rsidRPr="23DEFD8B" w:rsidR="4909EBF9">
        <w:rPr>
          <w:rFonts w:ascii="Palatino Linotype" w:hAnsi="Palatino Linotype" w:eastAsia="Palatino Linotype" w:cs="Times New Roman"/>
        </w:rPr>
        <w:t>-A</w:t>
      </w:r>
      <w:r w:rsidRPr="23DEFD8B" w:rsidR="004C5DEA">
        <w:rPr>
          <w:rFonts w:ascii="Palatino Linotype" w:hAnsi="Palatino Linotype" w:eastAsia="Palatino Linotype" w:cs="Times New Roman"/>
        </w:rPr>
        <w:t>,</w:t>
      </w:r>
      <w:r w:rsidRPr="67BBB69C" w:rsidR="004C5DEA">
        <w:rPr>
          <w:rFonts w:ascii="Palatino Linotype" w:hAnsi="Palatino Linotype" w:eastAsia="Palatino Linotype" w:cs="Times New Roman"/>
        </w:rPr>
        <w:t xml:space="preserve"> </w:t>
      </w:r>
      <w:r w:rsidRPr="67BBB69C" w:rsidR="00003809">
        <w:rPr>
          <w:rFonts w:ascii="Palatino Linotype" w:hAnsi="Palatino Linotype" w:eastAsia="Palatino Linotype" w:cs="Times New Roman"/>
        </w:rPr>
        <w:t>6496-G</w:t>
      </w:r>
      <w:r w:rsidRPr="23DEFD8B" w:rsidR="01D55856">
        <w:rPr>
          <w:rFonts w:ascii="Palatino Linotype" w:hAnsi="Palatino Linotype" w:eastAsia="Palatino Linotype" w:cs="Times New Roman"/>
        </w:rPr>
        <w:t>-A</w:t>
      </w:r>
      <w:r w:rsidRPr="67BBB69C" w:rsidR="004C5DEA">
        <w:rPr>
          <w:rFonts w:ascii="Palatino Linotype" w:hAnsi="Palatino Linotype" w:eastAsia="Palatino Linotype" w:cs="Times New Roman"/>
        </w:rPr>
        <w:t>, 6645-G, and 6646-G</w:t>
      </w:r>
      <w:r w:rsidRPr="67BBB69C" w:rsidR="00003809">
        <w:rPr>
          <w:rFonts w:ascii="Palatino Linotype" w:hAnsi="Palatino Linotype" w:eastAsia="Palatino Linotype" w:cs="Times New Roman"/>
        </w:rPr>
        <w:t xml:space="preserve"> </w:t>
      </w:r>
      <w:r w:rsidRPr="67BBB69C">
        <w:rPr>
          <w:rFonts w:ascii="Palatino Linotype" w:hAnsi="Palatino Linotype" w:eastAsia="Palatino Linotype" w:cs="Times New Roman"/>
        </w:rPr>
        <w:t>w</w:t>
      </w:r>
      <w:r w:rsidRPr="67BBB69C" w:rsidR="00003809">
        <w:rPr>
          <w:rFonts w:ascii="Palatino Linotype" w:hAnsi="Palatino Linotype" w:eastAsia="Palatino Linotype" w:cs="Times New Roman"/>
        </w:rPr>
        <w:t>ere</w:t>
      </w:r>
      <w:r w:rsidRPr="67BBB69C">
        <w:rPr>
          <w:rFonts w:ascii="Palatino Linotype" w:hAnsi="Palatino Linotype" w:eastAsia="Palatino Linotype" w:cs="Times New Roman"/>
        </w:rPr>
        <w:t xml:space="preserve"> </w:t>
      </w:r>
      <w:r w:rsidRPr="67BBB69C" w:rsidR="00003809">
        <w:rPr>
          <w:rFonts w:ascii="Palatino Linotype" w:hAnsi="Palatino Linotype" w:eastAsia="Palatino Linotype" w:cs="Times New Roman"/>
        </w:rPr>
        <w:t>not protested.</w:t>
      </w:r>
    </w:p>
    <w:p w:rsidRPr="001942D0" w:rsidR="00AF74D5" w:rsidP="00F97978" w:rsidRDefault="00AF74D5" w14:paraId="52EFDF24" w14:textId="77777777">
      <w:pPr>
        <w:spacing w:after="0" w:line="276" w:lineRule="auto"/>
        <w:rPr>
          <w:rFonts w:ascii="Palatino Linotype" w:hAnsi="Palatino Linotype" w:eastAsia="Palatino Linotype" w:cs="Times New Roman"/>
          <w:kern w:val="0"/>
          <w14:ligatures w14:val="none"/>
        </w:rPr>
      </w:pPr>
    </w:p>
    <w:p w:rsidRPr="001942D0" w:rsidR="00A76F4A" w:rsidP="00F97978" w:rsidRDefault="00A76F4A" w14:paraId="52F8DB71" w14:textId="77777777">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Pr="008F6505" w:rsidR="008F6505" w:rsidP="008F6505" w:rsidRDefault="008F6505" w14:paraId="63BE05DC" w14:textId="246C6B07">
      <w:pPr>
        <w:pStyle w:val="10sp0"/>
        <w:spacing w:before="240" w:line="276" w:lineRule="auto"/>
        <w:rPr>
          <w:rFonts w:ascii="Palatino Linotype" w:hAnsi="Palatino Linotype"/>
          <w:b/>
          <w:bCs/>
        </w:rPr>
      </w:pPr>
      <w:r w:rsidRPr="00757A1C">
        <w:rPr>
          <w:rFonts w:ascii="Palatino Linotype" w:hAnsi="Palatino Linotype"/>
          <w:b/>
          <w:bCs/>
        </w:rPr>
        <w:t>Compliance Assessment of AL 6495-G-A - 2024 Gas RD&amp;D Plan</w:t>
      </w:r>
      <w:r w:rsidRPr="249C354D">
        <w:rPr>
          <w:rFonts w:ascii="Palatino Linotype" w:hAnsi="Palatino Linotype"/>
          <w:b/>
          <w:bCs/>
        </w:rPr>
        <w:t xml:space="preserve"> </w:t>
      </w:r>
    </w:p>
    <w:p w:rsidR="006F222D" w:rsidP="00F97978" w:rsidRDefault="006F222D" w14:paraId="36651FE6" w14:textId="45A0EBDD">
      <w:pPr>
        <w:pStyle w:val="10sp0"/>
        <w:spacing w:after="0" w:line="276" w:lineRule="auto"/>
        <w:rPr>
          <w:rFonts w:ascii="Palatino Linotype" w:hAnsi="Palatino Linotype"/>
        </w:rPr>
      </w:pPr>
      <w:r w:rsidRPr="006F222D">
        <w:rPr>
          <w:rFonts w:ascii="Palatino Linotype" w:hAnsi="Palatino Linotype"/>
        </w:rPr>
        <w:t xml:space="preserve">Energy Division staff </w:t>
      </w:r>
      <w:proofErr w:type="gramStart"/>
      <w:r w:rsidRPr="006F222D">
        <w:rPr>
          <w:rFonts w:ascii="Palatino Linotype" w:hAnsi="Palatino Linotype"/>
        </w:rPr>
        <w:t>conducted an assessment of</w:t>
      </w:r>
      <w:proofErr w:type="gramEnd"/>
      <w:r w:rsidRPr="006F222D">
        <w:rPr>
          <w:rFonts w:ascii="Palatino Linotype" w:hAnsi="Palatino Linotype"/>
        </w:rPr>
        <w:t xml:space="preserve"> </w:t>
      </w:r>
      <w:r>
        <w:rPr>
          <w:rFonts w:ascii="Palatino Linotype" w:hAnsi="Palatino Linotype"/>
        </w:rPr>
        <w:t>SoCalGas’</w:t>
      </w:r>
      <w:r w:rsidRPr="006F222D">
        <w:rPr>
          <w:rFonts w:ascii="Palatino Linotype" w:hAnsi="Palatino Linotype"/>
        </w:rPr>
        <w:t xml:space="preserve"> </w:t>
      </w:r>
      <w:r>
        <w:rPr>
          <w:rFonts w:ascii="Palatino Linotype" w:hAnsi="Palatino Linotype"/>
        </w:rPr>
        <w:t>AL 6495-G-A</w:t>
      </w:r>
      <w:r w:rsidRPr="008F6505">
        <w:rPr>
          <w:rFonts w:ascii="Palatino Linotype" w:hAnsi="Palatino Linotype"/>
        </w:rPr>
        <w:t xml:space="preserve"> </w:t>
      </w:r>
      <w:r w:rsidRPr="006F222D">
        <w:rPr>
          <w:rFonts w:ascii="Palatino Linotype" w:hAnsi="Palatino Linotype"/>
        </w:rPr>
        <w:t xml:space="preserve">proposing its 2024 Gas RD&amp;D Investment Plan. Staff assessed </w:t>
      </w:r>
      <w:r>
        <w:rPr>
          <w:rFonts w:ascii="Palatino Linotype" w:hAnsi="Palatino Linotype"/>
        </w:rPr>
        <w:t>SoCalGas’</w:t>
      </w:r>
      <w:r w:rsidRPr="006F222D">
        <w:rPr>
          <w:rFonts w:ascii="Palatino Linotype" w:hAnsi="Palatino Linotype"/>
        </w:rPr>
        <w:t xml:space="preserve"> 2024 Plan based on consistency with requirements and previous Commission guidance. The Commission finds that in some areas </w:t>
      </w:r>
      <w:r>
        <w:rPr>
          <w:rFonts w:ascii="Palatino Linotype" w:hAnsi="Palatino Linotype"/>
        </w:rPr>
        <w:t>SoCalGas’</w:t>
      </w:r>
      <w:r w:rsidRPr="006F222D">
        <w:rPr>
          <w:rFonts w:ascii="Palatino Linotype" w:hAnsi="Palatino Linotype"/>
        </w:rPr>
        <w:t xml:space="preserve"> </w:t>
      </w:r>
      <w:r>
        <w:rPr>
          <w:rFonts w:ascii="Palatino Linotype" w:hAnsi="Palatino Linotype"/>
        </w:rPr>
        <w:t>AL 6495-G-A</w:t>
      </w:r>
      <w:r w:rsidRPr="006F222D">
        <w:rPr>
          <w:rFonts w:ascii="Palatino Linotype" w:hAnsi="Palatino Linotype"/>
        </w:rPr>
        <w:t xml:space="preserve"> is not fully compliant with the Commission’s previously adopted requirements as described below. See also Appendix </w:t>
      </w:r>
      <w:r w:rsidR="004001BD">
        <w:rPr>
          <w:rFonts w:ascii="Palatino Linotype" w:hAnsi="Palatino Linotype"/>
        </w:rPr>
        <w:t>G</w:t>
      </w:r>
      <w:r w:rsidRPr="006F222D">
        <w:rPr>
          <w:rFonts w:ascii="Palatino Linotype" w:hAnsi="Palatino Linotype"/>
        </w:rPr>
        <w:t xml:space="preserve"> for additional details:</w:t>
      </w:r>
    </w:p>
    <w:p w:rsidRPr="008D579D" w:rsidR="00606A85" w:rsidP="00477204" w:rsidRDefault="008B481D" w14:paraId="23E01F87" w14:textId="79FC69BC">
      <w:pPr>
        <w:pStyle w:val="10sp0"/>
        <w:numPr>
          <w:ilvl w:val="0"/>
          <w:numId w:val="17"/>
        </w:numPr>
        <w:spacing w:after="0" w:line="276" w:lineRule="auto"/>
        <w:rPr>
          <w:rFonts w:ascii="Palatino Linotype" w:hAnsi="Palatino Linotype"/>
        </w:rPr>
      </w:pPr>
      <w:r w:rsidRPr="693F203E">
        <w:rPr>
          <w:rFonts w:ascii="Palatino Linotype" w:hAnsi="Palatino Linotype"/>
        </w:rPr>
        <w:lastRenderedPageBreak/>
        <w:t>SoCalG</w:t>
      </w:r>
      <w:r w:rsidRPr="00E74B88">
        <w:rPr>
          <w:rFonts w:ascii="Palatino Linotype" w:hAnsi="Palatino Linotype"/>
          <w:color w:val="000000" w:themeColor="text1"/>
        </w:rPr>
        <w:t xml:space="preserve">as </w:t>
      </w:r>
      <w:r w:rsidRPr="00E74B88" w:rsidR="001E2877">
        <w:rPr>
          <w:rFonts w:ascii="Palatino Linotype" w:hAnsi="Palatino Linotype"/>
          <w:color w:val="000000" w:themeColor="text1"/>
        </w:rPr>
        <w:t xml:space="preserve">must </w:t>
      </w:r>
      <w:r w:rsidRPr="693F203E">
        <w:rPr>
          <w:rFonts w:ascii="Palatino Linotype" w:hAnsi="Palatino Linotype"/>
        </w:rPr>
        <w:t>discuss the submittal of its 2023 Gas RD&amp;D Annual Report in its 2024 Gas RD&amp;D Annual Plan</w:t>
      </w:r>
      <w:r w:rsidRPr="6F7321DE" w:rsidR="62CF6E4B">
        <w:rPr>
          <w:rFonts w:ascii="Palatino Linotype" w:hAnsi="Palatino Linotype"/>
        </w:rPr>
        <w:t xml:space="preserve">, </w:t>
      </w:r>
      <w:r w:rsidRPr="6F7321DE" w:rsidR="62CF6E4B">
        <w:rPr>
          <w:rFonts w:ascii="Palatino Linotype" w:hAnsi="Palatino Linotype" w:eastAsia="Palatino Linotype" w:cs="Palatino Linotype"/>
          <w:color w:val="000000" w:themeColor="text1"/>
          <w:szCs w:val="24"/>
        </w:rPr>
        <w:t xml:space="preserve">given its 2024 Gas RD&amp;D Annual Report </w:t>
      </w:r>
      <w:proofErr w:type="gramStart"/>
      <w:r w:rsidRPr="6F7321DE" w:rsidR="62CF6E4B">
        <w:rPr>
          <w:rFonts w:ascii="Palatino Linotype" w:hAnsi="Palatino Linotype" w:eastAsia="Palatino Linotype" w:cs="Palatino Linotype"/>
          <w:color w:val="000000" w:themeColor="text1"/>
          <w:szCs w:val="24"/>
        </w:rPr>
        <w:t>submittal is</w:t>
      </w:r>
      <w:proofErr w:type="gramEnd"/>
      <w:r w:rsidRPr="009B36D3" w:rsidR="62CF6E4B">
        <w:rPr>
          <w:rFonts w:ascii="Palatino Linotype" w:hAnsi="Palatino Linotype"/>
          <w:color w:val="000000" w:themeColor="text1"/>
        </w:rPr>
        <w:t xml:space="preserve"> correlated with its </w:t>
      </w:r>
      <w:r w:rsidRPr="6F7321DE" w:rsidR="62CF6E4B">
        <w:rPr>
          <w:rFonts w:ascii="Palatino Linotype" w:hAnsi="Palatino Linotype" w:eastAsia="Palatino Linotype" w:cs="Palatino Linotype"/>
          <w:color w:val="000000" w:themeColor="text1"/>
          <w:szCs w:val="24"/>
        </w:rPr>
        <w:t>2025</w:t>
      </w:r>
      <w:r w:rsidRPr="009B36D3" w:rsidR="62CF6E4B">
        <w:rPr>
          <w:rFonts w:ascii="Palatino Linotype" w:hAnsi="Palatino Linotype"/>
          <w:color w:val="000000" w:themeColor="text1"/>
        </w:rPr>
        <w:t xml:space="preserve"> Gas RD&amp;D Annual Plan.</w:t>
      </w:r>
      <w:r w:rsidRPr="009B36D3" w:rsidR="00385610">
        <w:rPr>
          <w:rStyle w:val="FootnoteReference"/>
          <w:rFonts w:ascii="Palatino Linotype" w:hAnsi="Palatino Linotype"/>
          <w:color w:val="000000" w:themeColor="text1"/>
        </w:rPr>
        <w:footnoteReference w:id="70"/>
      </w:r>
    </w:p>
    <w:p w:rsidRPr="00803F65" w:rsidR="00803F65" w:rsidP="00477204" w:rsidRDefault="002E0173" w14:paraId="173097DB" w14:textId="31596ACE">
      <w:pPr>
        <w:pStyle w:val="10sp0"/>
        <w:numPr>
          <w:ilvl w:val="0"/>
          <w:numId w:val="17"/>
        </w:numPr>
        <w:spacing w:after="0" w:line="276" w:lineRule="auto"/>
        <w:rPr>
          <w:rFonts w:ascii="Palatino Linotype" w:hAnsi="Palatino Linotype"/>
          <w:color w:val="000000" w:themeColor="text1"/>
          <w:szCs w:val="24"/>
        </w:rPr>
      </w:pPr>
      <w:r w:rsidRPr="693F203E">
        <w:rPr>
          <w:rFonts w:ascii="Palatino Linotype" w:hAnsi="Palatino Linotype"/>
        </w:rPr>
        <w:t>SoCalGas does not demonstrate alignment with CPUC proceedings</w:t>
      </w:r>
      <w:r w:rsidR="001112C6">
        <w:rPr>
          <w:rFonts w:ascii="Palatino Linotype" w:hAnsi="Palatino Linotype"/>
        </w:rPr>
        <w:t xml:space="preserve"> </w:t>
      </w:r>
      <w:r w:rsidRPr="693F203E">
        <w:rPr>
          <w:rFonts w:ascii="Palatino Linotype" w:hAnsi="Palatino Linotype"/>
        </w:rPr>
        <w:t>and ratepayer benefit</w:t>
      </w:r>
      <w:r w:rsidR="004871B7">
        <w:rPr>
          <w:rStyle w:val="FootnoteReference"/>
          <w:rFonts w:ascii="Palatino Linotype" w:hAnsi="Palatino Linotype"/>
        </w:rPr>
        <w:footnoteReference w:id="71"/>
      </w:r>
      <w:r w:rsidRPr="693F203E">
        <w:rPr>
          <w:rFonts w:ascii="Palatino Linotype" w:hAnsi="Palatino Linotype"/>
        </w:rPr>
        <w:t xml:space="preserve"> </w:t>
      </w:r>
      <w:r w:rsidRPr="693F203E" w:rsidR="002E2FEC">
        <w:rPr>
          <w:rFonts w:ascii="Palatino Linotype" w:hAnsi="Palatino Linotype"/>
        </w:rPr>
        <w:t>where</w:t>
      </w:r>
      <w:r w:rsidR="00803F65">
        <w:rPr>
          <w:rFonts w:ascii="Palatino Linotype" w:hAnsi="Palatino Linotype"/>
        </w:rPr>
        <w:t>:</w:t>
      </w:r>
    </w:p>
    <w:p w:rsidRPr="00FA7A8A" w:rsidR="00342D62" w:rsidP="00477204" w:rsidRDefault="00803F65" w14:paraId="15E79AE3" w14:textId="11EA2485">
      <w:pPr>
        <w:pStyle w:val="10sp0"/>
        <w:numPr>
          <w:ilvl w:val="1"/>
          <w:numId w:val="17"/>
        </w:numPr>
        <w:spacing w:after="0" w:line="276" w:lineRule="auto"/>
        <w:rPr>
          <w:rFonts w:ascii="Palatino Linotype" w:hAnsi="Palatino Linotype"/>
          <w:color w:val="000000" w:themeColor="text1"/>
          <w:szCs w:val="24"/>
        </w:rPr>
      </w:pPr>
      <w:r>
        <w:rPr>
          <w:rFonts w:ascii="Palatino Linotype" w:hAnsi="Palatino Linotype"/>
          <w:color w:val="000000" w:themeColor="text1"/>
        </w:rPr>
        <w:t>R</w:t>
      </w:r>
      <w:r w:rsidRPr="693F203E" w:rsidR="00657835">
        <w:rPr>
          <w:rFonts w:ascii="Palatino Linotype" w:hAnsi="Palatino Linotype"/>
          <w:color w:val="000000" w:themeColor="text1"/>
        </w:rPr>
        <w:t>equest</w:t>
      </w:r>
      <w:r w:rsidRPr="693F203E" w:rsidR="002E2FEC">
        <w:rPr>
          <w:rFonts w:ascii="Palatino Linotype" w:hAnsi="Palatino Linotype"/>
          <w:color w:val="000000" w:themeColor="text1"/>
        </w:rPr>
        <w:t>ing</w:t>
      </w:r>
      <w:r w:rsidRPr="693F203E" w:rsidR="00657835">
        <w:rPr>
          <w:rFonts w:ascii="Palatino Linotype" w:hAnsi="Palatino Linotype"/>
          <w:color w:val="000000" w:themeColor="text1"/>
        </w:rPr>
        <w:t xml:space="preserve"> both new and further funding for hydrogen-related RD&amp;D projects</w:t>
      </w:r>
      <w:r w:rsidRPr="00FA7A8A" w:rsidR="00C672B8">
        <w:rPr>
          <w:rFonts w:ascii="Palatino Linotype" w:hAnsi="Palatino Linotype"/>
          <w:color w:val="000000" w:themeColor="text1"/>
        </w:rPr>
        <w:t>.</w:t>
      </w:r>
      <w:r w:rsidRPr="693F203E" w:rsidR="002110BF">
        <w:rPr>
          <w:rFonts w:ascii="Palatino Linotype" w:hAnsi="Palatino Linotype"/>
          <w:color w:val="000000" w:themeColor="text1"/>
        </w:rPr>
        <w:t xml:space="preserve"> </w:t>
      </w:r>
      <w:r w:rsidRPr="00FA7A8A" w:rsidR="00AF2B7B">
        <w:rPr>
          <w:rFonts w:ascii="Palatino Linotype" w:hAnsi="Palatino Linotype"/>
          <w:color w:val="000000" w:themeColor="text1"/>
        </w:rPr>
        <w:t xml:space="preserve">Under the following Initiatives, </w:t>
      </w:r>
      <w:r w:rsidRPr="00E74B88" w:rsidR="00773CA4">
        <w:rPr>
          <w:rFonts w:ascii="Palatino Linotype" w:hAnsi="Palatino Linotype"/>
          <w:color w:val="000000" w:themeColor="text1"/>
        </w:rPr>
        <w:t xml:space="preserve">SoCalGas </w:t>
      </w:r>
      <w:r w:rsidRPr="00E74B88" w:rsidR="008822B5">
        <w:rPr>
          <w:rFonts w:ascii="Palatino Linotype" w:hAnsi="Palatino Linotype"/>
          <w:color w:val="000000" w:themeColor="text1"/>
        </w:rPr>
        <w:t>must</w:t>
      </w:r>
      <w:r w:rsidRPr="00E74B88" w:rsidR="00773CA4">
        <w:rPr>
          <w:rFonts w:ascii="Palatino Linotype" w:hAnsi="Palatino Linotype"/>
          <w:color w:val="000000" w:themeColor="text1"/>
        </w:rPr>
        <w:t xml:space="preserve"> reallocate </w:t>
      </w:r>
      <w:r w:rsidRPr="00FA7A8A" w:rsidR="00773CA4">
        <w:rPr>
          <w:rFonts w:ascii="Palatino Linotype" w:hAnsi="Palatino Linotype"/>
          <w:color w:val="000000" w:themeColor="text1"/>
        </w:rPr>
        <w:t xml:space="preserve">funds proposed for hydrogen projects </w:t>
      </w:r>
      <w:r w:rsidR="000271DA">
        <w:rPr>
          <w:rFonts w:ascii="Palatino Linotype" w:hAnsi="Palatino Linotype"/>
          <w:color w:val="000000" w:themeColor="text1"/>
        </w:rPr>
        <w:t>for</w:t>
      </w:r>
      <w:r w:rsidRPr="00FA7A8A" w:rsidR="00773CA4">
        <w:rPr>
          <w:rFonts w:ascii="Palatino Linotype" w:hAnsi="Palatino Linotype"/>
          <w:color w:val="000000" w:themeColor="text1"/>
        </w:rPr>
        <w:t xml:space="preserve"> eligible purposes</w:t>
      </w:r>
      <w:r w:rsidRPr="00FA7A8A" w:rsidR="00AF2B7B">
        <w:rPr>
          <w:rFonts w:ascii="Palatino Linotype" w:hAnsi="Palatino Linotype"/>
          <w:color w:val="000000" w:themeColor="text1"/>
        </w:rPr>
        <w:t>:</w:t>
      </w:r>
    </w:p>
    <w:p w:rsidRPr="00FA7A8A" w:rsidR="00342D62" w:rsidP="00477204" w:rsidRDefault="00342D62" w14:paraId="7F6A5964" w14:textId="77777777">
      <w:pPr>
        <w:pStyle w:val="10sp0"/>
        <w:numPr>
          <w:ilvl w:val="2"/>
          <w:numId w:val="17"/>
        </w:numPr>
        <w:spacing w:after="0" w:line="276" w:lineRule="auto"/>
        <w:rPr>
          <w:rFonts w:ascii="Palatino Linotype" w:hAnsi="Palatino Linotype"/>
          <w:i/>
          <w:iCs/>
          <w:color w:val="000000" w:themeColor="text1"/>
          <w:szCs w:val="24"/>
        </w:rPr>
      </w:pPr>
      <w:r w:rsidRPr="00FA7A8A">
        <w:rPr>
          <w:rFonts w:ascii="Palatino Linotype" w:hAnsi="Palatino Linotype"/>
          <w:bCs/>
          <w:i/>
          <w:iCs/>
          <w:color w:val="000000" w:themeColor="text1"/>
          <w:szCs w:val="24"/>
        </w:rPr>
        <w:t xml:space="preserve">Environmental &amp; Safety, </w:t>
      </w:r>
    </w:p>
    <w:p w:rsidRPr="00FB00CB" w:rsidR="00342D62" w:rsidP="00477204" w:rsidRDefault="00342D62" w14:paraId="12920D04" w14:textId="77777777">
      <w:pPr>
        <w:pStyle w:val="10sp0"/>
        <w:numPr>
          <w:ilvl w:val="2"/>
          <w:numId w:val="17"/>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t xml:space="preserve">Operations Technology, </w:t>
      </w:r>
    </w:p>
    <w:p w:rsidRPr="00FB00CB" w:rsidR="00342D62" w:rsidP="00477204" w:rsidRDefault="00342D62" w14:paraId="0521DB29" w14:textId="77777777">
      <w:pPr>
        <w:pStyle w:val="10sp0"/>
        <w:numPr>
          <w:ilvl w:val="2"/>
          <w:numId w:val="17"/>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t xml:space="preserve">Gas &amp; Energy Storage, </w:t>
      </w:r>
    </w:p>
    <w:p w:rsidRPr="00FB00CB" w:rsidR="00342D62" w:rsidP="00477204" w:rsidRDefault="00342D62" w14:paraId="289AD56F" w14:textId="77777777">
      <w:pPr>
        <w:pStyle w:val="10sp0"/>
        <w:numPr>
          <w:ilvl w:val="2"/>
          <w:numId w:val="17"/>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t xml:space="preserve">Low Carbon Fuel Technologies, </w:t>
      </w:r>
    </w:p>
    <w:p w:rsidRPr="00FB00CB" w:rsidR="00342D62" w:rsidP="00477204" w:rsidRDefault="00342D62" w14:paraId="704B6E34" w14:textId="4D888A38">
      <w:pPr>
        <w:pStyle w:val="10sp0"/>
        <w:numPr>
          <w:ilvl w:val="2"/>
          <w:numId w:val="17"/>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t xml:space="preserve">Low Carbon Fuel Integration, </w:t>
      </w:r>
      <w:r w:rsidRPr="00FB00CB">
        <w:rPr>
          <w:rFonts w:ascii="Palatino Linotype" w:hAnsi="Palatino Linotype"/>
          <w:bCs/>
          <w:color w:val="000000" w:themeColor="text1"/>
          <w:szCs w:val="24"/>
        </w:rPr>
        <w:t xml:space="preserve">and </w:t>
      </w:r>
    </w:p>
    <w:p w:rsidRPr="00E74B88" w:rsidR="00657835" w:rsidP="00477204" w:rsidRDefault="00342D62" w14:paraId="1977BBD3" w14:textId="1801F9EF">
      <w:pPr>
        <w:pStyle w:val="10sp0"/>
        <w:numPr>
          <w:ilvl w:val="2"/>
          <w:numId w:val="17"/>
        </w:numPr>
        <w:spacing w:after="0" w:line="276" w:lineRule="auto"/>
        <w:rPr>
          <w:rFonts w:ascii="Palatino Linotype" w:hAnsi="Palatino Linotype"/>
          <w:i/>
          <w:iCs/>
          <w:color w:val="000000" w:themeColor="text1"/>
          <w:szCs w:val="24"/>
        </w:rPr>
      </w:pPr>
      <w:r w:rsidRPr="00E74B88">
        <w:rPr>
          <w:rFonts w:ascii="Palatino Linotype" w:hAnsi="Palatino Linotype"/>
          <w:i/>
          <w:iCs/>
          <w:color w:val="000000" w:themeColor="text1"/>
        </w:rPr>
        <w:t>Energy Reliability &amp; Resilience.</w:t>
      </w:r>
      <w:r w:rsidRPr="00E74B88" w:rsidR="002302C9">
        <w:rPr>
          <w:rStyle w:val="FootnoteReference"/>
          <w:rFonts w:ascii="Palatino Linotype" w:hAnsi="Palatino Linotype"/>
          <w:color w:val="000000" w:themeColor="text1"/>
        </w:rPr>
        <w:footnoteReference w:id="72"/>
      </w:r>
    </w:p>
    <w:p w:rsidRPr="004F1A0A" w:rsidR="00803F65" w:rsidP="00477204" w:rsidRDefault="00803F65" w14:paraId="2E65EF11" w14:textId="46E7F770">
      <w:pPr>
        <w:pStyle w:val="10sp0"/>
        <w:numPr>
          <w:ilvl w:val="1"/>
          <w:numId w:val="17"/>
        </w:numPr>
        <w:spacing w:after="0" w:line="276" w:lineRule="auto"/>
        <w:rPr>
          <w:rFonts w:ascii="Palatino Linotype" w:hAnsi="Palatino Linotype"/>
          <w:color w:val="000000" w:themeColor="text1"/>
          <w:szCs w:val="24"/>
        </w:rPr>
      </w:pPr>
      <w:r w:rsidRPr="00E74B88">
        <w:rPr>
          <w:rFonts w:ascii="Palatino Linotype" w:hAnsi="Palatino Linotype"/>
          <w:color w:val="000000" w:themeColor="text1"/>
          <w:szCs w:val="24"/>
        </w:rPr>
        <w:t xml:space="preserve">Requesting funding for </w:t>
      </w:r>
      <w:r w:rsidRPr="00E74B88" w:rsidR="000B5223">
        <w:rPr>
          <w:rFonts w:ascii="Palatino Linotype" w:hAnsi="Palatino Linotype"/>
          <w:color w:val="000000" w:themeColor="text1"/>
          <w:szCs w:val="24"/>
        </w:rPr>
        <w:t xml:space="preserve">carbon capture </w:t>
      </w:r>
      <w:r w:rsidRPr="00E74B88" w:rsidR="00B15D5A">
        <w:rPr>
          <w:rFonts w:ascii="Palatino Linotype" w:hAnsi="Palatino Linotype"/>
          <w:color w:val="000000" w:themeColor="text1"/>
          <w:szCs w:val="24"/>
        </w:rPr>
        <w:t xml:space="preserve">activities </w:t>
      </w:r>
      <w:r w:rsidRPr="00E74B88" w:rsidR="00EE51C9">
        <w:rPr>
          <w:rFonts w:ascii="Palatino Linotype" w:hAnsi="Palatino Linotype"/>
          <w:color w:val="000000" w:themeColor="text1"/>
          <w:szCs w:val="24"/>
        </w:rPr>
        <w:t xml:space="preserve">under the “Integrating </w:t>
      </w:r>
      <w:r w:rsidRPr="004F1A0A" w:rsidR="00EE51C9">
        <w:rPr>
          <w:rFonts w:ascii="Palatino Linotype" w:hAnsi="Palatino Linotype"/>
          <w:color w:val="000000" w:themeColor="text1"/>
          <w:szCs w:val="24"/>
        </w:rPr>
        <w:t xml:space="preserve">carbon management </w:t>
      </w:r>
      <w:r w:rsidRPr="004F1A0A" w:rsidR="00132F25">
        <w:rPr>
          <w:rFonts w:ascii="Palatino Linotype" w:hAnsi="Palatino Linotype"/>
          <w:color w:val="000000" w:themeColor="text1"/>
          <w:szCs w:val="24"/>
        </w:rPr>
        <w:t>solutions</w:t>
      </w:r>
      <w:r w:rsidRPr="004F1A0A" w:rsidR="00EE51C9">
        <w:rPr>
          <w:rFonts w:ascii="Palatino Linotype" w:hAnsi="Palatino Linotype"/>
          <w:color w:val="000000" w:themeColor="text1"/>
          <w:szCs w:val="24"/>
        </w:rPr>
        <w:t>” Research Topic for</w:t>
      </w:r>
      <w:r w:rsidRPr="004F1A0A" w:rsidR="005B07AB">
        <w:rPr>
          <w:rFonts w:ascii="Palatino Linotype" w:hAnsi="Palatino Linotype"/>
          <w:color w:val="000000" w:themeColor="text1"/>
          <w:szCs w:val="24"/>
        </w:rPr>
        <w:t xml:space="preserve"> its </w:t>
      </w:r>
      <w:r w:rsidRPr="004F1A0A" w:rsidR="005B07AB">
        <w:rPr>
          <w:rFonts w:ascii="Palatino Linotype" w:hAnsi="Palatino Linotype"/>
          <w:i/>
          <w:iCs/>
          <w:color w:val="000000" w:themeColor="text1"/>
          <w:szCs w:val="24"/>
        </w:rPr>
        <w:t>Energy Reliability &amp; Resilience</w:t>
      </w:r>
      <w:r w:rsidRPr="004F1A0A" w:rsidR="005B07AB">
        <w:rPr>
          <w:rFonts w:ascii="Palatino Linotype" w:hAnsi="Palatino Linotype"/>
          <w:color w:val="000000" w:themeColor="text1"/>
          <w:szCs w:val="24"/>
        </w:rPr>
        <w:t xml:space="preserve"> Initiative</w:t>
      </w:r>
      <w:r w:rsidRPr="004F1A0A" w:rsidR="00E62854">
        <w:rPr>
          <w:rFonts w:ascii="Palatino Linotype" w:hAnsi="Palatino Linotype"/>
          <w:color w:val="000000" w:themeColor="text1"/>
        </w:rPr>
        <w:t>.</w:t>
      </w:r>
      <w:r w:rsidRPr="004F1A0A" w:rsidR="006E1109">
        <w:rPr>
          <w:rStyle w:val="FootnoteReference"/>
          <w:rFonts w:ascii="Palatino Linotype" w:hAnsi="Palatino Linotype"/>
          <w:color w:val="000000" w:themeColor="text1"/>
          <w:szCs w:val="24"/>
        </w:rPr>
        <w:footnoteReference w:id="73"/>
      </w:r>
      <w:r w:rsidRPr="004F1A0A" w:rsidR="006E1109">
        <w:rPr>
          <w:rFonts w:ascii="Palatino Linotype" w:hAnsi="Palatino Linotype"/>
          <w:color w:val="000000" w:themeColor="text1"/>
        </w:rPr>
        <w:t xml:space="preserve"> </w:t>
      </w:r>
      <w:r w:rsidRPr="004F1A0A" w:rsidR="00AE0002">
        <w:rPr>
          <w:rFonts w:ascii="Palatino Linotype" w:hAnsi="Palatino Linotype"/>
          <w:color w:val="000000" w:themeColor="text1"/>
        </w:rPr>
        <w:t xml:space="preserve">SoCalGas </w:t>
      </w:r>
      <w:r w:rsidRPr="004F1A0A" w:rsidR="008822B5">
        <w:rPr>
          <w:rFonts w:ascii="Palatino Linotype" w:hAnsi="Palatino Linotype"/>
          <w:color w:val="000000" w:themeColor="text1"/>
        </w:rPr>
        <w:t xml:space="preserve">must </w:t>
      </w:r>
      <w:r w:rsidRPr="004F1A0A" w:rsidR="00FD6C87">
        <w:rPr>
          <w:rFonts w:ascii="Palatino Linotype" w:hAnsi="Palatino Linotype"/>
          <w:color w:val="000000" w:themeColor="text1"/>
        </w:rPr>
        <w:t xml:space="preserve">provide further detail on </w:t>
      </w:r>
      <w:r w:rsidRPr="004F1A0A" w:rsidR="00AE0002">
        <w:rPr>
          <w:rFonts w:ascii="Palatino Linotype" w:hAnsi="Palatino Linotype"/>
          <w:color w:val="000000" w:themeColor="text1"/>
        </w:rPr>
        <w:t xml:space="preserve">this </w:t>
      </w:r>
      <w:r w:rsidRPr="004F1A0A" w:rsidR="00EE51C9">
        <w:rPr>
          <w:rFonts w:ascii="Palatino Linotype" w:hAnsi="Palatino Linotype"/>
          <w:color w:val="000000" w:themeColor="text1"/>
        </w:rPr>
        <w:t>Research Topic</w:t>
      </w:r>
      <w:r w:rsidRPr="004F1A0A" w:rsidR="00B7568D">
        <w:rPr>
          <w:rFonts w:ascii="Palatino Linotype" w:hAnsi="Palatino Linotype"/>
          <w:color w:val="000000" w:themeColor="text1"/>
        </w:rPr>
        <w:t xml:space="preserve"> </w:t>
      </w:r>
      <w:r w:rsidRPr="004F1A0A" w:rsidR="00B00F95">
        <w:rPr>
          <w:rFonts w:ascii="Palatino Linotype" w:hAnsi="Palatino Linotype"/>
          <w:color w:val="000000" w:themeColor="text1"/>
        </w:rPr>
        <w:t>as described below.</w:t>
      </w:r>
    </w:p>
    <w:p w:rsidRPr="004F1A0A" w:rsidR="008B7545" w:rsidP="008B7545" w:rsidRDefault="00F13A34" w14:paraId="71E004B1" w14:textId="77777777">
      <w:pPr>
        <w:pStyle w:val="10sp0"/>
        <w:numPr>
          <w:ilvl w:val="0"/>
          <w:numId w:val="17"/>
        </w:numPr>
        <w:spacing w:after="0" w:line="276" w:lineRule="auto"/>
        <w:rPr>
          <w:rFonts w:ascii="Palatino Linotype" w:hAnsi="Palatino Linotype"/>
          <w:color w:val="000000" w:themeColor="text1"/>
          <w:szCs w:val="24"/>
        </w:rPr>
      </w:pPr>
      <w:r w:rsidRPr="004F1A0A">
        <w:rPr>
          <w:rFonts w:ascii="Palatino Linotype" w:hAnsi="Palatino Linotype"/>
          <w:color w:val="000000" w:themeColor="text1"/>
        </w:rPr>
        <w:t xml:space="preserve">For transparency, </w:t>
      </w:r>
      <w:r w:rsidRPr="004F1A0A" w:rsidR="000271DA">
        <w:rPr>
          <w:rFonts w:ascii="Palatino Linotype" w:hAnsi="Palatino Linotype"/>
          <w:color w:val="000000" w:themeColor="text1"/>
        </w:rPr>
        <w:t xml:space="preserve">SoCalGas </w:t>
      </w:r>
      <w:r w:rsidRPr="004F1A0A" w:rsidR="001E2877">
        <w:rPr>
          <w:rFonts w:ascii="Palatino Linotype" w:hAnsi="Palatino Linotype"/>
          <w:color w:val="000000" w:themeColor="text1"/>
        </w:rPr>
        <w:t xml:space="preserve">must </w:t>
      </w:r>
      <w:r w:rsidRPr="004F1A0A" w:rsidR="000271DA">
        <w:rPr>
          <w:rFonts w:ascii="Palatino Linotype" w:hAnsi="Palatino Linotype"/>
          <w:color w:val="000000" w:themeColor="text1"/>
        </w:rPr>
        <w:t xml:space="preserve">embed in the descriptions of each proposed Initiative </w:t>
      </w:r>
      <w:r w:rsidRPr="004F1A0A" w:rsidR="008B669B">
        <w:rPr>
          <w:rFonts w:ascii="Palatino Linotype" w:hAnsi="Palatino Linotype"/>
          <w:color w:val="000000" w:themeColor="text1"/>
        </w:rPr>
        <w:t>incorporation strategies</w:t>
      </w:r>
      <w:r w:rsidRPr="004F1A0A" w:rsidR="000A5970">
        <w:rPr>
          <w:rFonts w:ascii="Palatino Linotype" w:hAnsi="Palatino Linotype"/>
          <w:color w:val="000000" w:themeColor="text1"/>
        </w:rPr>
        <w:t xml:space="preserve"> associated </w:t>
      </w:r>
      <w:r w:rsidRPr="004F1A0A" w:rsidR="00C722F5">
        <w:rPr>
          <w:rFonts w:ascii="Palatino Linotype" w:hAnsi="Palatino Linotype"/>
          <w:color w:val="000000" w:themeColor="text1"/>
        </w:rPr>
        <w:t xml:space="preserve">with </w:t>
      </w:r>
      <w:r w:rsidRPr="004F1A0A" w:rsidR="000A5970">
        <w:rPr>
          <w:rFonts w:ascii="Palatino Linotype" w:hAnsi="Palatino Linotype"/>
          <w:color w:val="000000" w:themeColor="text1"/>
        </w:rPr>
        <w:t>all s</w:t>
      </w:r>
      <w:r w:rsidRPr="004F1A0A" w:rsidR="00C250C5">
        <w:rPr>
          <w:rFonts w:ascii="Palatino Linotype" w:hAnsi="Palatino Linotype"/>
          <w:color w:val="000000" w:themeColor="text1"/>
        </w:rPr>
        <w:t xml:space="preserve">takeholder </w:t>
      </w:r>
      <w:r w:rsidRPr="009B36D3">
        <w:rPr>
          <w:rFonts w:ascii="Palatino Linotype" w:hAnsi="Palatino Linotype"/>
          <w:color w:val="000000" w:themeColor="text1"/>
        </w:rPr>
        <w:t xml:space="preserve">feedback </w:t>
      </w:r>
      <w:r w:rsidRPr="009B36D3" w:rsidR="00477EF4">
        <w:rPr>
          <w:rFonts w:ascii="Palatino Linotype" w:hAnsi="Palatino Linotype"/>
          <w:color w:val="000000" w:themeColor="text1"/>
        </w:rPr>
        <w:t>or otherwise explain why it did not incorporate the input</w:t>
      </w:r>
      <w:r w:rsidRPr="009B36D3" w:rsidR="006A5381">
        <w:rPr>
          <w:rFonts w:ascii="Palatino Linotype" w:hAnsi="Palatino Linotype"/>
          <w:color w:val="000000" w:themeColor="text1"/>
        </w:rPr>
        <w:t>,</w:t>
      </w:r>
      <w:r w:rsidRPr="009B36D3" w:rsidR="00FA1014">
        <w:rPr>
          <w:rStyle w:val="FootnoteReference"/>
          <w:rFonts w:ascii="Palatino Linotype" w:hAnsi="Palatino Linotype"/>
          <w:color w:val="000000" w:themeColor="text1"/>
        </w:rPr>
        <w:footnoteReference w:id="74"/>
      </w:r>
      <w:r w:rsidRPr="009B36D3" w:rsidR="006A5381">
        <w:rPr>
          <w:rFonts w:ascii="Palatino Linotype" w:hAnsi="Palatino Linotype"/>
          <w:color w:val="000000" w:themeColor="text1"/>
        </w:rPr>
        <w:t xml:space="preserve"> particularly from California Greenworks and the Public Workshop ESJ Advisory Panel.</w:t>
      </w:r>
    </w:p>
    <w:p w:rsidRPr="004F1A0A" w:rsidR="008B7545" w:rsidP="008B7545" w:rsidRDefault="00E62A77" w14:paraId="01C7B714" w14:textId="2ACDCAA9">
      <w:pPr>
        <w:pStyle w:val="10sp0"/>
        <w:numPr>
          <w:ilvl w:val="0"/>
          <w:numId w:val="17"/>
        </w:numPr>
        <w:spacing w:after="0" w:line="276" w:lineRule="auto"/>
        <w:rPr>
          <w:rFonts w:ascii="Palatino Linotype" w:hAnsi="Palatino Linotype"/>
          <w:color w:val="000000" w:themeColor="text1"/>
          <w:szCs w:val="24"/>
        </w:rPr>
      </w:pPr>
      <w:r w:rsidRPr="009B36D3">
        <w:rPr>
          <w:rFonts w:ascii="Palatino Linotype" w:hAnsi="Palatino Linotype"/>
          <w:color w:val="000000" w:themeColor="text1"/>
        </w:rPr>
        <w:t>SoCalGa</w:t>
      </w:r>
      <w:r w:rsidRPr="004F1A0A">
        <w:rPr>
          <w:rFonts w:ascii="Palatino Linotype" w:hAnsi="Palatino Linotype"/>
          <w:color w:val="000000" w:themeColor="text1"/>
        </w:rPr>
        <w:t xml:space="preserve">s </w:t>
      </w:r>
      <w:r w:rsidRPr="004F1A0A" w:rsidR="001E2877">
        <w:rPr>
          <w:rFonts w:ascii="Palatino Linotype" w:hAnsi="Palatino Linotype"/>
          <w:color w:val="000000" w:themeColor="text1"/>
        </w:rPr>
        <w:t xml:space="preserve">must </w:t>
      </w:r>
      <w:r w:rsidRPr="004F1A0A">
        <w:rPr>
          <w:rFonts w:ascii="Palatino Linotype" w:hAnsi="Palatino Linotype"/>
          <w:color w:val="000000" w:themeColor="text1"/>
        </w:rPr>
        <w:t xml:space="preserve">demonstrate </w:t>
      </w:r>
      <w:r w:rsidRPr="009B36D3">
        <w:rPr>
          <w:rFonts w:ascii="Palatino Linotype" w:hAnsi="Palatino Linotype"/>
          <w:color w:val="000000" w:themeColor="text1"/>
        </w:rPr>
        <w:t xml:space="preserve">that its </w:t>
      </w:r>
      <w:r w:rsidRPr="009B36D3" w:rsidR="00EA07BC">
        <w:rPr>
          <w:rFonts w:ascii="Palatino Linotype" w:hAnsi="Palatino Linotype"/>
          <w:i/>
          <w:color w:val="000000" w:themeColor="text1"/>
        </w:rPr>
        <w:t>System Design &amp; Materials</w:t>
      </w:r>
      <w:r w:rsidRPr="009B36D3" w:rsidR="00EA07BC">
        <w:rPr>
          <w:rFonts w:ascii="Palatino Linotype" w:hAnsi="Palatino Linotype"/>
          <w:color w:val="000000" w:themeColor="text1"/>
        </w:rPr>
        <w:t xml:space="preserve"> Initiative</w:t>
      </w:r>
      <w:r w:rsidRPr="009B36D3" w:rsidR="006E6B38">
        <w:rPr>
          <w:rFonts w:ascii="Palatino Linotype" w:hAnsi="Palatino Linotype"/>
          <w:color w:val="000000" w:themeColor="text1"/>
        </w:rPr>
        <w:t xml:space="preserve"> will involve activities that are complementary </w:t>
      </w:r>
      <w:proofErr w:type="gramStart"/>
      <w:r w:rsidRPr="009B36D3" w:rsidR="006E6B38">
        <w:rPr>
          <w:rFonts w:ascii="Palatino Linotype" w:hAnsi="Palatino Linotype"/>
          <w:color w:val="000000" w:themeColor="text1"/>
        </w:rPr>
        <w:t>to</w:t>
      </w:r>
      <w:proofErr w:type="gramEnd"/>
      <w:r w:rsidRPr="009B36D3" w:rsidR="006E6B38">
        <w:rPr>
          <w:rFonts w:ascii="Palatino Linotype" w:hAnsi="Palatino Linotype"/>
          <w:color w:val="000000" w:themeColor="text1"/>
        </w:rPr>
        <w:t xml:space="preserve"> rather than </w:t>
      </w:r>
      <w:proofErr w:type="gramStart"/>
      <w:r w:rsidRPr="009B36D3" w:rsidR="006E6B38">
        <w:rPr>
          <w:rFonts w:ascii="Palatino Linotype" w:hAnsi="Palatino Linotype"/>
          <w:color w:val="000000" w:themeColor="text1"/>
        </w:rPr>
        <w:t>duplicative</w:t>
      </w:r>
      <w:proofErr w:type="gramEnd"/>
      <w:r w:rsidRPr="009B36D3" w:rsidR="006E6B38">
        <w:rPr>
          <w:rFonts w:ascii="Palatino Linotype" w:hAnsi="Palatino Linotype"/>
          <w:color w:val="000000" w:themeColor="text1"/>
        </w:rPr>
        <w:t xml:space="preserve"> of </w:t>
      </w:r>
      <w:r w:rsidRPr="009B36D3" w:rsidR="00F67431">
        <w:rPr>
          <w:rFonts w:ascii="Palatino Linotype" w:hAnsi="Palatino Linotype"/>
          <w:color w:val="000000" w:themeColor="text1"/>
        </w:rPr>
        <w:t xml:space="preserve">the </w:t>
      </w:r>
      <w:r w:rsidRPr="009B36D3" w:rsidR="006E6B38">
        <w:rPr>
          <w:rFonts w:ascii="Palatino Linotype" w:hAnsi="Palatino Linotype"/>
          <w:color w:val="000000" w:themeColor="text1"/>
        </w:rPr>
        <w:t xml:space="preserve">CEC’s </w:t>
      </w:r>
      <w:r w:rsidRPr="009B36D3" w:rsidR="00F67431">
        <w:rPr>
          <w:rFonts w:ascii="Palatino Linotype" w:hAnsi="Palatino Linotype"/>
          <w:i/>
          <w:color w:val="000000" w:themeColor="text1"/>
        </w:rPr>
        <w:t xml:space="preserve">Fuel-Flexible Distributed Power Generation </w:t>
      </w:r>
      <w:r w:rsidRPr="009B36D3" w:rsidR="00F67431">
        <w:rPr>
          <w:rFonts w:ascii="Palatino Linotype" w:hAnsi="Palatino Linotype"/>
          <w:color w:val="000000" w:themeColor="text1"/>
        </w:rPr>
        <w:t xml:space="preserve">Initiative in its </w:t>
      </w:r>
      <w:r w:rsidRPr="009B36D3" w:rsidR="00966E35">
        <w:rPr>
          <w:rFonts w:ascii="Palatino Linotype" w:hAnsi="Palatino Linotype"/>
          <w:color w:val="000000" w:themeColor="text1"/>
        </w:rPr>
        <w:t xml:space="preserve">FY </w:t>
      </w:r>
      <w:r w:rsidRPr="009B36D3" w:rsidR="00F67431">
        <w:rPr>
          <w:rFonts w:ascii="Palatino Linotype" w:hAnsi="Palatino Linotype"/>
          <w:color w:val="000000" w:themeColor="text1"/>
        </w:rPr>
        <w:t>2024</w:t>
      </w:r>
      <w:r w:rsidRPr="009B36D3" w:rsidR="00966E35">
        <w:rPr>
          <w:rFonts w:ascii="Palatino Linotype" w:hAnsi="Palatino Linotype"/>
          <w:color w:val="000000" w:themeColor="text1"/>
        </w:rPr>
        <w:t>-2025</w:t>
      </w:r>
      <w:r w:rsidRPr="009B36D3" w:rsidR="00F67431">
        <w:rPr>
          <w:rFonts w:ascii="Palatino Linotype" w:hAnsi="Palatino Linotype"/>
          <w:color w:val="000000" w:themeColor="text1"/>
        </w:rPr>
        <w:t xml:space="preserve"> Gas RD&amp;D Plan.</w:t>
      </w:r>
      <w:r w:rsidRPr="009B36D3" w:rsidR="00F67431">
        <w:rPr>
          <w:rStyle w:val="FootnoteReference"/>
          <w:rFonts w:ascii="Palatino Linotype" w:hAnsi="Palatino Linotype"/>
          <w:color w:val="000000" w:themeColor="text1"/>
        </w:rPr>
        <w:footnoteReference w:id="75"/>
      </w:r>
    </w:p>
    <w:p w:rsidRPr="004F1A0A" w:rsidR="00E3195C" w:rsidP="008B7545" w:rsidRDefault="0021108F" w14:paraId="3E921E58" w14:textId="4EF3450F">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lastRenderedPageBreak/>
        <w:t>SoCalGas’ proposed “I</w:t>
      </w:r>
      <w:r w:rsidRPr="004F1A0A" w:rsidR="00132F25">
        <w:rPr>
          <w:rFonts w:ascii="Palatino Linotype" w:hAnsi="Palatino Linotype"/>
          <w:color w:val="000000" w:themeColor="text1"/>
        </w:rPr>
        <w:t>ntegrating carbon management solutions</w:t>
      </w:r>
      <w:r w:rsidRPr="004F1A0A">
        <w:rPr>
          <w:rFonts w:ascii="Palatino Linotype" w:hAnsi="Palatino Linotype"/>
          <w:color w:val="000000" w:themeColor="text1"/>
        </w:rPr>
        <w:t xml:space="preserve">” Research Topic under </w:t>
      </w:r>
      <w:r w:rsidRPr="004F1A0A">
        <w:rPr>
          <w:rFonts w:ascii="Palatino Linotype" w:hAnsi="Palatino Linotype"/>
          <w:color w:val="000000" w:themeColor="text1"/>
          <w:szCs w:val="24"/>
        </w:rPr>
        <w:t xml:space="preserve">its </w:t>
      </w:r>
      <w:r w:rsidRPr="004F1A0A">
        <w:rPr>
          <w:rFonts w:ascii="Palatino Linotype" w:hAnsi="Palatino Linotype"/>
          <w:i/>
          <w:iCs/>
          <w:color w:val="000000" w:themeColor="text1"/>
          <w:szCs w:val="24"/>
        </w:rPr>
        <w:t>Energy Reliability &amp; Resilience</w:t>
      </w:r>
      <w:r w:rsidRPr="004F1A0A">
        <w:rPr>
          <w:rFonts w:ascii="Palatino Linotype" w:hAnsi="Palatino Linotype"/>
          <w:color w:val="000000" w:themeColor="text1"/>
          <w:szCs w:val="24"/>
        </w:rPr>
        <w:t xml:space="preserve"> Initiative</w:t>
      </w:r>
      <w:r w:rsidRPr="004F1A0A">
        <w:rPr>
          <w:rFonts w:ascii="Palatino Linotype" w:hAnsi="Palatino Linotype"/>
          <w:color w:val="000000" w:themeColor="text1"/>
        </w:rPr>
        <w:t xml:space="preserve"> involves “[d]</w:t>
      </w:r>
      <w:proofErr w:type="spellStart"/>
      <w:r w:rsidRPr="004F1A0A" w:rsidR="00132F25">
        <w:rPr>
          <w:rFonts w:ascii="Palatino Linotype" w:hAnsi="Palatino Linotype"/>
          <w:color w:val="000000" w:themeColor="text1"/>
        </w:rPr>
        <w:t>eveloping</w:t>
      </w:r>
      <w:proofErr w:type="spellEnd"/>
      <w:r w:rsidRPr="004F1A0A" w:rsidR="00132F25">
        <w:rPr>
          <w:rFonts w:ascii="Palatino Linotype" w:hAnsi="Palatino Linotype"/>
          <w:color w:val="000000" w:themeColor="text1"/>
        </w:rPr>
        <w:t xml:space="preserve"> reliable carbon capture solutions and integration pathways</w:t>
      </w:r>
      <w:r w:rsidRPr="004F1A0A">
        <w:rPr>
          <w:rFonts w:ascii="Palatino Linotype" w:hAnsi="Palatino Linotype"/>
          <w:color w:val="000000" w:themeColor="text1"/>
        </w:rPr>
        <w:t>”</w:t>
      </w:r>
      <w:r w:rsidRPr="004F1A0A" w:rsidR="003C7F0E">
        <w:rPr>
          <w:rFonts w:ascii="Palatino Linotype" w:hAnsi="Palatino Linotype"/>
          <w:color w:val="000000" w:themeColor="text1"/>
        </w:rPr>
        <w:t xml:space="preserve"> and </w:t>
      </w:r>
      <w:r w:rsidRPr="004F1A0A" w:rsidR="008E1798">
        <w:rPr>
          <w:rFonts w:ascii="Palatino Linotype" w:hAnsi="Palatino Linotype"/>
          <w:color w:val="000000" w:themeColor="text1"/>
        </w:rPr>
        <w:t xml:space="preserve">includes </w:t>
      </w:r>
      <w:r w:rsidRPr="004F1A0A" w:rsidR="00181172">
        <w:rPr>
          <w:rFonts w:ascii="Palatino Linotype" w:hAnsi="Palatino Linotype"/>
          <w:color w:val="000000" w:themeColor="text1"/>
        </w:rPr>
        <w:t>a project titled</w:t>
      </w:r>
      <w:r w:rsidRPr="004F1A0A" w:rsidR="003C7F0E">
        <w:rPr>
          <w:rFonts w:ascii="Palatino Linotype" w:hAnsi="Palatino Linotype"/>
          <w:color w:val="000000" w:themeColor="text1"/>
        </w:rPr>
        <w:t xml:space="preserve"> “Carbon capture integration development on distributed gas assets CHP-enabled thermal integration for capture system</w:t>
      </w:r>
      <w:r w:rsidRPr="004F1A0A" w:rsidR="00181172">
        <w:rPr>
          <w:rFonts w:ascii="Palatino Linotype" w:hAnsi="Palatino Linotype"/>
          <w:color w:val="000000" w:themeColor="text1"/>
        </w:rPr>
        <w:t>s</w:t>
      </w:r>
      <w:r w:rsidRPr="004F1A0A" w:rsidR="003C7F0E">
        <w:rPr>
          <w:rFonts w:ascii="Palatino Linotype" w:hAnsi="Palatino Linotype"/>
          <w:color w:val="000000" w:themeColor="text1"/>
        </w:rPr>
        <w:t>.”</w:t>
      </w:r>
      <w:r w:rsidRPr="004F1A0A" w:rsidR="003C7F0E">
        <w:rPr>
          <w:rStyle w:val="FootnoteReference"/>
          <w:rFonts w:ascii="Palatino Linotype" w:hAnsi="Palatino Linotype"/>
          <w:color w:val="000000" w:themeColor="text1"/>
        </w:rPr>
        <w:footnoteReference w:id="76"/>
      </w:r>
      <w:r w:rsidRPr="004F1A0A" w:rsidR="003C7F0E">
        <w:rPr>
          <w:rFonts w:ascii="Palatino Linotype" w:hAnsi="Palatino Linotype"/>
          <w:color w:val="000000" w:themeColor="text1"/>
        </w:rPr>
        <w:t xml:space="preserve"> </w:t>
      </w:r>
      <w:r w:rsidRPr="004F1A0A" w:rsidR="000025ED">
        <w:rPr>
          <w:rFonts w:ascii="Palatino Linotype" w:hAnsi="Palatino Linotype"/>
          <w:color w:val="000000" w:themeColor="text1"/>
        </w:rPr>
        <w:t xml:space="preserve">Previously, the Commission denied carbon capture RD&amp;D in </w:t>
      </w:r>
      <w:r w:rsidRPr="004F1A0A" w:rsidR="00FB26ED">
        <w:rPr>
          <w:rFonts w:ascii="Palatino Linotype" w:hAnsi="Palatino Linotype"/>
          <w:color w:val="000000" w:themeColor="text1"/>
        </w:rPr>
        <w:t>Resolution G-3601</w:t>
      </w:r>
      <w:r w:rsidRPr="004F1A0A" w:rsidR="000E66F3">
        <w:rPr>
          <w:rFonts w:ascii="Palatino Linotype" w:hAnsi="Palatino Linotype"/>
          <w:color w:val="000000" w:themeColor="text1"/>
        </w:rPr>
        <w:t xml:space="preserve"> for the following reasons</w:t>
      </w:r>
      <w:r w:rsidRPr="004F1A0A" w:rsidR="00E3195C">
        <w:rPr>
          <w:rFonts w:ascii="Palatino Linotype" w:hAnsi="Palatino Linotype"/>
          <w:color w:val="000000" w:themeColor="text1"/>
        </w:rPr>
        <w:t>:</w:t>
      </w:r>
      <w:r w:rsidRPr="004F1A0A" w:rsidR="003C7F0E">
        <w:rPr>
          <w:rFonts w:ascii="Palatino Linotype" w:hAnsi="Palatino Linotype"/>
          <w:color w:val="000000" w:themeColor="text1"/>
        </w:rPr>
        <w:t xml:space="preserve"> </w:t>
      </w:r>
    </w:p>
    <w:p w:rsidRPr="004F1A0A" w:rsidR="003C7F0E" w:rsidP="6597E3C6" w:rsidRDefault="00E3195C" w14:paraId="481DBA39" w14:textId="3956F971">
      <w:pPr>
        <w:pStyle w:val="10sp0"/>
        <w:spacing w:before="240" w:after="0" w:line="276" w:lineRule="auto"/>
        <w:ind w:left="360"/>
        <w:rPr>
          <w:rFonts w:ascii="Palatino Linotype" w:hAnsi="Palatino Linotype"/>
          <w:i/>
          <w:color w:val="000000" w:themeColor="text1"/>
        </w:rPr>
      </w:pPr>
      <w:r w:rsidRPr="004F1A0A">
        <w:rPr>
          <w:rFonts w:ascii="Palatino Linotype" w:hAnsi="Palatino Linotype"/>
          <w:i/>
          <w:iCs/>
          <w:color w:val="000000" w:themeColor="text1"/>
        </w:rPr>
        <w:t xml:space="preserve">“State and Commission decarbonization policies have significantly shifted, including a focus on electrification that considers phasing out natural gas and pruning the gas system. To date, the Commission has not considered the appropriate role of gas ratepayers in </w:t>
      </w:r>
      <w:r w:rsidRPr="004F1A0A" w:rsidR="00B83E7E">
        <w:rPr>
          <w:rFonts w:ascii="Palatino Linotype" w:hAnsi="Palatino Linotype"/>
          <w:i/>
          <w:iCs/>
          <w:color w:val="000000" w:themeColor="text1"/>
        </w:rPr>
        <w:t>[Carbon Capture, Utilization, and Storage]</w:t>
      </w:r>
      <w:r w:rsidRPr="004F1A0A">
        <w:rPr>
          <w:rFonts w:ascii="Palatino Linotype" w:hAnsi="Palatino Linotype"/>
          <w:i/>
          <w:iCs/>
          <w:color w:val="000000" w:themeColor="text1"/>
        </w:rPr>
        <w:t>, which could have a significant impact on ratepayers’ energy bills and on market actors more broadly. The Commission has not yet provided any guidance upon which to determine whether ratepayer funds should be invested in CCUS, particularly as these projects would have further implications for ratepayer funding in future RD&amp;D Plans. For any future consideration of funding, the appropriate role of ratepayers in funding CCUS needs to be considered.”</w:t>
      </w:r>
      <w:r w:rsidRPr="004F1A0A">
        <w:rPr>
          <w:rStyle w:val="FootnoteReference"/>
          <w:rFonts w:ascii="Palatino Linotype" w:hAnsi="Palatino Linotype"/>
          <w:i/>
          <w:iCs/>
          <w:color w:val="000000" w:themeColor="text1"/>
        </w:rPr>
        <w:t xml:space="preserve"> </w:t>
      </w:r>
      <w:r w:rsidRPr="004F1A0A">
        <w:rPr>
          <w:rStyle w:val="FootnoteReference"/>
          <w:rFonts w:ascii="Palatino Linotype" w:hAnsi="Palatino Linotype"/>
          <w:i/>
          <w:iCs/>
          <w:color w:val="000000" w:themeColor="text1"/>
        </w:rPr>
        <w:footnoteReference w:id="77"/>
      </w:r>
    </w:p>
    <w:p w:rsidRPr="004F1A0A" w:rsidR="000E66F3" w:rsidP="5D801482" w:rsidRDefault="001423AB" w14:paraId="25F4297F" w14:textId="48E4BC15">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 xml:space="preserve">Pursuant to Commission requirements for </w:t>
      </w:r>
      <w:r w:rsidRPr="004F1A0A" w:rsidR="00BA1BA9">
        <w:rPr>
          <w:rFonts w:ascii="Palatino Linotype" w:hAnsi="Palatino Linotype"/>
          <w:color w:val="000000" w:themeColor="text1"/>
        </w:rPr>
        <w:t>Gas RD&amp;D investments</w:t>
      </w:r>
      <w:r w:rsidRPr="004F1A0A" w:rsidR="00D13F23">
        <w:rPr>
          <w:rFonts w:ascii="Palatino Linotype" w:hAnsi="Palatino Linotype"/>
          <w:color w:val="000000" w:themeColor="text1"/>
        </w:rPr>
        <w:t xml:space="preserve">, SoCalGas must provide further detail on the “Integrating carbon management solutions” Research Topic </w:t>
      </w:r>
      <w:r w:rsidRPr="004F1A0A" w:rsidR="00BF5B2F">
        <w:rPr>
          <w:rFonts w:ascii="Palatino Linotype" w:hAnsi="Palatino Linotype"/>
          <w:color w:val="000000" w:themeColor="text1"/>
        </w:rPr>
        <w:t>describing</w:t>
      </w:r>
      <w:r w:rsidRPr="004F1A0A" w:rsidR="00FF0A69">
        <w:rPr>
          <w:rFonts w:ascii="Palatino Linotype" w:hAnsi="Palatino Linotype"/>
          <w:color w:val="000000" w:themeColor="text1"/>
        </w:rPr>
        <w:t xml:space="preserve"> how </w:t>
      </w:r>
      <w:r w:rsidRPr="004F1A0A" w:rsidR="007E34C5">
        <w:rPr>
          <w:rFonts w:ascii="Palatino Linotype" w:hAnsi="Palatino Linotype"/>
          <w:color w:val="000000" w:themeColor="text1"/>
        </w:rPr>
        <w:t xml:space="preserve">resulting projects will </w:t>
      </w:r>
      <w:r w:rsidRPr="004F1A0A" w:rsidR="002556FB">
        <w:rPr>
          <w:rFonts w:ascii="Palatino Linotype" w:hAnsi="Palatino Linotype"/>
          <w:color w:val="000000" w:themeColor="text1"/>
        </w:rPr>
        <w:t xml:space="preserve">support </w:t>
      </w:r>
      <w:r w:rsidRPr="004F1A0A" w:rsidR="0FC8C901">
        <w:rPr>
          <w:rFonts w:ascii="Palatino Linotype" w:hAnsi="Palatino Linotype"/>
          <w:color w:val="000000" w:themeColor="text1"/>
        </w:rPr>
        <w:t xml:space="preserve">current </w:t>
      </w:r>
      <w:r w:rsidRPr="004F1A0A" w:rsidR="002556FB">
        <w:rPr>
          <w:rFonts w:ascii="Palatino Linotype" w:hAnsi="Palatino Linotype"/>
          <w:color w:val="000000" w:themeColor="text1"/>
        </w:rPr>
        <w:t xml:space="preserve">State </w:t>
      </w:r>
      <w:r w:rsidRPr="004F1A0A" w:rsidR="00E045D9">
        <w:rPr>
          <w:rFonts w:ascii="Palatino Linotype" w:hAnsi="Palatino Linotype"/>
          <w:color w:val="000000" w:themeColor="text1"/>
        </w:rPr>
        <w:t xml:space="preserve">climate </w:t>
      </w:r>
      <w:r w:rsidRPr="004F1A0A" w:rsidR="002556FB">
        <w:rPr>
          <w:rFonts w:ascii="Palatino Linotype" w:hAnsi="Palatino Linotype"/>
          <w:color w:val="000000" w:themeColor="text1"/>
        </w:rPr>
        <w:t xml:space="preserve">goals and policies </w:t>
      </w:r>
      <w:r w:rsidRPr="004F1A0A" w:rsidR="00B8050C">
        <w:rPr>
          <w:rFonts w:ascii="Palatino Linotype" w:hAnsi="Palatino Linotype"/>
          <w:color w:val="000000" w:themeColor="text1"/>
        </w:rPr>
        <w:t>such as</w:t>
      </w:r>
      <w:r w:rsidRPr="004F1A0A" w:rsidR="002C31B0">
        <w:rPr>
          <w:rFonts w:ascii="Palatino Linotype" w:hAnsi="Palatino Linotype"/>
          <w:color w:val="000000" w:themeColor="text1"/>
        </w:rPr>
        <w:t xml:space="preserve"> </w:t>
      </w:r>
      <w:r w:rsidRPr="004F1A0A" w:rsidR="00D21BDA">
        <w:rPr>
          <w:rFonts w:ascii="Palatino Linotype" w:hAnsi="Palatino Linotype"/>
          <w:color w:val="000000" w:themeColor="text1"/>
        </w:rPr>
        <w:t xml:space="preserve">by </w:t>
      </w:r>
      <w:r w:rsidRPr="004F1A0A" w:rsidR="002C31B0">
        <w:rPr>
          <w:rFonts w:ascii="Palatino Linotype" w:hAnsi="Palatino Linotype"/>
          <w:color w:val="000000" w:themeColor="text1"/>
        </w:rPr>
        <w:t xml:space="preserve">reducing </w:t>
      </w:r>
      <w:r w:rsidRPr="004F1A0A" w:rsidR="00E045D9">
        <w:rPr>
          <w:rFonts w:ascii="Palatino Linotype" w:hAnsi="Palatino Linotype"/>
          <w:color w:val="000000" w:themeColor="text1"/>
        </w:rPr>
        <w:t>and/or decarbonizing</w:t>
      </w:r>
      <w:r w:rsidRPr="004F1A0A" w:rsidR="002C31B0">
        <w:rPr>
          <w:rFonts w:ascii="Palatino Linotype" w:hAnsi="Palatino Linotype"/>
          <w:color w:val="000000" w:themeColor="text1"/>
        </w:rPr>
        <w:t xml:space="preserve"> the gas system</w:t>
      </w:r>
      <w:r w:rsidRPr="004F1A0A" w:rsidR="00015205">
        <w:rPr>
          <w:rFonts w:ascii="Palatino Linotype" w:hAnsi="Palatino Linotype"/>
          <w:color w:val="000000" w:themeColor="text1"/>
        </w:rPr>
        <w:t xml:space="preserve"> without enabling continued polluting</w:t>
      </w:r>
      <w:r w:rsidRPr="004F1A0A" w:rsidR="00E045D9">
        <w:rPr>
          <w:rFonts w:ascii="Palatino Linotype" w:hAnsi="Palatino Linotype"/>
          <w:color w:val="000000" w:themeColor="text1"/>
        </w:rPr>
        <w:t xml:space="preserve">. </w:t>
      </w:r>
      <w:r w:rsidRPr="004F1A0A" w:rsidR="002C31B0">
        <w:rPr>
          <w:rFonts w:ascii="Palatino Linotype" w:hAnsi="Palatino Linotype"/>
          <w:color w:val="000000" w:themeColor="text1"/>
        </w:rPr>
        <w:t xml:space="preserve">Further, </w:t>
      </w:r>
      <w:r w:rsidRPr="004F1A0A" w:rsidR="0029176C">
        <w:rPr>
          <w:rFonts w:ascii="Palatino Linotype" w:hAnsi="Palatino Linotype"/>
          <w:color w:val="000000" w:themeColor="text1"/>
        </w:rPr>
        <w:t xml:space="preserve">in recognition of the affordability concerns articulated in Resolution G-3601, </w:t>
      </w:r>
      <w:r w:rsidRPr="004F1A0A" w:rsidR="00673AE3">
        <w:rPr>
          <w:rFonts w:ascii="Palatino Linotype" w:hAnsi="Palatino Linotype"/>
          <w:color w:val="000000" w:themeColor="text1"/>
        </w:rPr>
        <w:t xml:space="preserve">SoCalGas must demonstrate </w:t>
      </w:r>
      <w:r w:rsidRPr="004F1A0A" w:rsidR="00D81CF8">
        <w:rPr>
          <w:rFonts w:ascii="Palatino Linotype" w:hAnsi="Palatino Linotype"/>
          <w:color w:val="000000" w:themeColor="text1"/>
        </w:rPr>
        <w:t xml:space="preserve">how </w:t>
      </w:r>
      <w:r w:rsidRPr="004F1A0A" w:rsidR="00673AE3">
        <w:rPr>
          <w:rFonts w:ascii="Palatino Linotype" w:hAnsi="Palatino Linotype"/>
          <w:color w:val="000000" w:themeColor="text1"/>
        </w:rPr>
        <w:t xml:space="preserve">projects will </w:t>
      </w:r>
      <w:r w:rsidRPr="004F1A0A" w:rsidR="00FE1B0D">
        <w:rPr>
          <w:rFonts w:ascii="Palatino Linotype" w:hAnsi="Palatino Linotype"/>
          <w:color w:val="000000" w:themeColor="text1"/>
        </w:rPr>
        <w:t>deliver clear ratepayer benefit</w:t>
      </w:r>
      <w:r w:rsidRPr="004F1A0A" w:rsidR="00015205">
        <w:rPr>
          <w:rFonts w:ascii="Palatino Linotype" w:hAnsi="Palatino Linotype"/>
          <w:color w:val="000000" w:themeColor="text1"/>
        </w:rPr>
        <w:t>,</w:t>
      </w:r>
      <w:r w:rsidRPr="004F1A0A" w:rsidR="00FE1B0D">
        <w:rPr>
          <w:rFonts w:ascii="Palatino Linotype" w:hAnsi="Palatino Linotype"/>
          <w:color w:val="000000" w:themeColor="text1"/>
        </w:rPr>
        <w:t xml:space="preserve"> </w:t>
      </w:r>
      <w:r w:rsidRPr="004F1A0A" w:rsidR="00061A0B">
        <w:rPr>
          <w:rFonts w:ascii="Palatino Linotype" w:hAnsi="Palatino Linotype"/>
          <w:color w:val="000000" w:themeColor="text1"/>
        </w:rPr>
        <w:t xml:space="preserve">including </w:t>
      </w:r>
      <w:r w:rsidRPr="004F1A0A" w:rsidR="00842717">
        <w:rPr>
          <w:rFonts w:ascii="Palatino Linotype" w:hAnsi="Palatino Linotype"/>
          <w:color w:val="000000" w:themeColor="text1"/>
        </w:rPr>
        <w:t>promot</w:t>
      </w:r>
      <w:r w:rsidRPr="004F1A0A" w:rsidR="00FE1B0D">
        <w:rPr>
          <w:rFonts w:ascii="Palatino Linotype" w:hAnsi="Palatino Linotype"/>
          <w:color w:val="000000" w:themeColor="text1"/>
        </w:rPr>
        <w:t>ing</w:t>
      </w:r>
      <w:r w:rsidRPr="004F1A0A" w:rsidR="00061A0B">
        <w:rPr>
          <w:rFonts w:ascii="Palatino Linotype" w:hAnsi="Palatino Linotype"/>
          <w:color w:val="000000" w:themeColor="text1"/>
        </w:rPr>
        <w:t xml:space="preserve"> </w:t>
      </w:r>
      <w:r w:rsidRPr="004F1A0A" w:rsidR="00797708">
        <w:rPr>
          <w:rFonts w:ascii="Palatino Linotype" w:hAnsi="Palatino Linotype"/>
          <w:color w:val="000000" w:themeColor="text1"/>
        </w:rPr>
        <w:t>affordability</w:t>
      </w:r>
      <w:r w:rsidRPr="004F1A0A" w:rsidR="00C153E9">
        <w:rPr>
          <w:rFonts w:ascii="Palatino Linotype" w:hAnsi="Palatino Linotype"/>
          <w:color w:val="000000" w:themeColor="text1"/>
        </w:rPr>
        <w:t xml:space="preserve"> </w:t>
      </w:r>
      <w:r w:rsidRPr="004F1A0A" w:rsidR="00BF2ED9">
        <w:rPr>
          <w:rFonts w:ascii="Palatino Linotype" w:hAnsi="Palatino Linotype"/>
          <w:color w:val="000000" w:themeColor="text1"/>
        </w:rPr>
        <w:t>and</w:t>
      </w:r>
      <w:r w:rsidRPr="004F1A0A" w:rsidR="00061A0B">
        <w:rPr>
          <w:rFonts w:ascii="Palatino Linotype" w:hAnsi="Palatino Linotype"/>
          <w:color w:val="000000" w:themeColor="text1"/>
        </w:rPr>
        <w:t xml:space="preserve"> consideration of </w:t>
      </w:r>
      <w:r w:rsidRPr="004F1A0A" w:rsidR="00E82953">
        <w:rPr>
          <w:rFonts w:ascii="Palatino Linotype" w:hAnsi="Palatino Linotype"/>
          <w:color w:val="000000" w:themeColor="text1"/>
        </w:rPr>
        <w:t>equity</w:t>
      </w:r>
      <w:r w:rsidRPr="004F1A0A" w:rsidR="00061A0B">
        <w:rPr>
          <w:rFonts w:ascii="Palatino Linotype" w:hAnsi="Palatino Linotype"/>
          <w:color w:val="000000" w:themeColor="text1"/>
        </w:rPr>
        <w:t xml:space="preserve"> issues particularly in vulnerable communities.</w:t>
      </w:r>
      <w:r w:rsidRPr="004F1A0A" w:rsidR="00CF0A79">
        <w:rPr>
          <w:rFonts w:ascii="Palatino Linotype" w:hAnsi="Palatino Linotype"/>
          <w:color w:val="000000" w:themeColor="text1"/>
        </w:rPr>
        <w:t xml:space="preserve"> </w:t>
      </w:r>
      <w:r w:rsidRPr="004F1A0A" w:rsidR="00797708">
        <w:rPr>
          <w:rFonts w:ascii="Palatino Linotype" w:hAnsi="Palatino Linotype"/>
          <w:color w:val="000000" w:themeColor="text1"/>
        </w:rPr>
        <w:t xml:space="preserve">Upon consideration of </w:t>
      </w:r>
      <w:r w:rsidRPr="004F1A0A" w:rsidR="0061685A">
        <w:rPr>
          <w:rFonts w:ascii="Palatino Linotype" w:hAnsi="Palatino Linotype"/>
          <w:color w:val="000000" w:themeColor="text1"/>
        </w:rPr>
        <w:t xml:space="preserve">this further detail </w:t>
      </w:r>
      <w:r w:rsidRPr="004F1A0A" w:rsidR="007970F2">
        <w:rPr>
          <w:rFonts w:ascii="Palatino Linotype" w:hAnsi="Palatino Linotype"/>
          <w:color w:val="000000" w:themeColor="text1"/>
        </w:rPr>
        <w:t>in</w:t>
      </w:r>
      <w:r w:rsidRPr="004F1A0A" w:rsidR="0061685A">
        <w:rPr>
          <w:rFonts w:ascii="Palatino Linotype" w:hAnsi="Palatino Linotype"/>
          <w:color w:val="000000" w:themeColor="text1"/>
        </w:rPr>
        <w:t xml:space="preserve"> </w:t>
      </w:r>
      <w:r w:rsidRPr="004F1A0A" w:rsidR="00797708">
        <w:rPr>
          <w:rFonts w:ascii="Palatino Linotype" w:hAnsi="Palatino Linotype"/>
          <w:color w:val="000000" w:themeColor="text1"/>
        </w:rPr>
        <w:t xml:space="preserve">SoCalGas’ revised </w:t>
      </w:r>
      <w:r w:rsidRPr="004F1A0A" w:rsidR="0061685A">
        <w:rPr>
          <w:rFonts w:ascii="Palatino Linotype" w:hAnsi="Palatino Linotype"/>
          <w:color w:val="000000" w:themeColor="text1"/>
        </w:rPr>
        <w:t>Plan to be provided via Tier 2 AL</w:t>
      </w:r>
      <w:r w:rsidRPr="004F1A0A" w:rsidR="00797708">
        <w:rPr>
          <w:rFonts w:ascii="Palatino Linotype" w:hAnsi="Palatino Linotype"/>
          <w:color w:val="000000" w:themeColor="text1"/>
        </w:rPr>
        <w:t xml:space="preserve">, </w:t>
      </w:r>
      <w:r w:rsidRPr="004F1A0A" w:rsidR="00D21BDA">
        <w:rPr>
          <w:rFonts w:ascii="Palatino Linotype" w:hAnsi="Palatino Linotype"/>
          <w:color w:val="000000" w:themeColor="text1"/>
        </w:rPr>
        <w:t xml:space="preserve">the Commission will determine if these criteria have </w:t>
      </w:r>
      <w:r w:rsidRPr="004F1A0A" w:rsidR="00797708">
        <w:rPr>
          <w:rFonts w:ascii="Palatino Linotype" w:hAnsi="Palatino Linotype"/>
          <w:color w:val="000000" w:themeColor="text1"/>
        </w:rPr>
        <w:t>been sufficiently demonstrated</w:t>
      </w:r>
      <w:r w:rsidRPr="004F1A0A" w:rsidR="00D21BDA">
        <w:rPr>
          <w:rFonts w:ascii="Palatino Linotype" w:hAnsi="Palatino Linotype"/>
          <w:color w:val="000000" w:themeColor="text1"/>
        </w:rPr>
        <w:t xml:space="preserve"> for this Research Topic.</w:t>
      </w:r>
    </w:p>
    <w:p w:rsidRPr="004F1A0A" w:rsidR="00E975CA" w:rsidP="00CF6FC7" w:rsidRDefault="00CF6FC7" w14:paraId="287FDB9E" w14:textId="14534951">
      <w:pPr>
        <w:pStyle w:val="10sp0"/>
        <w:spacing w:before="240" w:after="0" w:line="276" w:lineRule="auto"/>
        <w:rPr>
          <w:rFonts w:ascii="Palatino Linotype" w:hAnsi="Palatino Linotype"/>
          <w:color w:val="000000" w:themeColor="text1"/>
        </w:rPr>
      </w:pPr>
      <w:r w:rsidRPr="0032030A">
        <w:rPr>
          <w:rFonts w:ascii="Palatino Linotype" w:hAnsi="Palatino Linotype"/>
          <w:color w:val="000000" w:themeColor="text1"/>
        </w:rPr>
        <w:t>Relatedly, Resolutions G-3618</w:t>
      </w:r>
      <w:r w:rsidRPr="0032030A">
        <w:rPr>
          <w:rStyle w:val="FootnoteReference"/>
          <w:rFonts w:ascii="Palatino Linotype" w:hAnsi="Palatino Linotype"/>
          <w:color w:val="000000" w:themeColor="text1"/>
        </w:rPr>
        <w:footnoteReference w:id="78"/>
      </w:r>
      <w:r w:rsidRPr="0032030A">
        <w:rPr>
          <w:rFonts w:ascii="Palatino Linotype" w:hAnsi="Palatino Linotype"/>
          <w:color w:val="000000" w:themeColor="text1"/>
        </w:rPr>
        <w:t xml:space="preserve"> and G-3623</w:t>
      </w:r>
      <w:r w:rsidRPr="0032030A">
        <w:rPr>
          <w:rStyle w:val="FootnoteReference"/>
          <w:rFonts w:ascii="Palatino Linotype" w:hAnsi="Palatino Linotype"/>
          <w:color w:val="000000" w:themeColor="text1"/>
        </w:rPr>
        <w:footnoteReference w:id="79"/>
      </w:r>
      <w:r w:rsidRPr="0032030A">
        <w:rPr>
          <w:rFonts w:ascii="Palatino Linotype" w:hAnsi="Palatino Linotype"/>
          <w:color w:val="000000" w:themeColor="text1"/>
        </w:rPr>
        <w:t xml:space="preserve"> reflect that </w:t>
      </w:r>
      <w:r w:rsidRPr="004F1A0A" w:rsidR="00DA3940">
        <w:rPr>
          <w:rFonts w:ascii="Palatino Linotype" w:hAnsi="Palatino Linotype"/>
          <w:color w:val="000000" w:themeColor="text1"/>
        </w:rPr>
        <w:t xml:space="preserve">the </w:t>
      </w:r>
      <w:r w:rsidRPr="004F1A0A" w:rsidR="00D355CD">
        <w:rPr>
          <w:rFonts w:ascii="Palatino Linotype" w:hAnsi="Palatino Linotype"/>
          <w:color w:val="000000" w:themeColor="text1"/>
        </w:rPr>
        <w:t xml:space="preserve">Commission has not provided </w:t>
      </w:r>
      <w:r w:rsidRPr="004F1A0A" w:rsidR="00BB1351">
        <w:rPr>
          <w:rFonts w:ascii="Palatino Linotype" w:hAnsi="Palatino Linotype"/>
          <w:color w:val="000000" w:themeColor="text1"/>
        </w:rPr>
        <w:t xml:space="preserve">current </w:t>
      </w:r>
      <w:r w:rsidRPr="004F1A0A" w:rsidR="00D355CD">
        <w:rPr>
          <w:rFonts w:ascii="Palatino Linotype" w:hAnsi="Palatino Linotype"/>
          <w:color w:val="000000" w:themeColor="text1"/>
        </w:rPr>
        <w:t xml:space="preserve">guidance upon which to </w:t>
      </w:r>
      <w:r w:rsidRPr="004F1A0A" w:rsidR="005C432E">
        <w:rPr>
          <w:rFonts w:ascii="Palatino Linotype" w:hAnsi="Palatino Linotype"/>
          <w:color w:val="000000" w:themeColor="text1"/>
        </w:rPr>
        <w:t>determine whether ratepayer funds should be invested in hydrogen</w:t>
      </w:r>
      <w:r w:rsidRPr="004F1A0A" w:rsidR="00321D27">
        <w:rPr>
          <w:rFonts w:ascii="Palatino Linotype" w:hAnsi="Palatino Linotype"/>
          <w:color w:val="000000" w:themeColor="text1"/>
        </w:rPr>
        <w:t xml:space="preserve">, </w:t>
      </w:r>
      <w:r w:rsidRPr="004F1A0A" w:rsidR="000F1745">
        <w:rPr>
          <w:rFonts w:ascii="Palatino Linotype" w:hAnsi="Palatino Linotype"/>
          <w:color w:val="000000" w:themeColor="text1"/>
        </w:rPr>
        <w:t xml:space="preserve">particularly as these projects would have further implications </w:t>
      </w:r>
      <w:r w:rsidRPr="004F1A0A" w:rsidR="000F1745">
        <w:rPr>
          <w:rFonts w:ascii="Palatino Linotype" w:hAnsi="Palatino Linotype"/>
          <w:color w:val="000000" w:themeColor="text1"/>
        </w:rPr>
        <w:lastRenderedPageBreak/>
        <w:t>for ratepayer funding in future RD&amp;D Plans.</w:t>
      </w:r>
      <w:r w:rsidRPr="004F1A0A" w:rsidR="00DA3940">
        <w:rPr>
          <w:rFonts w:ascii="Palatino Linotype" w:hAnsi="Palatino Linotype"/>
          <w:color w:val="000000" w:themeColor="text1"/>
        </w:rPr>
        <w:t xml:space="preserve"> </w:t>
      </w:r>
      <w:r w:rsidRPr="004F1A0A" w:rsidR="002350C8">
        <w:rPr>
          <w:rFonts w:ascii="Palatino Linotype" w:hAnsi="Palatino Linotype"/>
          <w:color w:val="000000" w:themeColor="text1"/>
        </w:rPr>
        <w:t>For example, t</w:t>
      </w:r>
      <w:r w:rsidRPr="004F1A0A" w:rsidR="00B12D0E">
        <w:rPr>
          <w:rFonts w:ascii="Palatino Linotype" w:hAnsi="Palatino Linotype"/>
          <w:color w:val="000000" w:themeColor="text1"/>
        </w:rPr>
        <w:t>he most recent CPUC Integrated Resource Planning (IRP) inputs and assumptions reflect that hydrogen is not an eligible candidate resource in the Preferred System Plan (PSP).</w:t>
      </w:r>
      <w:r w:rsidRPr="004F1A0A" w:rsidR="00B12D0E">
        <w:rPr>
          <w:rStyle w:val="FootnoteReference"/>
          <w:rFonts w:ascii="Palatino Linotype" w:hAnsi="Palatino Linotype"/>
          <w:color w:val="000000" w:themeColor="text1"/>
        </w:rPr>
        <w:footnoteReference w:id="80"/>
      </w:r>
      <w:r w:rsidRPr="004F1A0A" w:rsidR="00B12D0E">
        <w:rPr>
          <w:rFonts w:ascii="Palatino Linotype" w:hAnsi="Palatino Linotype"/>
          <w:color w:val="000000" w:themeColor="text1"/>
        </w:rPr>
        <w:t xml:space="preserve"> </w:t>
      </w:r>
      <w:r w:rsidRPr="004F1A0A" w:rsidR="0017657F">
        <w:rPr>
          <w:rFonts w:ascii="Palatino Linotype" w:hAnsi="Palatino Linotype"/>
          <w:color w:val="000000" w:themeColor="text1"/>
        </w:rPr>
        <w:t xml:space="preserve">Alternatively, the Commission has </w:t>
      </w:r>
      <w:r w:rsidR="00F241D5">
        <w:rPr>
          <w:rFonts w:ascii="Palatino Linotype" w:hAnsi="Palatino Linotype"/>
          <w:color w:val="000000" w:themeColor="text1"/>
        </w:rPr>
        <w:t>identified limited procurement of RNG as appropriate, with an aim to strike a balance between providing the resource an opportunity to scale and containing costs to address ratepayer affordability</w:t>
      </w:r>
      <w:r w:rsidRPr="004F1A0A" w:rsidR="00DA3940">
        <w:rPr>
          <w:rFonts w:ascii="Palatino Linotype" w:hAnsi="Palatino Linotype"/>
          <w:color w:val="000000" w:themeColor="text1"/>
        </w:rPr>
        <w:t>.</w:t>
      </w:r>
      <w:r>
        <w:rPr>
          <w:rFonts w:ascii="Palatino Linotype" w:hAnsi="Palatino Linotype"/>
          <w:color w:val="000000" w:themeColor="text1"/>
        </w:rPr>
        <w:t xml:space="preserve"> </w:t>
      </w:r>
      <w:r w:rsidRPr="004F1A0A" w:rsidR="00580DDC">
        <w:rPr>
          <w:rFonts w:ascii="Palatino Linotype" w:hAnsi="Palatino Linotype"/>
          <w:color w:val="000000" w:themeColor="text1"/>
        </w:rPr>
        <w:t xml:space="preserve">Further, current State and Commission policies clearly reflect the prioritization of ratepayer affordability. </w:t>
      </w:r>
      <w:r w:rsidRPr="004F1A0A" w:rsidR="00DA3940">
        <w:rPr>
          <w:rFonts w:ascii="Palatino Linotype" w:hAnsi="Palatino Linotype"/>
          <w:color w:val="000000" w:themeColor="text1"/>
        </w:rPr>
        <w:t xml:space="preserve">Therefore, </w:t>
      </w:r>
      <w:r w:rsidRPr="004F1A0A" w:rsidR="008C0149">
        <w:rPr>
          <w:rFonts w:ascii="Palatino Linotype" w:hAnsi="Palatino Linotype"/>
          <w:color w:val="000000" w:themeColor="text1"/>
        </w:rPr>
        <w:t xml:space="preserve">due to the scarcity of ratepayer funds </w:t>
      </w:r>
      <w:r w:rsidRPr="004F1A0A" w:rsidR="00BB59FE">
        <w:rPr>
          <w:rFonts w:ascii="Palatino Linotype" w:hAnsi="Palatino Linotype"/>
          <w:color w:val="000000" w:themeColor="text1"/>
        </w:rPr>
        <w:t>dedicated to the Gas RD&amp;D Program, SoCalGas shall remove requests</w:t>
      </w:r>
      <w:r w:rsidRPr="004F1A0A" w:rsidR="00AE3544">
        <w:rPr>
          <w:rFonts w:ascii="Palatino Linotype" w:hAnsi="Palatino Linotype"/>
          <w:color w:val="000000" w:themeColor="text1"/>
        </w:rPr>
        <w:t xml:space="preserve"> for hydrogen funding to reflect these priorities and be responsive to ratepayer affordability concerns</w:t>
      </w:r>
      <w:r w:rsidRPr="004F1A0A" w:rsidR="00AC0E65">
        <w:rPr>
          <w:rFonts w:ascii="Palatino Linotype" w:hAnsi="Palatino Linotype"/>
          <w:color w:val="000000" w:themeColor="text1"/>
        </w:rPr>
        <w:t xml:space="preserve">. </w:t>
      </w:r>
    </w:p>
    <w:p w:rsidRPr="004C425E" w:rsidR="006914AF" w:rsidP="00DA3940" w:rsidRDefault="006914AF" w14:paraId="0531FDD6" w14:textId="2D56DBAF">
      <w:pPr>
        <w:pStyle w:val="10sp0"/>
        <w:spacing w:before="240" w:after="0" w:line="276" w:lineRule="auto"/>
        <w:rPr>
          <w:rFonts w:ascii="Palatino Linotype" w:hAnsi="Palatino Linotype"/>
          <w:color w:val="000000" w:themeColor="text1"/>
          <w:szCs w:val="24"/>
        </w:rPr>
      </w:pPr>
      <w:r w:rsidRPr="004C425E">
        <w:rPr>
          <w:rFonts w:ascii="Palatino Linotype" w:hAnsi="Palatino Linotype"/>
          <w:color w:val="000000" w:themeColor="text1"/>
        </w:rPr>
        <w:t xml:space="preserve">In addition to </w:t>
      </w:r>
      <w:r w:rsidRPr="004C425E" w:rsidR="004762C0">
        <w:rPr>
          <w:rFonts w:ascii="Palatino Linotype" w:hAnsi="Palatino Linotype"/>
          <w:color w:val="000000" w:themeColor="text1"/>
        </w:rPr>
        <w:t>addressing compliance issues</w:t>
      </w:r>
      <w:r w:rsidRPr="004C425E" w:rsidR="003A64E0">
        <w:rPr>
          <w:rFonts w:ascii="Palatino Linotype" w:hAnsi="Palatino Linotype"/>
          <w:color w:val="000000" w:themeColor="text1"/>
        </w:rPr>
        <w:t>, SoCalGas shall make the following revisions to its 2024 Plan</w:t>
      </w:r>
      <w:r w:rsidRPr="004C425E" w:rsidR="006827E7">
        <w:rPr>
          <w:rFonts w:ascii="Palatino Linotype" w:hAnsi="Palatino Linotype"/>
          <w:color w:val="000000" w:themeColor="text1"/>
        </w:rPr>
        <w:t xml:space="preserve"> to provide greater clarity </w:t>
      </w:r>
      <w:proofErr w:type="gramStart"/>
      <w:r w:rsidRPr="004C425E" w:rsidR="006827E7">
        <w:rPr>
          <w:rFonts w:ascii="Palatino Linotype" w:hAnsi="Palatino Linotype"/>
          <w:color w:val="000000" w:themeColor="text1"/>
        </w:rPr>
        <w:t>to align</w:t>
      </w:r>
      <w:proofErr w:type="gramEnd"/>
      <w:r w:rsidRPr="004C425E" w:rsidR="006827E7">
        <w:rPr>
          <w:rFonts w:ascii="Palatino Linotype" w:hAnsi="Palatino Linotype"/>
          <w:color w:val="000000" w:themeColor="text1"/>
        </w:rPr>
        <w:t xml:space="preserve"> with </w:t>
      </w:r>
      <w:r w:rsidRPr="004C425E" w:rsidR="008A1AD4">
        <w:rPr>
          <w:rFonts w:ascii="Palatino Linotype" w:hAnsi="Palatino Linotype"/>
          <w:color w:val="000000" w:themeColor="text1"/>
        </w:rPr>
        <w:t>requirements</w:t>
      </w:r>
      <w:r w:rsidRPr="004C425E" w:rsidR="003A64E0">
        <w:rPr>
          <w:rFonts w:ascii="Palatino Linotype" w:hAnsi="Palatino Linotype"/>
          <w:color w:val="000000" w:themeColor="text1"/>
        </w:rPr>
        <w:t>:</w:t>
      </w:r>
    </w:p>
    <w:p w:rsidRPr="004C425E" w:rsidR="003A64E0" w:rsidP="00477204" w:rsidRDefault="003A64E0" w14:paraId="27197FBB" w14:textId="6E888F47">
      <w:pPr>
        <w:pStyle w:val="10sp0"/>
        <w:numPr>
          <w:ilvl w:val="0"/>
          <w:numId w:val="22"/>
        </w:numPr>
        <w:spacing w:after="0" w:line="276" w:lineRule="auto"/>
        <w:rPr>
          <w:rFonts w:ascii="Palatino Linotype" w:hAnsi="Palatino Linotype"/>
          <w:color w:val="000000" w:themeColor="text1"/>
        </w:rPr>
      </w:pPr>
      <w:r w:rsidRPr="004C425E">
        <w:rPr>
          <w:rFonts w:ascii="Palatino Linotype" w:hAnsi="Palatino Linotype"/>
          <w:color w:val="000000" w:themeColor="text1"/>
        </w:rPr>
        <w:t>R</w:t>
      </w:r>
      <w:r w:rsidRPr="004C425E" w:rsidR="006B5DA6">
        <w:rPr>
          <w:rFonts w:ascii="Palatino Linotype" w:hAnsi="Palatino Linotype"/>
          <w:color w:val="000000" w:themeColor="text1"/>
        </w:rPr>
        <w:t xml:space="preserve">eview </w:t>
      </w:r>
      <w:r w:rsidRPr="004C425E" w:rsidR="00984BD2">
        <w:rPr>
          <w:rFonts w:ascii="Palatino Linotype" w:hAnsi="Palatino Linotype"/>
          <w:color w:val="000000" w:themeColor="text1"/>
        </w:rPr>
        <w:t xml:space="preserve">its 2024 Plan for </w:t>
      </w:r>
      <w:r w:rsidRPr="004C425E" w:rsidR="00E23A2D">
        <w:rPr>
          <w:rFonts w:ascii="Palatino Linotype" w:hAnsi="Palatino Linotype"/>
          <w:color w:val="000000" w:themeColor="text1"/>
        </w:rPr>
        <w:t>elements of Initiatives that primarily support compliance with existing requirements</w:t>
      </w:r>
      <w:r w:rsidRPr="004C425E" w:rsidR="006A4E31">
        <w:rPr>
          <w:rFonts w:ascii="Palatino Linotype" w:hAnsi="Palatino Linotype"/>
          <w:color w:val="000000" w:themeColor="text1"/>
        </w:rPr>
        <w:t>/</w:t>
      </w:r>
      <w:r w:rsidRPr="004C425E" w:rsidR="00E23A2D">
        <w:rPr>
          <w:rFonts w:ascii="Palatino Linotype" w:hAnsi="Palatino Linotype"/>
          <w:color w:val="000000" w:themeColor="text1"/>
        </w:rPr>
        <w:t xml:space="preserve">regulations or </w:t>
      </w:r>
      <w:r w:rsidRPr="004C425E" w:rsidR="00FA4EDC">
        <w:rPr>
          <w:rFonts w:ascii="Palatino Linotype" w:hAnsi="Palatino Linotype"/>
          <w:color w:val="000000" w:themeColor="text1"/>
        </w:rPr>
        <w:t>ongoing operations and maintenance activities</w:t>
      </w:r>
      <w:r w:rsidRPr="004C425E" w:rsidR="000B5777">
        <w:rPr>
          <w:rFonts w:ascii="Palatino Linotype" w:hAnsi="Palatino Linotype"/>
          <w:color w:val="000000" w:themeColor="text1"/>
        </w:rPr>
        <w:t xml:space="preserve"> and</w:t>
      </w:r>
      <w:r w:rsidRPr="004C425E" w:rsidR="006A4E31">
        <w:rPr>
          <w:rFonts w:ascii="Palatino Linotype" w:hAnsi="Palatino Linotype"/>
          <w:color w:val="000000" w:themeColor="text1"/>
        </w:rPr>
        <w:t xml:space="preserve"> re</w:t>
      </w:r>
      <w:r w:rsidR="004C425E">
        <w:rPr>
          <w:rFonts w:ascii="Palatino Linotype" w:hAnsi="Palatino Linotype"/>
          <w:color w:val="000000" w:themeColor="text1"/>
        </w:rPr>
        <w:t>scope</w:t>
      </w:r>
      <w:r w:rsidRPr="004C425E" w:rsidR="006A4E31">
        <w:rPr>
          <w:rFonts w:ascii="Palatino Linotype" w:hAnsi="Palatino Linotype"/>
          <w:color w:val="000000" w:themeColor="text1"/>
        </w:rPr>
        <w:t xml:space="preserve"> </w:t>
      </w:r>
      <w:r w:rsidRPr="004C425E" w:rsidR="000B5777">
        <w:rPr>
          <w:rFonts w:ascii="Palatino Linotype" w:hAnsi="Palatino Linotype"/>
          <w:color w:val="000000" w:themeColor="text1"/>
        </w:rPr>
        <w:t xml:space="preserve">as necessary to demonstrate </w:t>
      </w:r>
      <w:r w:rsidRPr="004C425E" w:rsidR="004D0CE4">
        <w:rPr>
          <w:rFonts w:ascii="Palatino Linotype" w:hAnsi="Palatino Linotype"/>
          <w:color w:val="000000" w:themeColor="text1"/>
        </w:rPr>
        <w:t>ratepayer funds are used for innovative</w:t>
      </w:r>
      <w:r w:rsidRPr="004C425E" w:rsidR="001D194E">
        <w:rPr>
          <w:rFonts w:ascii="Palatino Linotype" w:hAnsi="Palatino Linotype"/>
          <w:color w:val="000000" w:themeColor="text1"/>
        </w:rPr>
        <w:t xml:space="preserve"> </w:t>
      </w:r>
      <w:r w:rsidRPr="004C425E" w:rsidR="005B095C">
        <w:rPr>
          <w:rFonts w:ascii="Palatino Linotype" w:hAnsi="Palatino Linotype"/>
          <w:color w:val="000000" w:themeColor="text1"/>
        </w:rPr>
        <w:t xml:space="preserve">RD&amp;D and </w:t>
      </w:r>
      <w:r w:rsidRPr="004C425E" w:rsidR="00DE7DC3">
        <w:rPr>
          <w:rFonts w:ascii="Palatino Linotype" w:hAnsi="Palatino Linotype"/>
          <w:color w:val="000000" w:themeColor="text1"/>
        </w:rPr>
        <w:t>produce impacts that would not otherwise be expected to occur.</w:t>
      </w:r>
      <w:r w:rsidRPr="004C425E" w:rsidR="00DE7DC3">
        <w:rPr>
          <w:rStyle w:val="FootnoteReference"/>
          <w:rFonts w:ascii="Palatino Linotype" w:hAnsi="Palatino Linotype"/>
          <w:color w:val="000000" w:themeColor="text1"/>
        </w:rPr>
        <w:footnoteReference w:id="81"/>
      </w:r>
      <w:r w:rsidRPr="004C425E" w:rsidR="00DE7DC3">
        <w:rPr>
          <w:rFonts w:ascii="Palatino Linotype" w:hAnsi="Palatino Linotype"/>
          <w:color w:val="000000" w:themeColor="text1"/>
        </w:rPr>
        <w:t xml:space="preserve"> </w:t>
      </w:r>
    </w:p>
    <w:p w:rsidRPr="004C425E" w:rsidR="713FD636" w:rsidP="00477204" w:rsidRDefault="713FD636" w14:paraId="0F46A970" w14:textId="61FC2342">
      <w:pPr>
        <w:pStyle w:val="10sp0"/>
        <w:numPr>
          <w:ilvl w:val="0"/>
          <w:numId w:val="22"/>
        </w:numPr>
        <w:spacing w:after="0" w:line="276" w:lineRule="auto"/>
        <w:rPr>
          <w:rFonts w:ascii="Palatino Linotype" w:hAnsi="Palatino Linotype" w:eastAsia="Palatino Linotype" w:cs="Palatino Linotype"/>
          <w:color w:val="000000" w:themeColor="text1"/>
        </w:rPr>
      </w:pPr>
      <w:r w:rsidRPr="004C425E">
        <w:rPr>
          <w:rFonts w:ascii="Palatino Linotype" w:hAnsi="Palatino Linotype" w:eastAsia="Palatino Linotype" w:cs="Palatino Linotype"/>
          <w:color w:val="000000" w:themeColor="text1"/>
        </w:rPr>
        <w:t>Indicate the program area across the product development cycle</w:t>
      </w:r>
      <w:r w:rsidR="002C4A74">
        <w:rPr>
          <w:rFonts w:ascii="Palatino Linotype" w:hAnsi="Palatino Linotype" w:eastAsia="Palatino Linotype" w:cs="Palatino Linotype"/>
          <w:color w:val="000000" w:themeColor="text1"/>
        </w:rPr>
        <w:t>,</w:t>
      </w:r>
      <w:r w:rsidRPr="004C425E">
        <w:rPr>
          <w:rFonts w:ascii="Palatino Linotype" w:hAnsi="Palatino Linotype" w:eastAsia="Palatino Linotype" w:cs="Palatino Linotype"/>
          <w:color w:val="000000" w:themeColor="text1"/>
        </w:rPr>
        <w:t xml:space="preserve"> detailed in Appendix D of this Resolution</w:t>
      </w:r>
      <w:r w:rsidR="002C4A74">
        <w:rPr>
          <w:rFonts w:ascii="Palatino Linotype" w:hAnsi="Palatino Linotype" w:eastAsia="Palatino Linotype" w:cs="Palatino Linotype"/>
          <w:color w:val="000000" w:themeColor="text1"/>
        </w:rPr>
        <w:t>,</w:t>
      </w:r>
      <w:r w:rsidR="00C43B8D">
        <w:rPr>
          <w:rStyle w:val="FootnoteReference"/>
          <w:rFonts w:ascii="Palatino Linotype" w:hAnsi="Palatino Linotype" w:eastAsia="Palatino Linotype" w:cs="Palatino Linotype"/>
          <w:color w:val="000000" w:themeColor="text1"/>
        </w:rPr>
        <w:footnoteReference w:id="82"/>
      </w:r>
      <w:r w:rsidRPr="004C425E">
        <w:rPr>
          <w:rFonts w:ascii="Palatino Linotype" w:hAnsi="Palatino Linotype" w:eastAsia="Palatino Linotype" w:cs="Palatino Linotype"/>
          <w:color w:val="000000" w:themeColor="text1"/>
        </w:rPr>
        <w:t xml:space="preserve"> associated with each listed Research Topics for further clarity on anticipated outputs from Initiatives.</w:t>
      </w:r>
    </w:p>
    <w:p w:rsidRPr="004C425E" w:rsidR="713FD636" w:rsidP="00477204" w:rsidRDefault="713FD636" w14:paraId="3A444F99" w14:textId="44AADE08">
      <w:pPr>
        <w:pStyle w:val="ListParagraph"/>
        <w:numPr>
          <w:ilvl w:val="0"/>
          <w:numId w:val="22"/>
        </w:numPr>
        <w:spacing w:after="0" w:line="276" w:lineRule="auto"/>
        <w:rPr>
          <w:rFonts w:ascii="Palatino Linotype" w:hAnsi="Palatino Linotype" w:eastAsia="Palatino Linotype" w:cs="Palatino Linotype"/>
          <w:color w:val="000000" w:themeColor="text1"/>
        </w:rPr>
      </w:pPr>
      <w:r w:rsidRPr="004C425E">
        <w:rPr>
          <w:rFonts w:ascii="Palatino Linotype" w:hAnsi="Palatino Linotype" w:eastAsia="Palatino Linotype" w:cs="Palatino Linotype"/>
          <w:color w:val="000000" w:themeColor="text1"/>
        </w:rPr>
        <w:t xml:space="preserve">Identify which of the proposed future project areas are anticipated to be funded through consortia.  </w:t>
      </w:r>
    </w:p>
    <w:p w:rsidRPr="004C425E" w:rsidR="00862A85" w:rsidP="00477204" w:rsidRDefault="003A64E0" w14:paraId="45B3A867" w14:textId="67BFA78D">
      <w:pPr>
        <w:pStyle w:val="10sp0"/>
        <w:numPr>
          <w:ilvl w:val="0"/>
          <w:numId w:val="22"/>
        </w:numPr>
        <w:spacing w:after="0" w:line="276" w:lineRule="auto"/>
        <w:rPr>
          <w:rFonts w:ascii="Palatino Linotype" w:hAnsi="Palatino Linotype"/>
          <w:color w:val="000000" w:themeColor="text1"/>
        </w:rPr>
      </w:pPr>
      <w:r w:rsidRPr="004C425E">
        <w:rPr>
          <w:rFonts w:ascii="Palatino Linotype" w:hAnsi="Palatino Linotype"/>
          <w:color w:val="000000" w:themeColor="text1"/>
        </w:rPr>
        <w:t>P</w:t>
      </w:r>
      <w:r w:rsidRPr="004C425E" w:rsidR="00B7650A">
        <w:rPr>
          <w:rFonts w:ascii="Palatino Linotype" w:hAnsi="Palatino Linotype"/>
          <w:color w:val="000000" w:themeColor="text1"/>
        </w:rPr>
        <w:t xml:space="preserve">rioritize zero-emission </w:t>
      </w:r>
      <w:r w:rsidRPr="004C425E" w:rsidR="0000580E">
        <w:rPr>
          <w:rFonts w:ascii="Palatino Linotype" w:hAnsi="Palatino Linotype"/>
          <w:color w:val="000000" w:themeColor="text1"/>
        </w:rPr>
        <w:t>over</w:t>
      </w:r>
      <w:r w:rsidRPr="004C425E" w:rsidR="00B7650A">
        <w:rPr>
          <w:rFonts w:ascii="Palatino Linotype" w:hAnsi="Palatino Linotype"/>
          <w:color w:val="000000" w:themeColor="text1"/>
        </w:rPr>
        <w:t xml:space="preserve"> low-emission </w:t>
      </w:r>
      <w:r w:rsidRPr="004C425E" w:rsidR="006F521E">
        <w:rPr>
          <w:rFonts w:ascii="Palatino Linotype" w:hAnsi="Palatino Linotype"/>
          <w:color w:val="000000" w:themeColor="text1"/>
        </w:rPr>
        <w:t>technologies</w:t>
      </w:r>
      <w:r w:rsidRPr="004C425E" w:rsidR="00B7650A">
        <w:rPr>
          <w:rFonts w:ascii="Palatino Linotype" w:hAnsi="Palatino Linotype"/>
          <w:color w:val="000000" w:themeColor="text1"/>
        </w:rPr>
        <w:t xml:space="preserve"> </w:t>
      </w:r>
      <w:r w:rsidRPr="004C425E" w:rsidR="00192E9F">
        <w:rPr>
          <w:rFonts w:ascii="Palatino Linotype" w:hAnsi="Palatino Linotype"/>
          <w:color w:val="000000" w:themeColor="text1"/>
        </w:rPr>
        <w:t xml:space="preserve">wherever possible, particularly </w:t>
      </w:r>
      <w:r w:rsidRPr="004C425E" w:rsidR="00B7650A">
        <w:rPr>
          <w:rFonts w:ascii="Palatino Linotype" w:hAnsi="Palatino Linotype"/>
          <w:color w:val="000000" w:themeColor="text1"/>
        </w:rPr>
        <w:t xml:space="preserve">under its </w:t>
      </w:r>
      <w:r w:rsidRPr="004C425E" w:rsidR="003219E5">
        <w:rPr>
          <w:rFonts w:ascii="Palatino Linotype" w:hAnsi="Palatino Linotype"/>
          <w:i/>
          <w:iCs/>
          <w:color w:val="000000" w:themeColor="text1"/>
        </w:rPr>
        <w:t>Low-Carbon Fuel Technologies</w:t>
      </w:r>
      <w:r w:rsidRPr="004C425E" w:rsidR="004C64D2">
        <w:rPr>
          <w:rStyle w:val="FootnoteReference"/>
          <w:rFonts w:ascii="Palatino Linotype" w:hAnsi="Palatino Linotype"/>
          <w:i/>
          <w:iCs/>
          <w:color w:val="000000" w:themeColor="text1"/>
        </w:rPr>
        <w:footnoteReference w:id="83"/>
      </w:r>
      <w:r w:rsidRPr="004C425E" w:rsidR="00FA06F4">
        <w:rPr>
          <w:rFonts w:ascii="Palatino Linotype" w:hAnsi="Palatino Linotype"/>
          <w:i/>
          <w:iCs/>
          <w:color w:val="000000" w:themeColor="text1"/>
        </w:rPr>
        <w:t xml:space="preserve"> </w:t>
      </w:r>
      <w:r w:rsidRPr="004C425E" w:rsidR="00FA06F4">
        <w:rPr>
          <w:rFonts w:ascii="Palatino Linotype" w:hAnsi="Palatino Linotype"/>
          <w:color w:val="000000" w:themeColor="text1"/>
        </w:rPr>
        <w:t xml:space="preserve">and </w:t>
      </w:r>
      <w:r w:rsidRPr="004C425E" w:rsidR="00FA06F4">
        <w:rPr>
          <w:rFonts w:ascii="Palatino Linotype" w:hAnsi="Palatino Linotype"/>
          <w:i/>
          <w:iCs/>
          <w:color w:val="000000" w:themeColor="text1"/>
        </w:rPr>
        <w:t>Energy Reliability &amp; Resilience</w:t>
      </w:r>
      <w:r w:rsidRPr="004C425E" w:rsidR="00FA06F4">
        <w:rPr>
          <w:rStyle w:val="FootnoteReference"/>
          <w:rFonts w:ascii="Palatino Linotype" w:hAnsi="Palatino Linotype"/>
          <w:i/>
          <w:iCs/>
          <w:color w:val="000000" w:themeColor="text1"/>
        </w:rPr>
        <w:footnoteReference w:id="84"/>
      </w:r>
      <w:r w:rsidRPr="004C425E" w:rsidR="00FA06F4">
        <w:rPr>
          <w:rFonts w:ascii="Palatino Linotype" w:hAnsi="Palatino Linotype"/>
          <w:color w:val="000000" w:themeColor="text1"/>
        </w:rPr>
        <w:t xml:space="preserve"> </w:t>
      </w:r>
      <w:r w:rsidRPr="004C425E" w:rsidR="00B7650A">
        <w:rPr>
          <w:rFonts w:ascii="Palatino Linotype" w:hAnsi="Palatino Linotype"/>
          <w:color w:val="000000" w:themeColor="text1"/>
        </w:rPr>
        <w:t>Initiative</w:t>
      </w:r>
      <w:r w:rsidRPr="004C425E" w:rsidR="003219E5">
        <w:rPr>
          <w:rFonts w:ascii="Palatino Linotype" w:hAnsi="Palatino Linotype"/>
          <w:color w:val="000000" w:themeColor="text1"/>
        </w:rPr>
        <w:t>s</w:t>
      </w:r>
      <w:r w:rsidRPr="004C425E" w:rsidR="00FB5194">
        <w:rPr>
          <w:rFonts w:ascii="Palatino Linotype" w:hAnsi="Palatino Linotype" w:eastAsia="Palatino Linotype" w:cs="Palatino Linotype"/>
          <w:color w:val="000000" w:themeColor="text1"/>
        </w:rPr>
        <w:t>.</w:t>
      </w:r>
      <w:r w:rsidRPr="004C425E" w:rsidR="00BD756F">
        <w:rPr>
          <w:rFonts w:ascii="Palatino Linotype" w:hAnsi="Palatino Linotype" w:eastAsia="Palatino Linotype" w:cs="Palatino Linotype"/>
          <w:color w:val="000000" w:themeColor="text1"/>
        </w:rPr>
        <w:t xml:space="preserve"> Otherwise, explain why zero-emission research is not possible.</w:t>
      </w:r>
    </w:p>
    <w:p w:rsidR="00345BEF" w:rsidP="00C8293A" w:rsidRDefault="00345BEF" w14:paraId="147CE412" w14:textId="2D676648">
      <w:pPr>
        <w:pStyle w:val="10sp0"/>
        <w:spacing w:before="240" w:after="0" w:line="276" w:lineRule="auto"/>
        <w:rPr>
          <w:rFonts w:ascii="Palatino Linotype" w:hAnsi="Palatino Linotype"/>
        </w:rPr>
      </w:pPr>
      <w:r w:rsidRPr="693F203E">
        <w:rPr>
          <w:rFonts w:ascii="Palatino Linotype" w:hAnsi="Palatino Linotype"/>
        </w:rPr>
        <w:lastRenderedPageBreak/>
        <w:t xml:space="preserve">Additionally, the Commission denies </w:t>
      </w:r>
      <w:r w:rsidRPr="693F203E" w:rsidR="00804603">
        <w:rPr>
          <w:rFonts w:ascii="Palatino Linotype" w:hAnsi="Palatino Linotype"/>
        </w:rPr>
        <w:t>SoCalGas’</w:t>
      </w:r>
      <w:r w:rsidRPr="693F203E">
        <w:rPr>
          <w:rFonts w:ascii="Palatino Linotype" w:hAnsi="Palatino Linotype"/>
        </w:rPr>
        <w:t xml:space="preserve"> proposed budget allocations of </w:t>
      </w:r>
      <w:r w:rsidRPr="693F203E" w:rsidR="00CD08E8">
        <w:rPr>
          <w:rFonts w:ascii="Palatino Linotype" w:hAnsi="Palatino Linotype"/>
        </w:rPr>
        <w:t xml:space="preserve">$675,000 </w:t>
      </w:r>
      <w:r w:rsidRPr="693F203E">
        <w:rPr>
          <w:rFonts w:ascii="Palatino Linotype" w:hAnsi="Palatino Linotype"/>
        </w:rPr>
        <w:t>for its proportional share of a Gas RD&amp;D Program Evaluation and $</w:t>
      </w:r>
      <w:r w:rsidRPr="693F203E" w:rsidR="0091558B">
        <w:rPr>
          <w:rFonts w:ascii="Palatino Linotype" w:hAnsi="Palatino Linotype"/>
        </w:rPr>
        <w:t>129,938</w:t>
      </w:r>
      <w:r w:rsidRPr="693F203E">
        <w:rPr>
          <w:rFonts w:ascii="Palatino Linotype" w:hAnsi="Palatino Linotype"/>
        </w:rPr>
        <w:t xml:space="preserve"> for its proportional share of developing a comprehensive Gas RD&amp;D Database.</w:t>
      </w:r>
      <w:r w:rsidRPr="693F203E" w:rsidR="00667E6A">
        <w:rPr>
          <w:rStyle w:val="FootnoteReference"/>
          <w:rFonts w:ascii="Palatino Linotype" w:hAnsi="Palatino Linotype"/>
        </w:rPr>
        <w:footnoteReference w:id="85"/>
      </w:r>
      <w:r w:rsidRPr="693F203E">
        <w:rPr>
          <w:rFonts w:ascii="Palatino Linotype" w:hAnsi="Palatino Linotype"/>
        </w:rPr>
        <w:t xml:space="preserve"> </w:t>
      </w:r>
      <w:r w:rsidRPr="693F203E" w:rsidR="00C8293A">
        <w:rPr>
          <w:rFonts w:ascii="Palatino Linotype" w:hAnsi="Palatino Linotype"/>
        </w:rPr>
        <w:t>T</w:t>
      </w:r>
      <w:r w:rsidRPr="693F203E">
        <w:rPr>
          <w:rFonts w:ascii="Palatino Linotype" w:hAnsi="Palatino Linotype"/>
        </w:rPr>
        <w:t>he Commission will</w:t>
      </w:r>
      <w:r w:rsidRPr="693F203E" w:rsidR="00B807BD">
        <w:rPr>
          <w:rFonts w:ascii="Palatino Linotype" w:hAnsi="Palatino Linotype"/>
        </w:rPr>
        <w:t>,</w:t>
      </w:r>
      <w:r w:rsidRPr="693F203E">
        <w:rPr>
          <w:rFonts w:ascii="Palatino Linotype" w:hAnsi="Palatino Linotype"/>
        </w:rPr>
        <w:t xml:space="preserve"> instead</w:t>
      </w:r>
      <w:r w:rsidRPr="693F203E" w:rsidR="00B807BD">
        <w:rPr>
          <w:rFonts w:ascii="Palatino Linotype" w:hAnsi="Palatino Linotype"/>
        </w:rPr>
        <w:t>,</w:t>
      </w:r>
      <w:r w:rsidRPr="693F203E">
        <w:rPr>
          <w:rFonts w:ascii="Palatino Linotype" w:hAnsi="Palatino Linotype"/>
        </w:rPr>
        <w:t xml:space="preserve"> determine a process to establish holistic oversight across all Gas RD&amp;D administrators for efficiency and effectiveness in the allocation of funds, conducting the evaluation, and developing the database.</w:t>
      </w:r>
    </w:p>
    <w:p w:rsidR="00BF76BA" w:rsidP="00F97978" w:rsidRDefault="00BF76BA" w14:paraId="723DA0CD" w14:textId="77777777">
      <w:pPr>
        <w:pStyle w:val="10sp0"/>
        <w:spacing w:after="0" w:line="276" w:lineRule="auto"/>
        <w:rPr>
          <w:rFonts w:ascii="Palatino Linotype" w:hAnsi="Palatino Linotype"/>
        </w:rPr>
      </w:pPr>
    </w:p>
    <w:p w:rsidRPr="00594CCE" w:rsidR="00BF76BA" w:rsidP="00BF76BA" w:rsidRDefault="00BF76BA" w14:paraId="075B69D1" w14:textId="2CA819D5">
      <w:pPr>
        <w:pStyle w:val="10sp0"/>
        <w:spacing w:line="276" w:lineRule="auto"/>
        <w:rPr>
          <w:rFonts w:ascii="Palatino Linotype" w:hAnsi="Palatino Linotype"/>
          <w:color w:val="000000" w:themeColor="text1"/>
          <w:u w:val="single"/>
        </w:rPr>
      </w:pPr>
      <w:r w:rsidRPr="00594CCE">
        <w:rPr>
          <w:rFonts w:ascii="Palatino Linotype" w:hAnsi="Palatino Linotype"/>
          <w:color w:val="000000" w:themeColor="text1"/>
          <w:u w:val="single"/>
        </w:rPr>
        <w:t xml:space="preserve">Resubmittal of </w:t>
      </w:r>
      <w:r w:rsidRPr="00594CCE" w:rsidR="004C5DEA">
        <w:rPr>
          <w:rFonts w:ascii="Palatino Linotype" w:hAnsi="Palatino Linotype"/>
          <w:color w:val="000000" w:themeColor="text1"/>
          <w:u w:val="single"/>
        </w:rPr>
        <w:t>SoCalGas</w:t>
      </w:r>
      <w:r w:rsidRPr="00594CCE">
        <w:rPr>
          <w:rFonts w:ascii="Palatino Linotype" w:hAnsi="Palatino Linotype"/>
          <w:color w:val="000000" w:themeColor="text1"/>
          <w:u w:val="single"/>
        </w:rPr>
        <w:t>’ 2024 Plan</w:t>
      </w:r>
    </w:p>
    <w:p w:rsidRPr="00142242" w:rsidR="001B2CFC" w:rsidP="001B2CFC" w:rsidRDefault="001B2CFC" w14:paraId="68F8E5F6" w14:textId="656310D8">
      <w:pPr>
        <w:pStyle w:val="10sp0"/>
        <w:spacing w:after="0" w:line="276" w:lineRule="auto"/>
        <w:rPr>
          <w:rFonts w:ascii="Palatino Linotype" w:hAnsi="Palatino Linotype"/>
          <w:color w:val="000000" w:themeColor="text1"/>
        </w:rPr>
      </w:pPr>
      <w:r w:rsidRPr="00A709D7">
        <w:rPr>
          <w:rFonts w:ascii="Palatino Linotype" w:hAnsi="Palatino Linotype"/>
          <w:color w:val="000000" w:themeColor="text1"/>
        </w:rPr>
        <w:t>The Commission authorizes a budget of $</w:t>
      </w:r>
      <w:r w:rsidR="0015463F">
        <w:rPr>
          <w:rFonts w:ascii="Palatino Linotype" w:hAnsi="Palatino Linotype"/>
          <w:color w:val="000000" w:themeColor="text1"/>
        </w:rPr>
        <w:t>17.853</w:t>
      </w:r>
      <w:r>
        <w:rPr>
          <w:rFonts w:ascii="Palatino Linotype" w:hAnsi="Palatino Linotype"/>
          <w:color w:val="000000" w:themeColor="text1"/>
        </w:rPr>
        <w:t>M</w:t>
      </w:r>
      <w:r w:rsidRPr="00A709D7">
        <w:rPr>
          <w:rFonts w:ascii="Palatino Linotype" w:hAnsi="Palatino Linotype"/>
          <w:color w:val="000000" w:themeColor="text1"/>
        </w:rPr>
        <w:t xml:space="preserve"> for </w:t>
      </w:r>
      <w:r>
        <w:rPr>
          <w:rFonts w:ascii="Palatino Linotype" w:hAnsi="Palatino Linotype"/>
          <w:color w:val="000000" w:themeColor="text1"/>
        </w:rPr>
        <w:t>SoCalGas’ 202</w:t>
      </w:r>
      <w:r w:rsidR="00895753">
        <w:rPr>
          <w:rFonts w:ascii="Palatino Linotype" w:hAnsi="Palatino Linotype"/>
          <w:color w:val="000000" w:themeColor="text1"/>
        </w:rPr>
        <w:t>4</w:t>
      </w:r>
      <w:r w:rsidRPr="00A709D7">
        <w:rPr>
          <w:rFonts w:ascii="Palatino Linotype" w:hAnsi="Palatino Linotype"/>
          <w:color w:val="000000" w:themeColor="text1"/>
        </w:rPr>
        <w:t xml:space="preserve"> Plan as detailed in Appendix </w:t>
      </w:r>
      <w:r w:rsidR="00CE7519">
        <w:rPr>
          <w:rFonts w:ascii="Palatino Linotype" w:hAnsi="Palatino Linotype"/>
          <w:color w:val="000000" w:themeColor="text1"/>
        </w:rPr>
        <w:t>G</w:t>
      </w:r>
      <w:r w:rsidRPr="00A709D7">
        <w:rPr>
          <w:rFonts w:ascii="Palatino Linotype" w:hAnsi="Palatino Linotype"/>
          <w:color w:val="000000" w:themeColor="text1"/>
        </w:rPr>
        <w:t>, including a Program Administration budget of $</w:t>
      </w:r>
      <w:r>
        <w:rPr>
          <w:rFonts w:ascii="Palatino Linotype" w:hAnsi="Palatino Linotype"/>
          <w:color w:val="000000" w:themeColor="text1"/>
        </w:rPr>
        <w:t>1,</w:t>
      </w:r>
      <w:r w:rsidR="0015463F">
        <w:rPr>
          <w:rFonts w:ascii="Palatino Linotype" w:hAnsi="Palatino Linotype"/>
          <w:color w:val="000000" w:themeColor="text1"/>
        </w:rPr>
        <w:t>785,300</w:t>
      </w:r>
      <w:r w:rsidRPr="00A709D7">
        <w:rPr>
          <w:rFonts w:ascii="Palatino Linotype" w:hAnsi="Palatino Linotype"/>
          <w:color w:val="000000" w:themeColor="text1"/>
        </w:rPr>
        <w:t xml:space="preserve">. The Commission’s authorization of </w:t>
      </w:r>
      <w:r>
        <w:rPr>
          <w:rFonts w:ascii="Palatino Linotype" w:hAnsi="Palatino Linotype"/>
          <w:color w:val="000000" w:themeColor="text1"/>
        </w:rPr>
        <w:t>SoCalGas’ 202</w:t>
      </w:r>
      <w:r w:rsidR="00895753">
        <w:rPr>
          <w:rFonts w:ascii="Palatino Linotype" w:hAnsi="Palatino Linotype"/>
          <w:color w:val="000000" w:themeColor="text1"/>
        </w:rPr>
        <w:t>4</w:t>
      </w:r>
      <w:r>
        <w:rPr>
          <w:rFonts w:ascii="Palatino Linotype" w:hAnsi="Palatino Linotype"/>
          <w:color w:val="000000" w:themeColor="text1"/>
        </w:rPr>
        <w:t xml:space="preserve"> </w:t>
      </w:r>
      <w:r w:rsidRPr="00A709D7">
        <w:rPr>
          <w:rFonts w:ascii="Palatino Linotype" w:hAnsi="Palatino Linotype"/>
          <w:color w:val="000000" w:themeColor="text1"/>
        </w:rPr>
        <w:t xml:space="preserve">Gas RD&amp;D Plan budget level requires </w:t>
      </w:r>
      <w:r>
        <w:rPr>
          <w:rFonts w:ascii="Palatino Linotype" w:hAnsi="Palatino Linotype"/>
          <w:color w:val="000000" w:themeColor="text1"/>
        </w:rPr>
        <w:t>SoCalGas</w:t>
      </w:r>
      <w:r w:rsidRPr="00A709D7">
        <w:rPr>
          <w:rFonts w:ascii="Palatino Linotype" w:hAnsi="Palatino Linotype"/>
          <w:color w:val="000000" w:themeColor="text1"/>
        </w:rPr>
        <w:t xml:space="preserve"> to submit a revised 202</w:t>
      </w:r>
      <w:r w:rsidR="00895753">
        <w:rPr>
          <w:rFonts w:ascii="Palatino Linotype" w:hAnsi="Palatino Linotype"/>
          <w:color w:val="000000" w:themeColor="text1"/>
        </w:rPr>
        <w:t>4</w:t>
      </w:r>
      <w:r w:rsidRPr="00A709D7">
        <w:rPr>
          <w:rFonts w:ascii="Palatino Linotype" w:hAnsi="Palatino Linotype"/>
          <w:color w:val="000000" w:themeColor="text1"/>
        </w:rPr>
        <w:t xml:space="preserve"> Plan via Tier 2 AL within 60 days </w:t>
      </w:r>
      <w:r>
        <w:rPr>
          <w:rFonts w:ascii="Palatino Linotype" w:hAnsi="Palatino Linotype"/>
          <w:color w:val="000000" w:themeColor="text1"/>
        </w:rPr>
        <w:t xml:space="preserve">reflecting the denied funding and </w:t>
      </w:r>
      <w:r w:rsidRPr="00A709D7">
        <w:rPr>
          <w:rFonts w:ascii="Palatino Linotype" w:hAnsi="Palatino Linotype"/>
          <w:color w:val="000000" w:themeColor="text1"/>
        </w:rPr>
        <w:t>addressing the identified compliance issues requiring modifications</w:t>
      </w:r>
      <w:r>
        <w:rPr>
          <w:rFonts w:ascii="Palatino Linotype" w:hAnsi="Palatino Linotype"/>
          <w:color w:val="000000" w:themeColor="text1"/>
        </w:rPr>
        <w:t>.</w:t>
      </w:r>
    </w:p>
    <w:p w:rsidR="00BF76BA" w:rsidP="00F97978" w:rsidRDefault="00BF76BA" w14:paraId="7E778658" w14:textId="77777777">
      <w:pPr>
        <w:pStyle w:val="10sp0"/>
        <w:spacing w:after="0" w:line="276" w:lineRule="auto"/>
        <w:rPr>
          <w:rFonts w:ascii="Palatino Linotype" w:hAnsi="Palatino Linotype"/>
        </w:rPr>
      </w:pPr>
    </w:p>
    <w:p w:rsidRPr="008F6505" w:rsidR="00BF76BA" w:rsidP="00BF76BA" w:rsidRDefault="00BF76BA" w14:paraId="4C15BB70" w14:textId="3B5255EA">
      <w:pPr>
        <w:pStyle w:val="10sp0"/>
        <w:spacing w:before="240" w:line="276" w:lineRule="auto"/>
        <w:rPr>
          <w:rFonts w:ascii="Palatino Linotype" w:hAnsi="Palatino Linotype"/>
          <w:b/>
          <w:bCs/>
        </w:rPr>
      </w:pPr>
      <w:r w:rsidRPr="004737CD">
        <w:rPr>
          <w:rFonts w:ascii="Palatino Linotype" w:hAnsi="Palatino Linotype"/>
          <w:b/>
          <w:bCs/>
        </w:rPr>
        <w:t>Compliance Assessment of AL 6496-G-A - 2025 Gas RD&amp;D Plan</w:t>
      </w:r>
      <w:r w:rsidRPr="008F6505">
        <w:rPr>
          <w:rFonts w:ascii="Palatino Linotype" w:hAnsi="Palatino Linotype"/>
          <w:b/>
          <w:bCs/>
        </w:rPr>
        <w:t xml:space="preserve"> </w:t>
      </w:r>
    </w:p>
    <w:p w:rsidR="00594CCE" w:rsidP="00594CCE" w:rsidRDefault="00594CCE" w14:paraId="1AAE3182" w14:textId="75AE4BFA">
      <w:pPr>
        <w:pStyle w:val="10sp0"/>
        <w:spacing w:after="0" w:line="276" w:lineRule="auto"/>
        <w:rPr>
          <w:rFonts w:ascii="Palatino Linotype" w:hAnsi="Palatino Linotype"/>
        </w:rPr>
      </w:pPr>
      <w:r w:rsidRPr="006F222D">
        <w:rPr>
          <w:rFonts w:ascii="Palatino Linotype" w:hAnsi="Palatino Linotype"/>
        </w:rPr>
        <w:t xml:space="preserve">Energy Division staff </w:t>
      </w:r>
      <w:proofErr w:type="gramStart"/>
      <w:r w:rsidRPr="006F222D">
        <w:rPr>
          <w:rFonts w:ascii="Palatino Linotype" w:hAnsi="Palatino Linotype"/>
        </w:rPr>
        <w:t>conducted an assessment of</w:t>
      </w:r>
      <w:proofErr w:type="gramEnd"/>
      <w:r w:rsidRPr="006F222D">
        <w:rPr>
          <w:rFonts w:ascii="Palatino Linotype" w:hAnsi="Palatino Linotype"/>
        </w:rPr>
        <w:t xml:space="preserve"> </w:t>
      </w:r>
      <w:r>
        <w:rPr>
          <w:rFonts w:ascii="Palatino Linotype" w:hAnsi="Palatino Linotype"/>
        </w:rPr>
        <w:t>SoCalGas’</w:t>
      </w:r>
      <w:r w:rsidRPr="006F222D">
        <w:rPr>
          <w:rFonts w:ascii="Palatino Linotype" w:hAnsi="Palatino Linotype"/>
        </w:rPr>
        <w:t xml:space="preserve"> </w:t>
      </w:r>
      <w:r>
        <w:rPr>
          <w:rFonts w:ascii="Palatino Linotype" w:hAnsi="Palatino Linotype"/>
        </w:rPr>
        <w:t>AL 6496-G-A</w:t>
      </w:r>
      <w:r w:rsidRPr="008F6505">
        <w:rPr>
          <w:rFonts w:ascii="Palatino Linotype" w:hAnsi="Palatino Linotype"/>
        </w:rPr>
        <w:t xml:space="preserve"> </w:t>
      </w:r>
      <w:r w:rsidRPr="006F222D">
        <w:rPr>
          <w:rFonts w:ascii="Palatino Linotype" w:hAnsi="Palatino Linotype"/>
        </w:rPr>
        <w:t>proposing its 202</w:t>
      </w:r>
      <w:r>
        <w:rPr>
          <w:rFonts w:ascii="Palatino Linotype" w:hAnsi="Palatino Linotype"/>
        </w:rPr>
        <w:t>5</w:t>
      </w:r>
      <w:r w:rsidRPr="006F222D">
        <w:rPr>
          <w:rFonts w:ascii="Palatino Linotype" w:hAnsi="Palatino Linotype"/>
        </w:rPr>
        <w:t xml:space="preserve"> Gas RD&amp;D Investment Plan. Staff assessed </w:t>
      </w:r>
      <w:r>
        <w:rPr>
          <w:rFonts w:ascii="Palatino Linotype" w:hAnsi="Palatino Linotype"/>
        </w:rPr>
        <w:t>SoCalGas’</w:t>
      </w:r>
      <w:r w:rsidRPr="006F222D">
        <w:rPr>
          <w:rFonts w:ascii="Palatino Linotype" w:hAnsi="Palatino Linotype"/>
        </w:rPr>
        <w:t xml:space="preserve"> 202</w:t>
      </w:r>
      <w:r>
        <w:rPr>
          <w:rFonts w:ascii="Palatino Linotype" w:hAnsi="Palatino Linotype"/>
        </w:rPr>
        <w:t>5</w:t>
      </w:r>
      <w:r w:rsidRPr="006F222D">
        <w:rPr>
          <w:rFonts w:ascii="Palatino Linotype" w:hAnsi="Palatino Linotype"/>
        </w:rPr>
        <w:t xml:space="preserve"> Plan based on consistency with requirements and previous Commission guidance. The Commission finds that in some areas </w:t>
      </w:r>
      <w:r>
        <w:rPr>
          <w:rFonts w:ascii="Palatino Linotype" w:hAnsi="Palatino Linotype"/>
        </w:rPr>
        <w:t>SoCalGas’</w:t>
      </w:r>
      <w:r w:rsidRPr="006F222D">
        <w:rPr>
          <w:rFonts w:ascii="Palatino Linotype" w:hAnsi="Palatino Linotype"/>
        </w:rPr>
        <w:t xml:space="preserve"> </w:t>
      </w:r>
      <w:r>
        <w:rPr>
          <w:rFonts w:ascii="Palatino Linotype" w:hAnsi="Palatino Linotype"/>
        </w:rPr>
        <w:t>AL 6496-G-A</w:t>
      </w:r>
      <w:r w:rsidRPr="006F222D">
        <w:rPr>
          <w:rFonts w:ascii="Palatino Linotype" w:hAnsi="Palatino Linotype"/>
        </w:rPr>
        <w:t xml:space="preserve"> is not fully compliant with the Commission’s previously adopted requirements as described below. See also Appendix </w:t>
      </w:r>
      <w:r w:rsidR="004001BD">
        <w:rPr>
          <w:rFonts w:ascii="Palatino Linotype" w:hAnsi="Palatino Linotype"/>
        </w:rPr>
        <w:t>H</w:t>
      </w:r>
      <w:r>
        <w:rPr>
          <w:rFonts w:ascii="Palatino Linotype" w:hAnsi="Palatino Linotype"/>
        </w:rPr>
        <w:t xml:space="preserve"> </w:t>
      </w:r>
      <w:r w:rsidRPr="006F222D">
        <w:rPr>
          <w:rFonts w:ascii="Palatino Linotype" w:hAnsi="Palatino Linotype"/>
        </w:rPr>
        <w:t>for additional details:</w:t>
      </w:r>
    </w:p>
    <w:p w:rsidR="00F33352" w:rsidP="00477204" w:rsidRDefault="00791B5C" w14:paraId="184010A0" w14:textId="1D950D50">
      <w:pPr>
        <w:pStyle w:val="10sp0"/>
        <w:numPr>
          <w:ilvl w:val="0"/>
          <w:numId w:val="18"/>
        </w:numPr>
        <w:spacing w:after="0" w:line="276" w:lineRule="auto"/>
        <w:rPr>
          <w:rFonts w:ascii="Palatino Linotype" w:hAnsi="Palatino Linotype"/>
        </w:rPr>
      </w:pPr>
      <w:r w:rsidRPr="693F203E">
        <w:rPr>
          <w:rFonts w:ascii="Palatino Linotype" w:hAnsi="Palatino Linotype"/>
        </w:rPr>
        <w:t>SoCalGas does not demonstrate alignment with CPUC proceedings</w:t>
      </w:r>
      <w:r w:rsidR="008C4745">
        <w:rPr>
          <w:rFonts w:ascii="Palatino Linotype" w:hAnsi="Palatino Linotype"/>
        </w:rPr>
        <w:t xml:space="preserve"> </w:t>
      </w:r>
      <w:r w:rsidRPr="693F203E">
        <w:rPr>
          <w:rFonts w:ascii="Palatino Linotype" w:hAnsi="Palatino Linotype"/>
        </w:rPr>
        <w:t>and ratepayer benefit</w:t>
      </w:r>
      <w:r w:rsidR="007D5678">
        <w:rPr>
          <w:rStyle w:val="FootnoteReference"/>
          <w:rFonts w:ascii="Palatino Linotype" w:hAnsi="Palatino Linotype"/>
        </w:rPr>
        <w:footnoteReference w:id="86"/>
      </w:r>
      <w:r w:rsidRPr="693F203E">
        <w:rPr>
          <w:rFonts w:ascii="Palatino Linotype" w:hAnsi="Palatino Linotype"/>
        </w:rPr>
        <w:t xml:space="preserve"> where</w:t>
      </w:r>
      <w:r w:rsidR="00F33352">
        <w:rPr>
          <w:rFonts w:ascii="Palatino Linotype" w:hAnsi="Palatino Linotype"/>
        </w:rPr>
        <w:t xml:space="preserve">: </w:t>
      </w:r>
    </w:p>
    <w:p w:rsidRPr="002302C9" w:rsidR="00791B5C" w:rsidP="00477204" w:rsidRDefault="00F33352" w14:paraId="6A5224C1" w14:textId="64FABC9F">
      <w:pPr>
        <w:pStyle w:val="10sp0"/>
        <w:numPr>
          <w:ilvl w:val="1"/>
          <w:numId w:val="18"/>
        </w:numPr>
        <w:spacing w:after="0" w:line="276" w:lineRule="auto"/>
        <w:rPr>
          <w:rFonts w:ascii="Palatino Linotype" w:hAnsi="Palatino Linotype"/>
        </w:rPr>
      </w:pPr>
      <w:r>
        <w:rPr>
          <w:rFonts w:ascii="Palatino Linotype" w:hAnsi="Palatino Linotype"/>
        </w:rPr>
        <w:t>R</w:t>
      </w:r>
      <w:r w:rsidRPr="693F203E" w:rsidR="00791B5C">
        <w:rPr>
          <w:rFonts w:ascii="Palatino Linotype" w:hAnsi="Palatino Linotype"/>
          <w:color w:val="000000" w:themeColor="text1"/>
        </w:rPr>
        <w:t>equesting both new and further funding for hydrogen-related RD&amp;D projects.</w:t>
      </w:r>
      <w:r w:rsidRPr="693F203E" w:rsidR="008C4745">
        <w:rPr>
          <w:rFonts w:ascii="Palatino Linotype" w:hAnsi="Palatino Linotype"/>
          <w:color w:val="000000" w:themeColor="text1"/>
        </w:rPr>
        <w:t xml:space="preserve"> </w:t>
      </w:r>
      <w:r w:rsidR="008C4745">
        <w:rPr>
          <w:rFonts w:ascii="Palatino Linotype" w:hAnsi="Palatino Linotype"/>
        </w:rPr>
        <w:t>Under</w:t>
      </w:r>
      <w:r w:rsidRPr="693F203E" w:rsidR="008C4745">
        <w:rPr>
          <w:rFonts w:ascii="Palatino Linotype" w:hAnsi="Palatino Linotype"/>
        </w:rPr>
        <w:t xml:space="preserve"> the following Initiatives</w:t>
      </w:r>
      <w:r w:rsidR="008C4745">
        <w:rPr>
          <w:rFonts w:ascii="Palatino Linotype" w:hAnsi="Palatino Linotype"/>
        </w:rPr>
        <w:t>,</w:t>
      </w:r>
      <w:r w:rsidRPr="693F203E" w:rsidR="008C4745">
        <w:rPr>
          <w:rFonts w:ascii="Palatino Linotype" w:hAnsi="Palatino Linotype"/>
        </w:rPr>
        <w:t xml:space="preserve"> </w:t>
      </w:r>
      <w:r w:rsidRPr="002C4A74" w:rsidR="008C4745">
        <w:rPr>
          <w:rFonts w:ascii="Palatino Linotype" w:hAnsi="Palatino Linotype"/>
          <w:color w:val="000000" w:themeColor="text1"/>
        </w:rPr>
        <w:t xml:space="preserve">SoCalGas </w:t>
      </w:r>
      <w:r w:rsidRPr="002C4A74" w:rsidR="008822B5">
        <w:rPr>
          <w:rFonts w:ascii="Palatino Linotype" w:hAnsi="Palatino Linotype"/>
          <w:color w:val="000000" w:themeColor="text1"/>
        </w:rPr>
        <w:t xml:space="preserve">must </w:t>
      </w:r>
      <w:r w:rsidRPr="002C4A74" w:rsidR="008C4745">
        <w:rPr>
          <w:rFonts w:ascii="Palatino Linotype" w:hAnsi="Palatino Linotype"/>
          <w:color w:val="000000" w:themeColor="text1"/>
        </w:rPr>
        <w:t xml:space="preserve">reallocate </w:t>
      </w:r>
      <w:r w:rsidRPr="1927BCA5" w:rsidR="008C4745">
        <w:rPr>
          <w:rFonts w:ascii="Palatino Linotype" w:hAnsi="Palatino Linotype"/>
        </w:rPr>
        <w:t xml:space="preserve">funds proposed for hydrogen projects </w:t>
      </w:r>
      <w:r w:rsidR="002C3699">
        <w:rPr>
          <w:rFonts w:ascii="Palatino Linotype" w:hAnsi="Palatino Linotype"/>
        </w:rPr>
        <w:t>for</w:t>
      </w:r>
      <w:r w:rsidRPr="1927BCA5" w:rsidR="008C4745">
        <w:rPr>
          <w:rFonts w:ascii="Palatino Linotype" w:hAnsi="Palatino Linotype"/>
        </w:rPr>
        <w:t xml:space="preserve"> eligible purposes:</w:t>
      </w:r>
    </w:p>
    <w:p w:rsidRPr="00FB00CB" w:rsidR="00791B5C" w:rsidP="00477204" w:rsidRDefault="00791B5C" w14:paraId="6C59027C" w14:textId="77777777">
      <w:pPr>
        <w:pStyle w:val="10sp0"/>
        <w:numPr>
          <w:ilvl w:val="2"/>
          <w:numId w:val="18"/>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t xml:space="preserve">Environmental &amp; Safety, </w:t>
      </w:r>
    </w:p>
    <w:p w:rsidRPr="00FB00CB" w:rsidR="00791B5C" w:rsidP="00477204" w:rsidRDefault="00791B5C" w14:paraId="2DC15159" w14:textId="77777777">
      <w:pPr>
        <w:pStyle w:val="10sp0"/>
        <w:numPr>
          <w:ilvl w:val="2"/>
          <w:numId w:val="18"/>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t xml:space="preserve">Operations Technology, </w:t>
      </w:r>
    </w:p>
    <w:p w:rsidRPr="00FB00CB" w:rsidR="00791B5C" w:rsidP="00477204" w:rsidRDefault="00791B5C" w14:paraId="6C5A9860" w14:textId="77777777">
      <w:pPr>
        <w:pStyle w:val="10sp0"/>
        <w:numPr>
          <w:ilvl w:val="2"/>
          <w:numId w:val="18"/>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lastRenderedPageBreak/>
        <w:t xml:space="preserve">Gas &amp; Energy Storage, </w:t>
      </w:r>
    </w:p>
    <w:p w:rsidRPr="00FB00CB" w:rsidR="00791B5C" w:rsidP="00477204" w:rsidRDefault="00791B5C" w14:paraId="6A947AEE" w14:textId="77777777">
      <w:pPr>
        <w:pStyle w:val="10sp0"/>
        <w:numPr>
          <w:ilvl w:val="2"/>
          <w:numId w:val="18"/>
        </w:numPr>
        <w:spacing w:after="0" w:line="276" w:lineRule="auto"/>
        <w:rPr>
          <w:rFonts w:ascii="Palatino Linotype" w:hAnsi="Palatino Linotype"/>
          <w:i/>
          <w:iCs/>
          <w:szCs w:val="24"/>
        </w:rPr>
      </w:pPr>
      <w:r w:rsidRPr="00FB00CB">
        <w:rPr>
          <w:rFonts w:ascii="Palatino Linotype" w:hAnsi="Palatino Linotype"/>
          <w:bCs/>
          <w:i/>
          <w:iCs/>
          <w:color w:val="000000" w:themeColor="text1"/>
          <w:szCs w:val="24"/>
        </w:rPr>
        <w:t xml:space="preserve">Low Carbon Fuel Technologies, </w:t>
      </w:r>
    </w:p>
    <w:p w:rsidRPr="004C425E" w:rsidR="00791B5C" w:rsidP="00477204" w:rsidRDefault="00791B5C" w14:paraId="5D3CF791" w14:textId="77777777">
      <w:pPr>
        <w:pStyle w:val="10sp0"/>
        <w:numPr>
          <w:ilvl w:val="2"/>
          <w:numId w:val="18"/>
        </w:numPr>
        <w:spacing w:after="0" w:line="276" w:lineRule="auto"/>
        <w:rPr>
          <w:rFonts w:ascii="Palatino Linotype" w:hAnsi="Palatino Linotype"/>
          <w:i/>
          <w:iCs/>
          <w:color w:val="000000" w:themeColor="text1"/>
          <w:szCs w:val="24"/>
        </w:rPr>
      </w:pPr>
      <w:r w:rsidRPr="004C425E">
        <w:rPr>
          <w:rFonts w:ascii="Palatino Linotype" w:hAnsi="Palatino Linotype"/>
          <w:bCs/>
          <w:i/>
          <w:iCs/>
          <w:color w:val="000000" w:themeColor="text1"/>
          <w:szCs w:val="24"/>
        </w:rPr>
        <w:t xml:space="preserve">Low Carbon Fuel Integration, </w:t>
      </w:r>
      <w:r w:rsidRPr="004C425E">
        <w:rPr>
          <w:rFonts w:ascii="Palatino Linotype" w:hAnsi="Palatino Linotype"/>
          <w:bCs/>
          <w:color w:val="000000" w:themeColor="text1"/>
          <w:szCs w:val="24"/>
        </w:rPr>
        <w:t xml:space="preserve">and </w:t>
      </w:r>
    </w:p>
    <w:p w:rsidRPr="004C425E" w:rsidR="00791B5C" w:rsidP="00477204" w:rsidRDefault="00791B5C" w14:paraId="06F2603A" w14:textId="77777777">
      <w:pPr>
        <w:pStyle w:val="10sp0"/>
        <w:numPr>
          <w:ilvl w:val="2"/>
          <w:numId w:val="18"/>
        </w:numPr>
        <w:spacing w:after="0" w:line="276" w:lineRule="auto"/>
        <w:rPr>
          <w:rFonts w:ascii="Palatino Linotype" w:hAnsi="Palatino Linotype"/>
          <w:i/>
          <w:iCs/>
          <w:color w:val="000000" w:themeColor="text1"/>
          <w:szCs w:val="24"/>
        </w:rPr>
      </w:pPr>
      <w:r w:rsidRPr="004C425E">
        <w:rPr>
          <w:rFonts w:ascii="Palatino Linotype" w:hAnsi="Palatino Linotype"/>
          <w:i/>
          <w:iCs/>
          <w:color w:val="000000" w:themeColor="text1"/>
        </w:rPr>
        <w:t>Energy Reliability &amp; Resilience.</w:t>
      </w:r>
      <w:r w:rsidRPr="004C425E">
        <w:rPr>
          <w:rStyle w:val="FootnoteReference"/>
          <w:rFonts w:ascii="Palatino Linotype" w:hAnsi="Palatino Linotype"/>
          <w:color w:val="000000" w:themeColor="text1"/>
        </w:rPr>
        <w:footnoteReference w:id="87"/>
      </w:r>
    </w:p>
    <w:p w:rsidRPr="004C425E" w:rsidR="00F33352" w:rsidP="00477204" w:rsidRDefault="00F33352" w14:paraId="0216F5B1" w14:textId="049458C1">
      <w:pPr>
        <w:pStyle w:val="10sp0"/>
        <w:numPr>
          <w:ilvl w:val="1"/>
          <w:numId w:val="18"/>
        </w:numPr>
        <w:spacing w:after="0" w:line="276" w:lineRule="auto"/>
        <w:rPr>
          <w:rFonts w:ascii="Palatino Linotype" w:hAnsi="Palatino Linotype"/>
          <w:color w:val="000000" w:themeColor="text1"/>
        </w:rPr>
      </w:pPr>
      <w:r w:rsidRPr="004C425E">
        <w:rPr>
          <w:rFonts w:ascii="Palatino Linotype" w:hAnsi="Palatino Linotype"/>
          <w:color w:val="000000" w:themeColor="text1"/>
        </w:rPr>
        <w:t xml:space="preserve">Requesting funding for carbon capture activities under the “Integrating carbon management </w:t>
      </w:r>
      <w:r w:rsidR="00F05482">
        <w:rPr>
          <w:rFonts w:ascii="Palatino Linotype" w:hAnsi="Palatino Linotype"/>
          <w:color w:val="000000" w:themeColor="text1"/>
        </w:rPr>
        <w:t>solutions</w:t>
      </w:r>
      <w:r w:rsidRPr="004C425E">
        <w:rPr>
          <w:rFonts w:ascii="Palatino Linotype" w:hAnsi="Palatino Linotype"/>
          <w:color w:val="000000" w:themeColor="text1"/>
        </w:rPr>
        <w:t xml:space="preserve">” Research Topic for its </w:t>
      </w:r>
      <w:r w:rsidRPr="004C425E">
        <w:rPr>
          <w:rFonts w:ascii="Palatino Linotype" w:hAnsi="Palatino Linotype"/>
          <w:i/>
          <w:color w:val="000000" w:themeColor="text1"/>
        </w:rPr>
        <w:t>Energy Reliability &amp; Resilience</w:t>
      </w:r>
      <w:r w:rsidRPr="004C425E">
        <w:rPr>
          <w:rFonts w:ascii="Palatino Linotype" w:hAnsi="Palatino Linotype"/>
          <w:color w:val="000000" w:themeColor="text1"/>
        </w:rPr>
        <w:t xml:space="preserve"> Initiative.</w:t>
      </w:r>
      <w:r w:rsidRPr="004C425E">
        <w:rPr>
          <w:rStyle w:val="FootnoteReference"/>
          <w:rFonts w:ascii="Palatino Linotype" w:hAnsi="Palatino Linotype"/>
          <w:color w:val="000000" w:themeColor="text1"/>
        </w:rPr>
        <w:footnoteReference w:id="88"/>
      </w:r>
      <w:r w:rsidRPr="004C425E">
        <w:rPr>
          <w:rFonts w:ascii="Palatino Linotype" w:hAnsi="Palatino Linotype"/>
          <w:color w:val="000000" w:themeColor="text1"/>
        </w:rPr>
        <w:t xml:space="preserve"> </w:t>
      </w:r>
      <w:r w:rsidRPr="004F1A0A" w:rsidR="004F1A0A">
        <w:rPr>
          <w:rFonts w:ascii="Palatino Linotype" w:hAnsi="Palatino Linotype"/>
          <w:color w:val="000000" w:themeColor="text1"/>
        </w:rPr>
        <w:t>SoCalGas must provide further detail on this Research Topic as described below.</w:t>
      </w:r>
    </w:p>
    <w:p w:rsidRPr="004C425E" w:rsidR="0050701C" w:rsidP="00477204" w:rsidRDefault="00F13A34" w14:paraId="28C2E9C4" w14:textId="612295BC">
      <w:pPr>
        <w:pStyle w:val="10sp0"/>
        <w:numPr>
          <w:ilvl w:val="0"/>
          <w:numId w:val="18"/>
        </w:numPr>
        <w:spacing w:after="0" w:line="276" w:lineRule="auto"/>
        <w:rPr>
          <w:rFonts w:ascii="Palatino Linotype" w:hAnsi="Palatino Linotype"/>
          <w:color w:val="000000" w:themeColor="text1"/>
          <w:szCs w:val="24"/>
        </w:rPr>
      </w:pPr>
      <w:r w:rsidRPr="004C425E">
        <w:rPr>
          <w:rFonts w:ascii="Palatino Linotype" w:hAnsi="Palatino Linotype"/>
          <w:color w:val="000000" w:themeColor="text1"/>
        </w:rPr>
        <w:t xml:space="preserve">For transparency, SoCalGas </w:t>
      </w:r>
      <w:r w:rsidRPr="004C425E" w:rsidR="008822B5">
        <w:rPr>
          <w:rFonts w:ascii="Palatino Linotype" w:hAnsi="Palatino Linotype"/>
          <w:color w:val="000000" w:themeColor="text1"/>
        </w:rPr>
        <w:t xml:space="preserve">must </w:t>
      </w:r>
      <w:r w:rsidRPr="004C425E">
        <w:rPr>
          <w:rFonts w:ascii="Palatino Linotype" w:hAnsi="Palatino Linotype"/>
          <w:color w:val="000000" w:themeColor="text1"/>
        </w:rPr>
        <w:t xml:space="preserve">embed in the descriptions of each proposed Initiative incorporation strategies associated </w:t>
      </w:r>
      <w:r w:rsidR="00C722F5">
        <w:rPr>
          <w:rFonts w:ascii="Palatino Linotype" w:hAnsi="Palatino Linotype"/>
          <w:color w:val="000000" w:themeColor="text1"/>
        </w:rPr>
        <w:t>with</w:t>
      </w:r>
      <w:r w:rsidRPr="004C425E">
        <w:rPr>
          <w:rFonts w:ascii="Palatino Linotype" w:hAnsi="Palatino Linotype"/>
          <w:color w:val="000000" w:themeColor="text1"/>
        </w:rPr>
        <w:t xml:space="preserve"> all stakeholder feedback or otherwise explain why it did not incorporate the input</w:t>
      </w:r>
      <w:r w:rsidRPr="004C425E" w:rsidR="0050701C">
        <w:rPr>
          <w:rFonts w:ascii="Palatino Linotype" w:hAnsi="Palatino Linotype"/>
          <w:color w:val="000000" w:themeColor="text1"/>
        </w:rPr>
        <w:t>,</w:t>
      </w:r>
      <w:r w:rsidRPr="004C425E" w:rsidR="0050701C">
        <w:rPr>
          <w:rStyle w:val="FootnoteReference"/>
          <w:rFonts w:ascii="Palatino Linotype" w:hAnsi="Palatino Linotype"/>
          <w:color w:val="000000" w:themeColor="text1"/>
        </w:rPr>
        <w:footnoteReference w:id="89"/>
      </w:r>
      <w:r w:rsidRPr="004C425E" w:rsidR="0050701C">
        <w:rPr>
          <w:rFonts w:ascii="Palatino Linotype" w:hAnsi="Palatino Linotype"/>
          <w:color w:val="000000" w:themeColor="text1"/>
        </w:rPr>
        <w:t xml:space="preserve"> particularly from California Greenworks and the Public Workshop ESJ Advisory Panel.</w:t>
      </w:r>
    </w:p>
    <w:p w:rsidRPr="006D36AD" w:rsidR="006D36AD" w:rsidP="006D36AD" w:rsidRDefault="0050701C" w14:paraId="1A4414CF" w14:textId="75F85F0D">
      <w:pPr>
        <w:pStyle w:val="10sp0"/>
        <w:numPr>
          <w:ilvl w:val="0"/>
          <w:numId w:val="18"/>
        </w:numPr>
        <w:spacing w:after="0" w:line="276" w:lineRule="auto"/>
        <w:rPr>
          <w:rFonts w:ascii="Palatino Linotype" w:hAnsi="Palatino Linotype"/>
          <w:szCs w:val="24"/>
        </w:rPr>
      </w:pPr>
      <w:r w:rsidRPr="004C425E">
        <w:rPr>
          <w:rFonts w:ascii="Palatino Linotype" w:hAnsi="Palatino Linotype"/>
          <w:color w:val="000000" w:themeColor="text1"/>
        </w:rPr>
        <w:t xml:space="preserve">SoCalGas </w:t>
      </w:r>
      <w:r w:rsidRPr="004C425E" w:rsidR="008822B5">
        <w:rPr>
          <w:rFonts w:ascii="Palatino Linotype" w:hAnsi="Palatino Linotype"/>
          <w:color w:val="000000" w:themeColor="text1"/>
        </w:rPr>
        <w:t xml:space="preserve">must </w:t>
      </w:r>
      <w:r w:rsidRPr="004C425E">
        <w:rPr>
          <w:rFonts w:ascii="Palatino Linotype" w:hAnsi="Palatino Linotype"/>
          <w:color w:val="000000" w:themeColor="text1"/>
        </w:rPr>
        <w:t xml:space="preserve">demonstrate </w:t>
      </w:r>
      <w:r w:rsidRPr="693F203E">
        <w:rPr>
          <w:rFonts w:ascii="Palatino Linotype" w:hAnsi="Palatino Linotype"/>
        </w:rPr>
        <w:t xml:space="preserve">that its </w:t>
      </w:r>
      <w:r w:rsidRPr="7510854C">
        <w:rPr>
          <w:rFonts w:ascii="Palatino Linotype" w:hAnsi="Palatino Linotype"/>
          <w:i/>
          <w:iCs/>
        </w:rPr>
        <w:t>System Design &amp; Materials</w:t>
      </w:r>
      <w:r w:rsidRPr="693F203E">
        <w:rPr>
          <w:rFonts w:ascii="Palatino Linotype" w:hAnsi="Palatino Linotype"/>
        </w:rPr>
        <w:t xml:space="preserve"> Initiative will involve activities that are complementary </w:t>
      </w:r>
      <w:proofErr w:type="gramStart"/>
      <w:r w:rsidRPr="693F203E">
        <w:rPr>
          <w:rFonts w:ascii="Palatino Linotype" w:hAnsi="Palatino Linotype"/>
        </w:rPr>
        <w:t>to</w:t>
      </w:r>
      <w:proofErr w:type="gramEnd"/>
      <w:r w:rsidRPr="693F203E">
        <w:rPr>
          <w:rFonts w:ascii="Palatino Linotype" w:hAnsi="Palatino Linotype"/>
        </w:rPr>
        <w:t xml:space="preserve"> rather than </w:t>
      </w:r>
      <w:proofErr w:type="gramStart"/>
      <w:r w:rsidRPr="693F203E">
        <w:rPr>
          <w:rFonts w:ascii="Palatino Linotype" w:hAnsi="Palatino Linotype"/>
        </w:rPr>
        <w:t>duplicative</w:t>
      </w:r>
      <w:proofErr w:type="gramEnd"/>
      <w:r w:rsidRPr="693F203E">
        <w:rPr>
          <w:rFonts w:ascii="Palatino Linotype" w:hAnsi="Palatino Linotype"/>
        </w:rPr>
        <w:t xml:space="preserve"> of the CEC’s </w:t>
      </w:r>
      <w:r w:rsidRPr="7510854C">
        <w:rPr>
          <w:rFonts w:ascii="Palatino Linotype" w:hAnsi="Palatino Linotype"/>
          <w:i/>
          <w:iCs/>
        </w:rPr>
        <w:t xml:space="preserve">Fuel-Flexible Distributed Power Generation </w:t>
      </w:r>
      <w:r w:rsidRPr="693F203E">
        <w:rPr>
          <w:rFonts w:ascii="Palatino Linotype" w:hAnsi="Palatino Linotype"/>
        </w:rPr>
        <w:t>Initiative in its FY 2024-2025 Gas RD&amp;D Plan.</w:t>
      </w:r>
      <w:r w:rsidRPr="693F203E">
        <w:rPr>
          <w:rStyle w:val="FootnoteReference"/>
          <w:rFonts w:ascii="Palatino Linotype" w:hAnsi="Palatino Linotype"/>
        </w:rPr>
        <w:footnoteReference w:id="90"/>
      </w:r>
    </w:p>
    <w:p w:rsidRPr="004F1A0A" w:rsidR="00101281" w:rsidP="00101281" w:rsidRDefault="00101281" w14:paraId="779D7C92" w14:textId="4B2AEAA0">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 xml:space="preserve">SoCalGas’ proposed “Integrating carbon management solutions” Research Topic under </w:t>
      </w:r>
      <w:r w:rsidRPr="004F1A0A">
        <w:rPr>
          <w:rFonts w:ascii="Palatino Linotype" w:hAnsi="Palatino Linotype"/>
          <w:color w:val="000000" w:themeColor="text1"/>
          <w:szCs w:val="24"/>
        </w:rPr>
        <w:t xml:space="preserve">its </w:t>
      </w:r>
      <w:r w:rsidRPr="004F1A0A">
        <w:rPr>
          <w:rFonts w:ascii="Palatino Linotype" w:hAnsi="Palatino Linotype"/>
          <w:i/>
          <w:iCs/>
          <w:color w:val="000000" w:themeColor="text1"/>
          <w:szCs w:val="24"/>
        </w:rPr>
        <w:t>Energy Reliability &amp; Resilience</w:t>
      </w:r>
      <w:r w:rsidRPr="004F1A0A">
        <w:rPr>
          <w:rFonts w:ascii="Palatino Linotype" w:hAnsi="Palatino Linotype"/>
          <w:color w:val="000000" w:themeColor="text1"/>
          <w:szCs w:val="24"/>
        </w:rPr>
        <w:t xml:space="preserve"> Initiative</w:t>
      </w:r>
      <w:r w:rsidRPr="004F1A0A">
        <w:rPr>
          <w:rFonts w:ascii="Palatino Linotype" w:hAnsi="Palatino Linotype"/>
          <w:color w:val="000000" w:themeColor="text1"/>
        </w:rPr>
        <w:t xml:space="preserve"> involves “[d]</w:t>
      </w:r>
      <w:proofErr w:type="spellStart"/>
      <w:r w:rsidRPr="004F1A0A">
        <w:rPr>
          <w:rFonts w:ascii="Palatino Linotype" w:hAnsi="Palatino Linotype"/>
          <w:color w:val="000000" w:themeColor="text1"/>
        </w:rPr>
        <w:t>eveloping</w:t>
      </w:r>
      <w:proofErr w:type="spellEnd"/>
      <w:r w:rsidRPr="004F1A0A">
        <w:rPr>
          <w:rFonts w:ascii="Palatino Linotype" w:hAnsi="Palatino Linotype"/>
          <w:color w:val="000000" w:themeColor="text1"/>
        </w:rPr>
        <w:t xml:space="preserve"> reliable carbon capture solutions and </w:t>
      </w:r>
      <w:r w:rsidR="00F02C77">
        <w:rPr>
          <w:rFonts w:ascii="Palatino Linotype" w:hAnsi="Palatino Linotype"/>
          <w:color w:val="000000" w:themeColor="text1"/>
        </w:rPr>
        <w:t>optimizing integration for affordability</w:t>
      </w:r>
      <w:r w:rsidRPr="0025255A">
        <w:rPr>
          <w:rFonts w:ascii="Palatino Linotype" w:hAnsi="Palatino Linotype"/>
          <w:color w:val="000000" w:themeColor="text1"/>
        </w:rPr>
        <w:t>”</w:t>
      </w:r>
      <w:r w:rsidR="00F02C77">
        <w:rPr>
          <w:rStyle w:val="FootnoteReference"/>
          <w:rFonts w:ascii="Palatino Linotype" w:hAnsi="Palatino Linotype"/>
          <w:color w:val="000000" w:themeColor="text1"/>
        </w:rPr>
        <w:footnoteReference w:id="91"/>
      </w:r>
      <w:r w:rsidRPr="0025255A">
        <w:rPr>
          <w:rFonts w:ascii="Palatino Linotype" w:hAnsi="Palatino Linotype"/>
          <w:color w:val="000000" w:themeColor="text1"/>
        </w:rPr>
        <w:t xml:space="preserve"> and includes a project titled “</w:t>
      </w:r>
      <w:r w:rsidRPr="0025255A" w:rsidR="001C28D8">
        <w:rPr>
          <w:rFonts w:ascii="Palatino Linotype" w:hAnsi="Palatino Linotype"/>
          <w:color w:val="000000" w:themeColor="text1"/>
        </w:rPr>
        <w:t>Pilot/field demonstration/validation of</w:t>
      </w:r>
      <w:r w:rsidRPr="0025255A" w:rsidR="0025255A">
        <w:rPr>
          <w:rFonts w:ascii="Palatino Linotype" w:hAnsi="Palatino Linotype"/>
          <w:color w:val="000000" w:themeColor="text1"/>
        </w:rPr>
        <w:t xml:space="preserve"> installations</w:t>
      </w:r>
      <w:r w:rsidRPr="0025255A">
        <w:rPr>
          <w:rFonts w:ascii="Palatino Linotype" w:hAnsi="Palatino Linotype"/>
          <w:color w:val="000000" w:themeColor="text1"/>
        </w:rPr>
        <w:t>.”</w:t>
      </w:r>
      <w:r w:rsidRPr="0025255A">
        <w:rPr>
          <w:rStyle w:val="FootnoteReference"/>
          <w:rFonts w:ascii="Palatino Linotype" w:hAnsi="Palatino Linotype"/>
          <w:color w:val="000000" w:themeColor="text1"/>
        </w:rPr>
        <w:footnoteReference w:id="92"/>
      </w:r>
      <w:r w:rsidRPr="004F1A0A">
        <w:rPr>
          <w:rFonts w:ascii="Palatino Linotype" w:hAnsi="Palatino Linotype"/>
          <w:color w:val="000000" w:themeColor="text1"/>
        </w:rPr>
        <w:t xml:space="preserve"> Previously, the Commission denied carbon capture RD&amp;D in Resolution G-3601 for the following reasons: </w:t>
      </w:r>
    </w:p>
    <w:p w:rsidR="00347B5B" w:rsidP="00347B5B" w:rsidRDefault="00101281" w14:paraId="7695AB0A" w14:textId="77777777">
      <w:pPr>
        <w:pStyle w:val="10sp0"/>
        <w:spacing w:before="240" w:after="0" w:line="276" w:lineRule="auto"/>
        <w:ind w:left="720"/>
        <w:rPr>
          <w:rFonts w:ascii="Palatino Linotype" w:hAnsi="Palatino Linotype"/>
          <w:i/>
          <w:iCs/>
          <w:color w:val="000000" w:themeColor="text1"/>
        </w:rPr>
      </w:pPr>
      <w:r w:rsidRPr="004F1A0A">
        <w:rPr>
          <w:rFonts w:ascii="Palatino Linotype" w:hAnsi="Palatino Linotype"/>
          <w:i/>
          <w:iCs/>
          <w:color w:val="000000" w:themeColor="text1"/>
        </w:rPr>
        <w:t xml:space="preserve">“State and Commission decarbonization policies have significantly shifted, including a focus on electrification that considers phasing out natural gas and pruning the gas system. To date, the Commission has not considered the appropriate role of gas ratepayers in [Carbon Capture, Utilization, and Storage], which could have a significant impact on </w:t>
      </w:r>
      <w:r w:rsidRPr="004F1A0A">
        <w:rPr>
          <w:rFonts w:ascii="Palatino Linotype" w:hAnsi="Palatino Linotype"/>
          <w:i/>
          <w:iCs/>
          <w:color w:val="000000" w:themeColor="text1"/>
        </w:rPr>
        <w:lastRenderedPageBreak/>
        <w:t>ratepayers’ energy bills and on market actors more broadly. The Commission has not yet provided any guidance upon which to determine whether ratepayer funds should be invested in CCUS, particularly as these projects would have further implications for ratepayer funding in future RD&amp;D Plans. For any future consideration of funding, the appropriate role of ratepayers in funding CCUS needs to be considered.”</w:t>
      </w:r>
      <w:r w:rsidRPr="004F1A0A">
        <w:rPr>
          <w:rStyle w:val="FootnoteReference"/>
          <w:rFonts w:ascii="Palatino Linotype" w:hAnsi="Palatino Linotype"/>
          <w:i/>
          <w:iCs/>
          <w:color w:val="000000" w:themeColor="text1"/>
        </w:rPr>
        <w:t xml:space="preserve"> </w:t>
      </w:r>
      <w:r w:rsidRPr="004F1A0A">
        <w:rPr>
          <w:rStyle w:val="FootnoteReference"/>
          <w:rFonts w:ascii="Palatino Linotype" w:hAnsi="Palatino Linotype"/>
          <w:i/>
          <w:iCs/>
          <w:color w:val="000000" w:themeColor="text1"/>
        </w:rPr>
        <w:footnoteReference w:id="93"/>
      </w:r>
    </w:p>
    <w:p w:rsidRPr="004F1A0A" w:rsidR="00101281" w:rsidP="00513AAA" w:rsidRDefault="00101281" w14:paraId="3E8840A1" w14:textId="226ACF0B">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Pursuant to Commission requirements for Gas RD&amp;D investments, SoCalGas must provide further detail on the “Integrating carbon management solutions” Research Topic describing how resulting projects will support current State climate goals and policies such as by reducing and/or decarbonizing the gas system without enabling continued polluting. Further, in recognition of the affordability concerns articulated in Resolution G-3601, SoCalGas must demonstrate how projects will deliver clear ratepayer benefit, including promoting affordability and consideration of equity issues particularly in vulnerable communities. Upon consideration of this further detail in SoCalGas’ revised Plan to be provided via Tier 2 AL, the Commission will determine if these criteria have been sufficiently demonstrated for this Research Topic.</w:t>
      </w:r>
    </w:p>
    <w:p w:rsidRPr="004F1A0A" w:rsidR="00101281" w:rsidP="00347B5B" w:rsidRDefault="00101281" w14:paraId="24EF92E8" w14:textId="47FA18E4">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Relatedly, Resolutions G-3618</w:t>
      </w:r>
      <w:r w:rsidRPr="004F1A0A">
        <w:rPr>
          <w:rStyle w:val="FootnoteReference"/>
          <w:rFonts w:ascii="Palatino Linotype" w:hAnsi="Palatino Linotype"/>
          <w:color w:val="000000" w:themeColor="text1"/>
        </w:rPr>
        <w:footnoteReference w:id="94"/>
      </w:r>
      <w:r w:rsidRPr="004F1A0A">
        <w:rPr>
          <w:rFonts w:ascii="Palatino Linotype" w:hAnsi="Palatino Linotype"/>
          <w:color w:val="000000" w:themeColor="text1"/>
        </w:rPr>
        <w:t xml:space="preserve"> and G-3623</w:t>
      </w:r>
      <w:r w:rsidRPr="004F1A0A">
        <w:rPr>
          <w:rStyle w:val="FootnoteReference"/>
          <w:rFonts w:ascii="Palatino Linotype" w:hAnsi="Palatino Linotype"/>
          <w:color w:val="000000" w:themeColor="text1"/>
        </w:rPr>
        <w:footnoteReference w:id="95"/>
      </w:r>
      <w:r w:rsidRPr="004F1A0A">
        <w:rPr>
          <w:rFonts w:ascii="Palatino Linotype" w:hAnsi="Palatino Linotype"/>
          <w:color w:val="000000" w:themeColor="text1"/>
        </w:rPr>
        <w:t xml:space="preserve"> reflect that the Commission has not provided current guidance upon which to determine whether ratepayer funds should be invested in hydrogen, particularly as these projects would have further implications for ratepayer funding in future RD&amp;D Plans. For example, the most recent CPUC Integrated Resource Planning (IRP) inputs and assumptions reflect that hydrogen is not an eligible candidate resource in the Preferred System Plan (PSP).</w:t>
      </w:r>
      <w:r w:rsidRPr="004F1A0A">
        <w:rPr>
          <w:rStyle w:val="FootnoteReference"/>
          <w:rFonts w:ascii="Palatino Linotype" w:hAnsi="Palatino Linotype"/>
          <w:color w:val="000000" w:themeColor="text1"/>
        </w:rPr>
        <w:footnoteReference w:id="96"/>
      </w:r>
      <w:r w:rsidRPr="004F1A0A">
        <w:rPr>
          <w:rFonts w:ascii="Palatino Linotype" w:hAnsi="Palatino Linotype"/>
          <w:color w:val="000000" w:themeColor="text1"/>
        </w:rPr>
        <w:t xml:space="preserve"> Alternatively, the Commission has</w:t>
      </w:r>
      <w:r w:rsidR="00F241D5">
        <w:rPr>
          <w:rFonts w:ascii="Palatino Linotype" w:hAnsi="Palatino Linotype"/>
          <w:color w:val="000000" w:themeColor="text1"/>
        </w:rPr>
        <w:t xml:space="preserve"> identified limited procurement of RNG as appropriate, with an aim to strike a balance between providing the resource an opportunity to scale and containing costs to address ratepayer affordability</w:t>
      </w:r>
      <w:r w:rsidRPr="004F1A0A">
        <w:rPr>
          <w:rFonts w:ascii="Palatino Linotype" w:hAnsi="Palatino Linotype"/>
          <w:color w:val="000000" w:themeColor="text1"/>
        </w:rPr>
        <w:t xml:space="preserve">. Further, current State and Commission policies clearly reflect the prioritization of ratepayer affordability. Therefore, due to the scarcity of ratepayer funds dedicated to the Gas RD&amp;D Program, SoCalGas shall remove requests for hydrogen funding to reflect these priorities and be responsive to ratepayer affordability concerns. </w:t>
      </w:r>
    </w:p>
    <w:p w:rsidRPr="004C425E" w:rsidR="008A1AD4" w:rsidP="002328D8" w:rsidRDefault="008A1AD4" w14:paraId="1493921E" w14:textId="0E3613A2">
      <w:pPr>
        <w:pStyle w:val="10sp0"/>
        <w:spacing w:before="240" w:after="0" w:line="276" w:lineRule="auto"/>
        <w:rPr>
          <w:rFonts w:ascii="Palatino Linotype" w:hAnsi="Palatino Linotype"/>
          <w:color w:val="000000" w:themeColor="text1"/>
        </w:rPr>
      </w:pPr>
      <w:r w:rsidRPr="004C425E">
        <w:rPr>
          <w:rFonts w:ascii="Palatino Linotype" w:hAnsi="Palatino Linotype"/>
          <w:color w:val="000000" w:themeColor="text1"/>
        </w:rPr>
        <w:lastRenderedPageBreak/>
        <w:t>In addition to addressing compliance issues, SoCalGas shall make the following revisions to its 202</w:t>
      </w:r>
      <w:r w:rsidRPr="004C425E" w:rsidR="6FE38E90">
        <w:rPr>
          <w:rFonts w:ascii="Palatino Linotype" w:hAnsi="Palatino Linotype"/>
          <w:color w:val="000000" w:themeColor="text1"/>
        </w:rPr>
        <w:t>5</w:t>
      </w:r>
      <w:r w:rsidRPr="004C425E">
        <w:rPr>
          <w:rFonts w:ascii="Palatino Linotype" w:hAnsi="Palatino Linotype"/>
          <w:color w:val="000000" w:themeColor="text1"/>
        </w:rPr>
        <w:t xml:space="preserve"> Plan to provide greater clarity to align with requirements:</w:t>
      </w:r>
    </w:p>
    <w:p w:rsidRPr="004C425E" w:rsidR="008A1AD4" w:rsidP="00477204" w:rsidRDefault="008A1AD4" w14:paraId="1C8763CF" w14:textId="5ECE238E">
      <w:pPr>
        <w:pStyle w:val="10sp0"/>
        <w:numPr>
          <w:ilvl w:val="0"/>
          <w:numId w:val="23"/>
        </w:numPr>
        <w:spacing w:after="0" w:line="276" w:lineRule="auto"/>
        <w:rPr>
          <w:rFonts w:ascii="Palatino Linotype" w:hAnsi="Palatino Linotype"/>
          <w:color w:val="000000" w:themeColor="text1"/>
        </w:rPr>
      </w:pPr>
      <w:r w:rsidRPr="004C425E">
        <w:rPr>
          <w:rFonts w:ascii="Palatino Linotype" w:hAnsi="Palatino Linotype"/>
          <w:color w:val="000000" w:themeColor="text1"/>
        </w:rPr>
        <w:t>R</w:t>
      </w:r>
      <w:r w:rsidRPr="004C425E" w:rsidR="00E535C2">
        <w:rPr>
          <w:rFonts w:ascii="Palatino Linotype" w:hAnsi="Palatino Linotype"/>
          <w:color w:val="000000" w:themeColor="text1"/>
        </w:rPr>
        <w:t xml:space="preserve">eview its 2025 Plan for elements of Initiatives that primarily support compliance with existing requirements/regulations or ongoing operations and maintenance activities and </w:t>
      </w:r>
      <w:r w:rsidRPr="004C425E" w:rsidR="00535ADD">
        <w:rPr>
          <w:rFonts w:ascii="Palatino Linotype" w:hAnsi="Palatino Linotype"/>
          <w:color w:val="000000" w:themeColor="text1"/>
        </w:rPr>
        <w:t>re</w:t>
      </w:r>
      <w:r w:rsidR="00535ADD">
        <w:rPr>
          <w:rFonts w:ascii="Palatino Linotype" w:hAnsi="Palatino Linotype"/>
          <w:color w:val="000000" w:themeColor="text1"/>
        </w:rPr>
        <w:t>scope</w:t>
      </w:r>
      <w:r w:rsidRPr="004C425E" w:rsidR="00535ADD">
        <w:rPr>
          <w:rFonts w:ascii="Palatino Linotype" w:hAnsi="Palatino Linotype"/>
          <w:color w:val="000000" w:themeColor="text1"/>
        </w:rPr>
        <w:t xml:space="preserve"> as necessary to demonstrate ratepayer funds are used for innovative RD&amp;D and produce impacts that would not otherwise be expected to occur</w:t>
      </w:r>
      <w:r w:rsidRPr="004C425E" w:rsidR="00E535C2">
        <w:rPr>
          <w:rFonts w:ascii="Palatino Linotype" w:hAnsi="Palatino Linotype"/>
          <w:color w:val="000000" w:themeColor="text1"/>
        </w:rPr>
        <w:t>.</w:t>
      </w:r>
      <w:r w:rsidRPr="004C425E" w:rsidR="00E535C2">
        <w:rPr>
          <w:rStyle w:val="FootnoteReference"/>
          <w:rFonts w:ascii="Palatino Linotype" w:hAnsi="Palatino Linotype"/>
          <w:color w:val="000000" w:themeColor="text1"/>
        </w:rPr>
        <w:footnoteReference w:id="97"/>
      </w:r>
      <w:r w:rsidRPr="004C425E" w:rsidR="00E535C2">
        <w:rPr>
          <w:rFonts w:ascii="Palatino Linotype" w:hAnsi="Palatino Linotype"/>
          <w:color w:val="000000" w:themeColor="text1"/>
        </w:rPr>
        <w:t xml:space="preserve"> </w:t>
      </w:r>
    </w:p>
    <w:p w:rsidRPr="004C425E" w:rsidR="02A305E4" w:rsidP="00477204" w:rsidRDefault="02A305E4" w14:paraId="0E17BD84" w14:textId="453BF886">
      <w:pPr>
        <w:pStyle w:val="10sp0"/>
        <w:numPr>
          <w:ilvl w:val="0"/>
          <w:numId w:val="23"/>
        </w:numPr>
        <w:spacing w:after="0" w:line="276" w:lineRule="auto"/>
        <w:rPr>
          <w:rFonts w:ascii="Palatino Linotype" w:hAnsi="Palatino Linotype" w:eastAsia="Palatino Linotype" w:cs="Palatino Linotype"/>
          <w:color w:val="000000" w:themeColor="text1"/>
        </w:rPr>
      </w:pPr>
      <w:r w:rsidRPr="004C425E">
        <w:rPr>
          <w:rFonts w:ascii="Palatino Linotype" w:hAnsi="Palatino Linotype" w:eastAsia="Palatino Linotype" w:cs="Palatino Linotype"/>
          <w:color w:val="000000" w:themeColor="text1"/>
        </w:rPr>
        <w:t>Indicate the program area across the product development cycle</w:t>
      </w:r>
      <w:r w:rsidRPr="004C425E" w:rsidR="000C5EAF">
        <w:rPr>
          <w:rFonts w:ascii="Palatino Linotype" w:hAnsi="Palatino Linotype" w:eastAsia="Palatino Linotype" w:cs="Palatino Linotype"/>
          <w:color w:val="000000" w:themeColor="text1"/>
        </w:rPr>
        <w:t>,</w:t>
      </w:r>
      <w:r w:rsidRPr="004C425E">
        <w:rPr>
          <w:rFonts w:ascii="Palatino Linotype" w:hAnsi="Palatino Linotype" w:eastAsia="Palatino Linotype" w:cs="Palatino Linotype"/>
          <w:color w:val="000000" w:themeColor="text1"/>
        </w:rPr>
        <w:t xml:space="preserve"> detailed in Appendix D of this Resolution</w:t>
      </w:r>
      <w:r w:rsidRPr="004C425E" w:rsidR="000C5EAF">
        <w:rPr>
          <w:rFonts w:ascii="Palatino Linotype" w:hAnsi="Palatino Linotype" w:eastAsia="Palatino Linotype" w:cs="Palatino Linotype"/>
          <w:color w:val="000000" w:themeColor="text1"/>
        </w:rPr>
        <w:t>,</w:t>
      </w:r>
      <w:r w:rsidR="00B03913">
        <w:rPr>
          <w:rStyle w:val="FootnoteReference"/>
          <w:rFonts w:ascii="Palatino Linotype" w:hAnsi="Palatino Linotype" w:eastAsia="Palatino Linotype" w:cs="Palatino Linotype"/>
          <w:color w:val="000000" w:themeColor="text1"/>
        </w:rPr>
        <w:footnoteReference w:id="98"/>
      </w:r>
      <w:r w:rsidRPr="004C425E">
        <w:rPr>
          <w:rFonts w:ascii="Palatino Linotype" w:hAnsi="Palatino Linotype" w:eastAsia="Palatino Linotype" w:cs="Palatino Linotype"/>
          <w:color w:val="000000" w:themeColor="text1"/>
        </w:rPr>
        <w:t xml:space="preserve"> associated with each listed Research Topics for further clarity on anticipated outputs from Initiatives.</w:t>
      </w:r>
    </w:p>
    <w:p w:rsidRPr="004C425E" w:rsidR="30B28DB8" w:rsidP="00477204" w:rsidRDefault="02A305E4" w14:paraId="76463A3D" w14:textId="4C8D9618">
      <w:pPr>
        <w:pStyle w:val="ListParagraph"/>
        <w:numPr>
          <w:ilvl w:val="0"/>
          <w:numId w:val="23"/>
        </w:numPr>
        <w:spacing w:after="0" w:line="276" w:lineRule="auto"/>
        <w:rPr>
          <w:rFonts w:ascii="Palatino Linotype" w:hAnsi="Palatino Linotype" w:eastAsia="Palatino Linotype" w:cs="Palatino Linotype"/>
          <w:color w:val="000000" w:themeColor="text1"/>
        </w:rPr>
      </w:pPr>
      <w:r w:rsidRPr="004C425E">
        <w:rPr>
          <w:rFonts w:ascii="Palatino Linotype" w:hAnsi="Palatino Linotype" w:eastAsia="Palatino Linotype" w:cs="Palatino Linotype"/>
          <w:color w:val="000000" w:themeColor="text1"/>
        </w:rPr>
        <w:t xml:space="preserve">Identify which of the proposed future project areas are anticipated to be funded through consortia. </w:t>
      </w:r>
    </w:p>
    <w:p w:rsidRPr="004C425E" w:rsidR="00FB5194" w:rsidP="00477204" w:rsidRDefault="00FB5194" w14:paraId="231FCA13" w14:textId="2306311D">
      <w:pPr>
        <w:pStyle w:val="10sp0"/>
        <w:numPr>
          <w:ilvl w:val="0"/>
          <w:numId w:val="23"/>
        </w:numPr>
        <w:spacing w:after="0" w:line="276" w:lineRule="auto"/>
        <w:rPr>
          <w:rFonts w:ascii="Palatino Linotype" w:hAnsi="Palatino Linotype"/>
          <w:color w:val="000000" w:themeColor="text1"/>
        </w:rPr>
      </w:pPr>
      <w:r w:rsidRPr="004C425E">
        <w:rPr>
          <w:rFonts w:ascii="Palatino Linotype" w:hAnsi="Palatino Linotype"/>
          <w:color w:val="000000" w:themeColor="text1"/>
        </w:rPr>
        <w:t xml:space="preserve">Prioritize zero-emission </w:t>
      </w:r>
      <w:r w:rsidRPr="004C425E" w:rsidR="00AD274D">
        <w:rPr>
          <w:rFonts w:ascii="Palatino Linotype" w:hAnsi="Palatino Linotype"/>
          <w:color w:val="000000" w:themeColor="text1"/>
        </w:rPr>
        <w:t>over</w:t>
      </w:r>
      <w:r w:rsidRPr="004C425E">
        <w:rPr>
          <w:rFonts w:ascii="Palatino Linotype" w:hAnsi="Palatino Linotype"/>
          <w:color w:val="000000" w:themeColor="text1"/>
        </w:rPr>
        <w:t xml:space="preserve"> low-emission </w:t>
      </w:r>
      <w:r w:rsidRPr="004C425E" w:rsidR="00AD274D">
        <w:rPr>
          <w:rFonts w:ascii="Palatino Linotype" w:hAnsi="Palatino Linotype"/>
          <w:color w:val="000000" w:themeColor="text1"/>
        </w:rPr>
        <w:t xml:space="preserve">technologies </w:t>
      </w:r>
      <w:r w:rsidRPr="004C425E" w:rsidR="00DD2627">
        <w:rPr>
          <w:rFonts w:ascii="Palatino Linotype" w:hAnsi="Palatino Linotype"/>
          <w:color w:val="000000" w:themeColor="text1"/>
        </w:rPr>
        <w:t xml:space="preserve">wherever possible, particularly </w:t>
      </w:r>
      <w:r w:rsidRPr="004C425E">
        <w:rPr>
          <w:rFonts w:ascii="Palatino Linotype" w:hAnsi="Palatino Linotype"/>
          <w:color w:val="000000" w:themeColor="text1"/>
        </w:rPr>
        <w:t xml:space="preserve">under its </w:t>
      </w:r>
      <w:r w:rsidRPr="004C425E" w:rsidR="00B70EAB">
        <w:rPr>
          <w:rFonts w:ascii="Palatino Linotype" w:hAnsi="Palatino Linotype"/>
          <w:i/>
          <w:iCs/>
          <w:color w:val="000000" w:themeColor="text1"/>
        </w:rPr>
        <w:t>Low-Carbon Fuel Technologies</w:t>
      </w:r>
      <w:r w:rsidRPr="004C425E" w:rsidR="00B70EAB">
        <w:rPr>
          <w:rStyle w:val="FootnoteReference"/>
          <w:rFonts w:ascii="Palatino Linotype" w:hAnsi="Palatino Linotype"/>
          <w:i/>
          <w:iCs/>
          <w:color w:val="000000" w:themeColor="text1"/>
        </w:rPr>
        <w:footnoteReference w:id="99"/>
      </w:r>
      <w:r w:rsidRPr="004C425E" w:rsidR="00B70EAB">
        <w:rPr>
          <w:rFonts w:ascii="Palatino Linotype" w:hAnsi="Palatino Linotype"/>
          <w:color w:val="000000" w:themeColor="text1"/>
        </w:rPr>
        <w:t xml:space="preserve"> and </w:t>
      </w:r>
      <w:r w:rsidRPr="004C425E">
        <w:rPr>
          <w:rFonts w:ascii="Palatino Linotype" w:hAnsi="Palatino Linotype"/>
          <w:i/>
          <w:iCs/>
          <w:color w:val="000000" w:themeColor="text1"/>
        </w:rPr>
        <w:t>Energy Reliability &amp; Resilience</w:t>
      </w:r>
      <w:r w:rsidRPr="004C425E" w:rsidR="00BC294C">
        <w:rPr>
          <w:rStyle w:val="FootnoteReference"/>
          <w:rFonts w:ascii="Palatino Linotype" w:hAnsi="Palatino Linotype"/>
          <w:i/>
          <w:iCs/>
          <w:color w:val="000000" w:themeColor="text1"/>
        </w:rPr>
        <w:footnoteReference w:id="100"/>
      </w:r>
      <w:r w:rsidRPr="004C425E">
        <w:rPr>
          <w:rFonts w:ascii="Palatino Linotype" w:hAnsi="Palatino Linotype"/>
          <w:color w:val="000000" w:themeColor="text1"/>
        </w:rPr>
        <w:t xml:space="preserve"> Initiatives</w:t>
      </w:r>
      <w:r w:rsidRPr="004C425E" w:rsidR="00DD2627">
        <w:rPr>
          <w:rFonts w:ascii="Palatino Linotype" w:hAnsi="Palatino Linotype"/>
          <w:color w:val="000000" w:themeColor="text1"/>
        </w:rPr>
        <w:t>.</w:t>
      </w:r>
      <w:r w:rsidRPr="004C425E" w:rsidR="006D4CC9">
        <w:rPr>
          <w:rFonts w:ascii="Palatino Linotype" w:hAnsi="Palatino Linotype"/>
          <w:color w:val="000000" w:themeColor="text1"/>
        </w:rPr>
        <w:t xml:space="preserve"> </w:t>
      </w:r>
      <w:r w:rsidRPr="004C425E" w:rsidR="000C5EAF">
        <w:rPr>
          <w:rFonts w:ascii="Palatino Linotype" w:hAnsi="Palatino Linotype" w:eastAsia="Palatino Linotype" w:cs="Palatino Linotype"/>
          <w:color w:val="000000" w:themeColor="text1"/>
        </w:rPr>
        <w:t>Otherwise, explain why zero-emission research is not possible.</w:t>
      </w:r>
    </w:p>
    <w:p w:rsidR="00CC2F77" w:rsidP="00594CCE" w:rsidRDefault="00CC2F77" w14:paraId="14CD73C2" w14:textId="77777777">
      <w:pPr>
        <w:pStyle w:val="10sp0"/>
        <w:spacing w:after="0" w:line="276" w:lineRule="auto"/>
        <w:rPr>
          <w:rFonts w:ascii="Palatino Linotype" w:hAnsi="Palatino Linotype"/>
        </w:rPr>
      </w:pPr>
    </w:p>
    <w:p w:rsidRPr="00594CCE" w:rsidR="00594CCE" w:rsidP="00594CCE" w:rsidRDefault="00594CCE" w14:paraId="1628FE95" w14:textId="7E7A6BAB">
      <w:pPr>
        <w:pStyle w:val="10sp0"/>
        <w:spacing w:line="276" w:lineRule="auto"/>
        <w:rPr>
          <w:rFonts w:ascii="Palatino Linotype" w:hAnsi="Palatino Linotype"/>
          <w:color w:val="000000" w:themeColor="text1"/>
          <w:u w:val="single"/>
        </w:rPr>
      </w:pPr>
      <w:r w:rsidRPr="00594CCE">
        <w:rPr>
          <w:rFonts w:ascii="Palatino Linotype" w:hAnsi="Palatino Linotype"/>
          <w:color w:val="000000" w:themeColor="text1"/>
          <w:u w:val="single"/>
        </w:rPr>
        <w:t>Resubmittal of SoCalGas’ 202</w:t>
      </w:r>
      <w:r>
        <w:rPr>
          <w:rFonts w:ascii="Palatino Linotype" w:hAnsi="Palatino Linotype"/>
          <w:color w:val="000000" w:themeColor="text1"/>
          <w:u w:val="single"/>
        </w:rPr>
        <w:t>5</w:t>
      </w:r>
      <w:r w:rsidRPr="00594CCE">
        <w:rPr>
          <w:rFonts w:ascii="Palatino Linotype" w:hAnsi="Palatino Linotype"/>
          <w:color w:val="000000" w:themeColor="text1"/>
          <w:u w:val="single"/>
        </w:rPr>
        <w:t xml:space="preserve"> Plan</w:t>
      </w:r>
    </w:p>
    <w:p w:rsidRPr="00142242" w:rsidR="009658D3" w:rsidP="009658D3" w:rsidRDefault="009658D3" w14:paraId="7D7E59B5" w14:textId="0F600ABE">
      <w:pPr>
        <w:pStyle w:val="10sp0"/>
        <w:spacing w:after="0" w:line="276" w:lineRule="auto"/>
        <w:rPr>
          <w:rFonts w:ascii="Palatino Linotype" w:hAnsi="Palatino Linotype"/>
          <w:color w:val="000000" w:themeColor="text1"/>
        </w:rPr>
      </w:pPr>
      <w:r w:rsidRPr="00A709D7">
        <w:rPr>
          <w:rFonts w:ascii="Palatino Linotype" w:hAnsi="Palatino Linotype"/>
          <w:color w:val="000000" w:themeColor="text1"/>
        </w:rPr>
        <w:t>The Commission authorizes a budget of $</w:t>
      </w:r>
      <w:r>
        <w:rPr>
          <w:rFonts w:ascii="Palatino Linotype" w:hAnsi="Palatino Linotype"/>
          <w:color w:val="000000" w:themeColor="text1"/>
        </w:rPr>
        <w:t>18</w:t>
      </w:r>
      <w:r w:rsidR="00F4619F">
        <w:rPr>
          <w:rFonts w:ascii="Palatino Linotype" w:hAnsi="Palatino Linotype"/>
          <w:color w:val="000000" w:themeColor="text1"/>
        </w:rPr>
        <w:t>.</w:t>
      </w:r>
      <w:r>
        <w:rPr>
          <w:rFonts w:ascii="Palatino Linotype" w:hAnsi="Palatino Linotype"/>
          <w:color w:val="000000" w:themeColor="text1"/>
        </w:rPr>
        <w:t>38</w:t>
      </w:r>
      <w:r w:rsidR="00F4619F">
        <w:rPr>
          <w:rFonts w:ascii="Palatino Linotype" w:hAnsi="Palatino Linotype"/>
          <w:color w:val="000000" w:themeColor="text1"/>
        </w:rPr>
        <w:t>9M</w:t>
      </w:r>
      <w:r w:rsidRPr="00A709D7">
        <w:rPr>
          <w:rFonts w:ascii="Palatino Linotype" w:hAnsi="Palatino Linotype"/>
          <w:color w:val="000000" w:themeColor="text1"/>
        </w:rPr>
        <w:t xml:space="preserve"> for </w:t>
      </w:r>
      <w:r>
        <w:rPr>
          <w:rFonts w:ascii="Palatino Linotype" w:hAnsi="Palatino Linotype"/>
          <w:color w:val="000000" w:themeColor="text1"/>
        </w:rPr>
        <w:t>SoCalGas’ 2025</w:t>
      </w:r>
      <w:r w:rsidRPr="00A709D7">
        <w:rPr>
          <w:rFonts w:ascii="Palatino Linotype" w:hAnsi="Palatino Linotype"/>
          <w:color w:val="000000" w:themeColor="text1"/>
        </w:rPr>
        <w:t xml:space="preserve"> Plan as detailed in Appendix </w:t>
      </w:r>
      <w:r>
        <w:rPr>
          <w:rFonts w:ascii="Palatino Linotype" w:hAnsi="Palatino Linotype"/>
          <w:color w:val="000000" w:themeColor="text1"/>
        </w:rPr>
        <w:t>H</w:t>
      </w:r>
      <w:r w:rsidRPr="00A709D7">
        <w:rPr>
          <w:rFonts w:ascii="Palatino Linotype" w:hAnsi="Palatino Linotype"/>
          <w:color w:val="000000" w:themeColor="text1"/>
        </w:rPr>
        <w:t>, including a Program Administration budget of $</w:t>
      </w:r>
      <w:r>
        <w:rPr>
          <w:rFonts w:ascii="Palatino Linotype" w:hAnsi="Palatino Linotype"/>
          <w:color w:val="000000" w:themeColor="text1"/>
        </w:rPr>
        <w:t>1,838,900</w:t>
      </w:r>
      <w:r w:rsidRPr="00A709D7">
        <w:rPr>
          <w:rFonts w:ascii="Palatino Linotype" w:hAnsi="Palatino Linotype"/>
          <w:color w:val="000000" w:themeColor="text1"/>
        </w:rPr>
        <w:t xml:space="preserve">. The Commission’s authorization of </w:t>
      </w:r>
      <w:r>
        <w:rPr>
          <w:rFonts w:ascii="Palatino Linotype" w:hAnsi="Palatino Linotype"/>
          <w:color w:val="000000" w:themeColor="text1"/>
        </w:rPr>
        <w:t xml:space="preserve">SoCalGas’ 2025 </w:t>
      </w:r>
      <w:r w:rsidRPr="00A709D7">
        <w:rPr>
          <w:rFonts w:ascii="Palatino Linotype" w:hAnsi="Palatino Linotype"/>
          <w:color w:val="000000" w:themeColor="text1"/>
        </w:rPr>
        <w:t xml:space="preserve">Gas RD&amp;D Plan budget level requires </w:t>
      </w:r>
      <w:r>
        <w:rPr>
          <w:rFonts w:ascii="Palatino Linotype" w:hAnsi="Palatino Linotype"/>
          <w:color w:val="000000" w:themeColor="text1"/>
        </w:rPr>
        <w:t>SoCalGas</w:t>
      </w:r>
      <w:r w:rsidRPr="00A709D7">
        <w:rPr>
          <w:rFonts w:ascii="Palatino Linotype" w:hAnsi="Palatino Linotype"/>
          <w:color w:val="000000" w:themeColor="text1"/>
        </w:rPr>
        <w:t xml:space="preserve"> to submit a revised 202</w:t>
      </w:r>
      <w:r>
        <w:rPr>
          <w:rFonts w:ascii="Palatino Linotype" w:hAnsi="Palatino Linotype"/>
          <w:color w:val="000000" w:themeColor="text1"/>
        </w:rPr>
        <w:t>5</w:t>
      </w:r>
      <w:r w:rsidRPr="00A709D7">
        <w:rPr>
          <w:rFonts w:ascii="Palatino Linotype" w:hAnsi="Palatino Linotype"/>
          <w:color w:val="000000" w:themeColor="text1"/>
        </w:rPr>
        <w:t xml:space="preserve"> Plan via Tier 2 AL within 60 days addressing the identified compliance issues requiring modifications</w:t>
      </w:r>
      <w:r>
        <w:rPr>
          <w:rFonts w:ascii="Palatino Linotype" w:hAnsi="Palatino Linotype"/>
          <w:color w:val="000000" w:themeColor="text1"/>
        </w:rPr>
        <w:t>.</w:t>
      </w:r>
    </w:p>
    <w:p w:rsidR="00594CCE" w:rsidP="00F97978" w:rsidRDefault="00594CCE" w14:paraId="5D4AD3DA" w14:textId="77777777">
      <w:pPr>
        <w:spacing w:after="0" w:line="276" w:lineRule="auto"/>
        <w:contextualSpacing/>
        <w:rPr>
          <w:rFonts w:ascii="Palatino Linotype" w:hAnsi="Palatino Linotype" w:eastAsia="Palatino Linotype" w:cs="Times New Roman"/>
          <w:kern w:val="0"/>
          <w14:ligatures w14:val="none"/>
        </w:rPr>
      </w:pPr>
    </w:p>
    <w:p w:rsidRPr="008F6505" w:rsidR="002211FC" w:rsidP="00E74BFA" w:rsidRDefault="002211FC" w14:paraId="22A5E59A" w14:textId="5230D67B">
      <w:pPr>
        <w:pStyle w:val="10sp0"/>
        <w:keepNext/>
        <w:spacing w:before="240" w:line="276" w:lineRule="auto"/>
        <w:rPr>
          <w:rFonts w:ascii="Palatino Linotype" w:hAnsi="Palatino Linotype"/>
          <w:b/>
          <w:bCs/>
        </w:rPr>
      </w:pPr>
      <w:r w:rsidRPr="00DC2142">
        <w:rPr>
          <w:rFonts w:ascii="Palatino Linotype" w:hAnsi="Palatino Linotype"/>
          <w:b/>
          <w:bCs/>
        </w:rPr>
        <w:t xml:space="preserve">Compliance Assessment of AL </w:t>
      </w:r>
      <w:r w:rsidRPr="00DC2142" w:rsidR="00C25B99">
        <w:rPr>
          <w:rFonts w:ascii="Palatino Linotype" w:hAnsi="Palatino Linotype"/>
          <w:b/>
          <w:bCs/>
        </w:rPr>
        <w:t>6645-G</w:t>
      </w:r>
      <w:r w:rsidRPr="00DC2142">
        <w:rPr>
          <w:rFonts w:ascii="Palatino Linotype" w:hAnsi="Palatino Linotype"/>
          <w:b/>
          <w:bCs/>
        </w:rPr>
        <w:t xml:space="preserve"> - 202</w:t>
      </w:r>
      <w:r w:rsidRPr="00DC2142" w:rsidR="00C25B99">
        <w:rPr>
          <w:rFonts w:ascii="Palatino Linotype" w:hAnsi="Palatino Linotype"/>
          <w:b/>
          <w:bCs/>
        </w:rPr>
        <w:t>6</w:t>
      </w:r>
      <w:r w:rsidRPr="00DC2142">
        <w:rPr>
          <w:rFonts w:ascii="Palatino Linotype" w:hAnsi="Palatino Linotype"/>
          <w:b/>
          <w:bCs/>
        </w:rPr>
        <w:t xml:space="preserve"> Gas RD&amp;D Plan</w:t>
      </w:r>
      <w:r w:rsidRPr="008F6505">
        <w:rPr>
          <w:rFonts w:ascii="Palatino Linotype" w:hAnsi="Palatino Linotype"/>
          <w:b/>
          <w:bCs/>
        </w:rPr>
        <w:t xml:space="preserve"> </w:t>
      </w:r>
    </w:p>
    <w:p w:rsidRPr="004C425E" w:rsidR="009B4F5A" w:rsidP="00E74BFA" w:rsidRDefault="009B4F5A" w14:paraId="364592D0" w14:textId="08205C82">
      <w:pPr>
        <w:pStyle w:val="10sp0"/>
        <w:keepNext/>
        <w:spacing w:after="0" w:line="276" w:lineRule="auto"/>
        <w:rPr>
          <w:rFonts w:ascii="Palatino Linotype" w:hAnsi="Palatino Linotype"/>
          <w:color w:val="000000" w:themeColor="text1"/>
        </w:rPr>
      </w:pPr>
      <w:r w:rsidRPr="006F222D">
        <w:rPr>
          <w:rFonts w:ascii="Palatino Linotype" w:hAnsi="Palatino Linotype"/>
        </w:rPr>
        <w:t xml:space="preserve">Energy Division staff </w:t>
      </w:r>
      <w:proofErr w:type="gramStart"/>
      <w:r w:rsidRPr="006F222D">
        <w:rPr>
          <w:rFonts w:ascii="Palatino Linotype" w:hAnsi="Palatino Linotype"/>
        </w:rPr>
        <w:t>conducted an assessment of</w:t>
      </w:r>
      <w:proofErr w:type="gramEnd"/>
      <w:r w:rsidRPr="006F222D">
        <w:rPr>
          <w:rFonts w:ascii="Palatino Linotype" w:hAnsi="Palatino Linotype"/>
        </w:rPr>
        <w:t xml:space="preserve"> </w:t>
      </w:r>
      <w:r>
        <w:rPr>
          <w:rFonts w:ascii="Palatino Linotype" w:hAnsi="Palatino Linotype"/>
        </w:rPr>
        <w:t>SoCalGas’</w:t>
      </w:r>
      <w:r w:rsidRPr="006F222D">
        <w:rPr>
          <w:rFonts w:ascii="Palatino Linotype" w:hAnsi="Palatino Linotype"/>
        </w:rPr>
        <w:t xml:space="preserve"> </w:t>
      </w:r>
      <w:r>
        <w:rPr>
          <w:rFonts w:ascii="Palatino Linotype" w:hAnsi="Palatino Linotype"/>
        </w:rPr>
        <w:t>AL 6645-G</w:t>
      </w:r>
      <w:r w:rsidRPr="008F6505">
        <w:rPr>
          <w:rFonts w:ascii="Palatino Linotype" w:hAnsi="Palatino Linotype"/>
        </w:rPr>
        <w:t xml:space="preserve"> </w:t>
      </w:r>
      <w:r w:rsidRPr="006F222D">
        <w:rPr>
          <w:rFonts w:ascii="Palatino Linotype" w:hAnsi="Palatino Linotype"/>
        </w:rPr>
        <w:t>proposing its 202</w:t>
      </w:r>
      <w:r>
        <w:rPr>
          <w:rFonts w:ascii="Palatino Linotype" w:hAnsi="Palatino Linotype"/>
        </w:rPr>
        <w:t>6</w:t>
      </w:r>
      <w:r w:rsidRPr="006F222D">
        <w:rPr>
          <w:rFonts w:ascii="Palatino Linotype" w:hAnsi="Palatino Linotype"/>
        </w:rPr>
        <w:t xml:space="preserve"> Gas RD&amp;D Investment Plan. Staff assessed </w:t>
      </w:r>
      <w:r>
        <w:rPr>
          <w:rFonts w:ascii="Palatino Linotype" w:hAnsi="Palatino Linotype"/>
        </w:rPr>
        <w:t>SoCalGas’</w:t>
      </w:r>
      <w:r w:rsidRPr="006F222D">
        <w:rPr>
          <w:rFonts w:ascii="Palatino Linotype" w:hAnsi="Palatino Linotype"/>
        </w:rPr>
        <w:t xml:space="preserve"> 202</w:t>
      </w:r>
      <w:r>
        <w:rPr>
          <w:rFonts w:ascii="Palatino Linotype" w:hAnsi="Palatino Linotype"/>
        </w:rPr>
        <w:t>6</w:t>
      </w:r>
      <w:r w:rsidRPr="006F222D">
        <w:rPr>
          <w:rFonts w:ascii="Palatino Linotype" w:hAnsi="Palatino Linotype"/>
        </w:rPr>
        <w:t xml:space="preserve"> Plan based on </w:t>
      </w:r>
      <w:r w:rsidRPr="006F222D">
        <w:rPr>
          <w:rFonts w:ascii="Palatino Linotype" w:hAnsi="Palatino Linotype"/>
        </w:rPr>
        <w:lastRenderedPageBreak/>
        <w:t xml:space="preserve">consistency with requirements and previous Commission guidance. The Commission finds that in some areas </w:t>
      </w:r>
      <w:r>
        <w:rPr>
          <w:rFonts w:ascii="Palatino Linotype" w:hAnsi="Palatino Linotype"/>
        </w:rPr>
        <w:t>SoCalGas’</w:t>
      </w:r>
      <w:r w:rsidRPr="006F222D">
        <w:rPr>
          <w:rFonts w:ascii="Palatino Linotype" w:hAnsi="Palatino Linotype"/>
        </w:rPr>
        <w:t xml:space="preserve"> </w:t>
      </w:r>
      <w:r>
        <w:rPr>
          <w:rFonts w:ascii="Palatino Linotype" w:hAnsi="Palatino Linotype"/>
        </w:rPr>
        <w:t>AL 6645-</w:t>
      </w:r>
      <w:r w:rsidRPr="004C425E">
        <w:rPr>
          <w:rFonts w:ascii="Palatino Linotype" w:hAnsi="Palatino Linotype"/>
          <w:color w:val="000000" w:themeColor="text1"/>
        </w:rPr>
        <w:t xml:space="preserve">G is not fully compliant with the Commission’s previously adopted requirements as described below. See also </w:t>
      </w:r>
      <w:r w:rsidR="00E74BFA">
        <w:rPr>
          <w:rFonts w:ascii="Palatino Linotype" w:hAnsi="Palatino Linotype"/>
          <w:color w:val="000000" w:themeColor="text1"/>
        </w:rPr>
        <w:br/>
      </w:r>
      <w:r w:rsidRPr="004C425E">
        <w:rPr>
          <w:rFonts w:ascii="Palatino Linotype" w:hAnsi="Palatino Linotype"/>
          <w:color w:val="000000" w:themeColor="text1"/>
        </w:rPr>
        <w:t>Appendix I for additional details:</w:t>
      </w:r>
    </w:p>
    <w:p w:rsidRPr="004C425E" w:rsidR="00B6431B" w:rsidP="00477204" w:rsidRDefault="00B6431B" w14:paraId="415F9A33" w14:textId="29E29A58">
      <w:pPr>
        <w:pStyle w:val="10sp0"/>
        <w:numPr>
          <w:ilvl w:val="0"/>
          <w:numId w:val="20"/>
        </w:numPr>
        <w:spacing w:after="0" w:line="276" w:lineRule="auto"/>
        <w:rPr>
          <w:rFonts w:ascii="Palatino Linotype" w:hAnsi="Palatino Linotype"/>
          <w:color w:val="000000" w:themeColor="text1"/>
        </w:rPr>
      </w:pPr>
      <w:r w:rsidRPr="004C425E">
        <w:rPr>
          <w:rFonts w:ascii="Palatino Linotype" w:hAnsi="Palatino Linotype"/>
          <w:color w:val="000000" w:themeColor="text1"/>
        </w:rPr>
        <w:t>SoCalGas does not demonstrate alignment with CPUC proceedings and ratepayer benefit</w:t>
      </w:r>
      <w:r w:rsidRPr="004C425E" w:rsidR="007D5678">
        <w:rPr>
          <w:rStyle w:val="FootnoteReference"/>
          <w:rFonts w:ascii="Palatino Linotype" w:hAnsi="Palatino Linotype"/>
          <w:color w:val="000000" w:themeColor="text1"/>
        </w:rPr>
        <w:footnoteReference w:id="101"/>
      </w:r>
      <w:r w:rsidRPr="004C425E">
        <w:rPr>
          <w:rFonts w:ascii="Palatino Linotype" w:hAnsi="Palatino Linotype"/>
          <w:color w:val="000000" w:themeColor="text1"/>
        </w:rPr>
        <w:t xml:space="preserve"> </w:t>
      </w:r>
      <w:proofErr w:type="gramStart"/>
      <w:r w:rsidRPr="004C425E">
        <w:rPr>
          <w:rFonts w:ascii="Palatino Linotype" w:hAnsi="Palatino Linotype"/>
          <w:color w:val="000000" w:themeColor="text1"/>
        </w:rPr>
        <w:t>where</w:t>
      </w:r>
      <w:proofErr w:type="gramEnd"/>
      <w:r w:rsidRPr="004C425E">
        <w:rPr>
          <w:rFonts w:ascii="Palatino Linotype" w:hAnsi="Palatino Linotype"/>
          <w:color w:val="000000" w:themeColor="text1"/>
        </w:rPr>
        <w:t xml:space="preserve"> requesting funding for carbon capture activities under the “Carbon Management Integration” Research Topic for its </w:t>
      </w:r>
      <w:r w:rsidRPr="004C425E">
        <w:rPr>
          <w:rFonts w:ascii="Palatino Linotype" w:hAnsi="Palatino Linotype"/>
          <w:i/>
          <w:color w:val="000000" w:themeColor="text1"/>
        </w:rPr>
        <w:t>Energy Reliability &amp; Resilience</w:t>
      </w:r>
      <w:r w:rsidRPr="004C425E">
        <w:rPr>
          <w:rFonts w:ascii="Palatino Linotype" w:hAnsi="Palatino Linotype"/>
          <w:color w:val="000000" w:themeColor="text1"/>
        </w:rPr>
        <w:t xml:space="preserve"> Initiative.</w:t>
      </w:r>
      <w:r w:rsidRPr="004C425E">
        <w:rPr>
          <w:rStyle w:val="FootnoteReference"/>
          <w:rFonts w:ascii="Palatino Linotype" w:hAnsi="Palatino Linotype"/>
          <w:color w:val="000000" w:themeColor="text1"/>
        </w:rPr>
        <w:footnoteReference w:id="102"/>
      </w:r>
      <w:r w:rsidRPr="004C425E">
        <w:rPr>
          <w:rFonts w:ascii="Palatino Linotype" w:hAnsi="Palatino Linotype"/>
          <w:color w:val="000000" w:themeColor="text1"/>
        </w:rPr>
        <w:t xml:space="preserve"> </w:t>
      </w:r>
      <w:r w:rsidRPr="004F1A0A" w:rsidR="004F1A0A">
        <w:rPr>
          <w:rFonts w:ascii="Palatino Linotype" w:hAnsi="Palatino Linotype"/>
          <w:color w:val="000000" w:themeColor="text1"/>
        </w:rPr>
        <w:t>SoCalGas must provide further detail on this Research Topic as described below.</w:t>
      </w:r>
    </w:p>
    <w:p w:rsidRPr="004C425E" w:rsidR="004354F6" w:rsidP="00477204" w:rsidRDefault="00982B72" w14:paraId="1A73A8A8" w14:textId="6939AEA1">
      <w:pPr>
        <w:pStyle w:val="10sp0"/>
        <w:numPr>
          <w:ilvl w:val="0"/>
          <w:numId w:val="20"/>
        </w:numPr>
        <w:spacing w:after="0" w:line="276" w:lineRule="auto"/>
        <w:rPr>
          <w:rFonts w:ascii="Palatino Linotype" w:hAnsi="Palatino Linotype"/>
          <w:color w:val="000000" w:themeColor="text1"/>
        </w:rPr>
      </w:pPr>
      <w:r w:rsidRPr="004C425E">
        <w:rPr>
          <w:rFonts w:ascii="Palatino Linotype" w:hAnsi="Palatino Linotype"/>
          <w:color w:val="000000" w:themeColor="text1"/>
        </w:rPr>
        <w:t xml:space="preserve">SoCalGas </w:t>
      </w:r>
      <w:r w:rsidRPr="004C425E" w:rsidR="008822B5">
        <w:rPr>
          <w:rFonts w:ascii="Palatino Linotype" w:hAnsi="Palatino Linotype"/>
          <w:color w:val="000000" w:themeColor="text1"/>
        </w:rPr>
        <w:t xml:space="preserve">must embed </w:t>
      </w:r>
      <w:r w:rsidRPr="004C425E" w:rsidR="002B615F">
        <w:rPr>
          <w:rFonts w:ascii="Palatino Linotype" w:hAnsi="Palatino Linotype"/>
          <w:color w:val="000000" w:themeColor="text1"/>
        </w:rPr>
        <w:t>in the descriptions of each proposed Initiative for transparency</w:t>
      </w:r>
      <w:r w:rsidRPr="004C425E" w:rsidR="004354F6">
        <w:rPr>
          <w:rFonts w:ascii="Palatino Linotype" w:hAnsi="Palatino Linotype"/>
          <w:color w:val="000000" w:themeColor="text1"/>
        </w:rPr>
        <w:t xml:space="preserve">: </w:t>
      </w:r>
    </w:p>
    <w:p w:rsidRPr="004C425E" w:rsidR="00525EE7" w:rsidP="00477204" w:rsidRDefault="00525EE7" w14:paraId="73755861" w14:textId="202A16F0">
      <w:pPr>
        <w:pStyle w:val="10sp0"/>
        <w:numPr>
          <w:ilvl w:val="1"/>
          <w:numId w:val="20"/>
        </w:numPr>
        <w:spacing w:after="0" w:line="276" w:lineRule="auto"/>
        <w:rPr>
          <w:rFonts w:ascii="Palatino Linotype" w:hAnsi="Palatino Linotype"/>
          <w:color w:val="000000" w:themeColor="text1"/>
        </w:rPr>
      </w:pPr>
      <w:r w:rsidRPr="004C425E">
        <w:rPr>
          <w:rFonts w:ascii="Palatino Linotype" w:hAnsi="Palatino Linotype"/>
          <w:color w:val="000000" w:themeColor="text1"/>
        </w:rPr>
        <w:t xml:space="preserve">Incorporation strategies associated with all: </w:t>
      </w:r>
    </w:p>
    <w:p w:rsidRPr="004C425E" w:rsidR="00525EE7" w:rsidP="00477204" w:rsidRDefault="00525EE7" w14:paraId="702E3C11" w14:textId="5F2B706F">
      <w:pPr>
        <w:pStyle w:val="10sp0"/>
        <w:numPr>
          <w:ilvl w:val="2"/>
          <w:numId w:val="20"/>
        </w:numPr>
        <w:spacing w:after="0" w:line="276" w:lineRule="auto"/>
        <w:rPr>
          <w:rFonts w:ascii="Palatino Linotype" w:hAnsi="Palatino Linotype"/>
          <w:color w:val="000000" w:themeColor="text1"/>
        </w:rPr>
      </w:pPr>
      <w:r w:rsidRPr="004C425E">
        <w:rPr>
          <w:rFonts w:ascii="Palatino Linotype" w:hAnsi="Palatino Linotype"/>
          <w:color w:val="000000" w:themeColor="text1"/>
        </w:rPr>
        <w:t>Stakeholder feedback,</w:t>
      </w:r>
      <w:r w:rsidRPr="004C425E">
        <w:rPr>
          <w:rStyle w:val="FootnoteReference"/>
          <w:rFonts w:ascii="Palatino Linotype" w:hAnsi="Palatino Linotype"/>
          <w:color w:val="000000" w:themeColor="text1"/>
        </w:rPr>
        <w:footnoteReference w:id="103"/>
      </w:r>
      <w:r w:rsidRPr="004C425E">
        <w:rPr>
          <w:rFonts w:ascii="Palatino Linotype" w:hAnsi="Palatino Linotype"/>
          <w:color w:val="000000" w:themeColor="text1"/>
        </w:rPr>
        <w:t xml:space="preserve"> and </w:t>
      </w:r>
    </w:p>
    <w:p w:rsidRPr="004C425E" w:rsidR="00525EE7" w:rsidP="00477204" w:rsidRDefault="00775816" w14:paraId="4E079CB6" w14:textId="2701A49D">
      <w:pPr>
        <w:pStyle w:val="10sp0"/>
        <w:numPr>
          <w:ilvl w:val="2"/>
          <w:numId w:val="20"/>
        </w:numPr>
        <w:spacing w:after="0" w:line="276" w:lineRule="auto"/>
        <w:rPr>
          <w:rFonts w:ascii="Palatino Linotype" w:hAnsi="Palatino Linotype"/>
          <w:color w:val="000000" w:themeColor="text1"/>
        </w:rPr>
      </w:pPr>
      <w:r w:rsidRPr="00A450C8">
        <w:rPr>
          <w:rFonts w:ascii="Palatino Linotype" w:hAnsi="Palatino Linotype"/>
          <w:color w:val="000000" w:themeColor="text1"/>
        </w:rPr>
        <w:t xml:space="preserve">Energy Division staff </w:t>
      </w:r>
      <w:r>
        <w:rPr>
          <w:rFonts w:ascii="Palatino Linotype" w:hAnsi="Palatino Linotype"/>
          <w:color w:val="000000" w:themeColor="text1"/>
        </w:rPr>
        <w:t>c</w:t>
      </w:r>
      <w:r w:rsidRPr="00A450C8">
        <w:rPr>
          <w:rFonts w:ascii="Palatino Linotype" w:hAnsi="Palatino Linotype"/>
          <w:color w:val="000000" w:themeColor="text1"/>
        </w:rPr>
        <w:t>onsultation feedback reflecting alignment with CPUC proceedings and ratepayer benefit</w:t>
      </w:r>
      <w:r w:rsidRPr="004C425E" w:rsidR="00E40FC0">
        <w:rPr>
          <w:rFonts w:ascii="Palatino Linotype" w:hAnsi="Palatino Linotype"/>
          <w:color w:val="000000" w:themeColor="text1"/>
        </w:rPr>
        <w:t>,</w:t>
      </w:r>
      <w:r w:rsidRPr="004C425E" w:rsidR="002A795B">
        <w:rPr>
          <w:rStyle w:val="FootnoteReference"/>
          <w:rFonts w:ascii="Palatino Linotype" w:hAnsi="Palatino Linotype"/>
          <w:color w:val="000000" w:themeColor="text1"/>
        </w:rPr>
        <w:footnoteReference w:id="104"/>
      </w:r>
      <w:r w:rsidRPr="004C425E" w:rsidR="00E40FC0">
        <w:rPr>
          <w:rFonts w:ascii="Palatino Linotype" w:hAnsi="Palatino Linotype"/>
          <w:color w:val="000000" w:themeColor="text1"/>
        </w:rPr>
        <w:t xml:space="preserve"> including: </w:t>
      </w:r>
    </w:p>
    <w:p w:rsidR="00634CC0" w:rsidP="00477204" w:rsidRDefault="008A0B6E" w14:paraId="7FEF6654" w14:textId="77777777">
      <w:pPr>
        <w:pStyle w:val="10sp0"/>
        <w:numPr>
          <w:ilvl w:val="3"/>
          <w:numId w:val="20"/>
        </w:numPr>
        <w:spacing w:after="0" w:line="276" w:lineRule="auto"/>
        <w:rPr>
          <w:rFonts w:ascii="Palatino Linotype" w:hAnsi="Palatino Linotype"/>
          <w:color w:val="000000" w:themeColor="text1"/>
        </w:rPr>
      </w:pPr>
      <w:r w:rsidRPr="004C425E">
        <w:rPr>
          <w:rFonts w:ascii="Palatino Linotype" w:hAnsi="Palatino Linotype"/>
          <w:i/>
          <w:iCs/>
          <w:color w:val="000000" w:themeColor="text1"/>
        </w:rPr>
        <w:t>Environment &amp; Safety</w:t>
      </w:r>
      <w:r w:rsidRPr="004C425E">
        <w:rPr>
          <w:rFonts w:ascii="Palatino Linotype" w:hAnsi="Palatino Linotype"/>
          <w:color w:val="000000" w:themeColor="text1"/>
        </w:rPr>
        <w:t>: SoCalGas must demonstrate that it will account for the full costs associated with AI/ML applications when assessing impacts, including increased energy consumption, cloud services, data storage, and processing requirements, and that human decision-making authority will be retained.</w:t>
      </w:r>
    </w:p>
    <w:p w:rsidRPr="00634CC0" w:rsidR="00E40FC0" w:rsidP="00477204" w:rsidRDefault="008A0B6E" w14:paraId="4C019ADF" w14:textId="2A5D8F80">
      <w:pPr>
        <w:pStyle w:val="10sp0"/>
        <w:numPr>
          <w:ilvl w:val="3"/>
          <w:numId w:val="20"/>
        </w:numPr>
        <w:spacing w:after="0" w:line="276" w:lineRule="auto"/>
        <w:rPr>
          <w:rFonts w:ascii="Palatino Linotype" w:hAnsi="Palatino Linotype"/>
          <w:color w:val="000000" w:themeColor="text1"/>
        </w:rPr>
      </w:pPr>
      <w:r w:rsidRPr="00634CC0">
        <w:rPr>
          <w:rFonts w:ascii="Palatino Linotype" w:hAnsi="Palatino Linotype"/>
          <w:i/>
          <w:iCs/>
          <w:color w:val="000000" w:themeColor="text1"/>
        </w:rPr>
        <w:t>Building &amp; Facility Systems</w:t>
      </w:r>
      <w:r w:rsidRPr="00634CC0">
        <w:rPr>
          <w:rFonts w:ascii="Palatino Linotype" w:hAnsi="Palatino Linotype"/>
          <w:color w:val="000000" w:themeColor="text1"/>
        </w:rPr>
        <w:t xml:space="preserve">: </w:t>
      </w:r>
      <w:r w:rsidRPr="00634CC0" w:rsidR="00634CC0">
        <w:rPr>
          <w:rFonts w:ascii="Palatino Linotype" w:hAnsi="Palatino Linotype"/>
          <w:color w:val="000000" w:themeColor="text1"/>
        </w:rPr>
        <w:t xml:space="preserve">SoCalGas must discuss how this Initiative supports reducing the size of the gas system or otherwise </w:t>
      </w:r>
      <w:proofErr w:type="gramStart"/>
      <w:r w:rsidRPr="00634CC0" w:rsidR="00634CC0">
        <w:rPr>
          <w:rFonts w:ascii="Palatino Linotype" w:hAnsi="Palatino Linotype"/>
          <w:color w:val="000000" w:themeColor="text1"/>
        </w:rPr>
        <w:t>explain</w:t>
      </w:r>
      <w:proofErr w:type="gramEnd"/>
      <w:r w:rsidRPr="00634CC0" w:rsidR="00634CC0">
        <w:rPr>
          <w:rFonts w:ascii="Palatino Linotype" w:hAnsi="Palatino Linotype"/>
          <w:color w:val="000000" w:themeColor="text1"/>
        </w:rPr>
        <w:t xml:space="preserve"> why it does not.</w:t>
      </w:r>
    </w:p>
    <w:p w:rsidRPr="004C425E" w:rsidR="002A795B" w:rsidP="00477204" w:rsidRDefault="004354F6" w14:paraId="0878FBA1" w14:textId="5F35CF13">
      <w:pPr>
        <w:pStyle w:val="10sp0"/>
        <w:numPr>
          <w:ilvl w:val="1"/>
          <w:numId w:val="20"/>
        </w:numPr>
        <w:spacing w:after="0" w:line="276" w:lineRule="auto"/>
        <w:rPr>
          <w:rFonts w:ascii="Palatino Linotype" w:hAnsi="Palatino Linotype"/>
          <w:color w:val="000000" w:themeColor="text1"/>
        </w:rPr>
      </w:pPr>
      <w:r w:rsidRPr="004C425E">
        <w:rPr>
          <w:rFonts w:ascii="Palatino Linotype" w:hAnsi="Palatino Linotype"/>
          <w:color w:val="000000" w:themeColor="text1"/>
        </w:rPr>
        <w:t>D</w:t>
      </w:r>
      <w:r w:rsidRPr="004C425E" w:rsidR="002A795B">
        <w:rPr>
          <w:rFonts w:ascii="Palatino Linotype" w:hAnsi="Palatino Linotype"/>
          <w:color w:val="000000" w:themeColor="text1"/>
        </w:rPr>
        <w:t>etail differentiating similar RD&amp;D led by other Gas RD&amp;D administrators</w:t>
      </w:r>
      <w:r w:rsidRPr="004C425E" w:rsidR="003800B8">
        <w:rPr>
          <w:rStyle w:val="FootnoteReference"/>
          <w:rFonts w:ascii="Palatino Linotype" w:hAnsi="Palatino Linotype"/>
          <w:color w:val="000000" w:themeColor="text1"/>
        </w:rPr>
        <w:footnoteReference w:id="105"/>
      </w:r>
      <w:r w:rsidRPr="004C425E" w:rsidR="00825B6C">
        <w:rPr>
          <w:rFonts w:ascii="Palatino Linotype" w:hAnsi="Palatino Linotype"/>
          <w:color w:val="000000" w:themeColor="text1"/>
        </w:rPr>
        <w:t xml:space="preserve"> and conducted in other programs,</w:t>
      </w:r>
      <w:r w:rsidRPr="004C425E">
        <w:rPr>
          <w:rFonts w:ascii="Palatino Linotype" w:hAnsi="Palatino Linotype"/>
          <w:color w:val="000000" w:themeColor="text1"/>
        </w:rPr>
        <w:t xml:space="preserve"> </w:t>
      </w:r>
      <w:r w:rsidRPr="004C425E" w:rsidR="00523863">
        <w:rPr>
          <w:rFonts w:ascii="Palatino Linotype" w:hAnsi="Palatino Linotype"/>
          <w:color w:val="000000" w:themeColor="text1"/>
        </w:rPr>
        <w:t>particularly</w:t>
      </w:r>
      <w:r w:rsidRPr="004C425E">
        <w:rPr>
          <w:rFonts w:ascii="Palatino Linotype" w:hAnsi="Palatino Linotype"/>
          <w:color w:val="000000" w:themeColor="text1"/>
        </w:rPr>
        <w:t xml:space="preserve">: </w:t>
      </w:r>
    </w:p>
    <w:p w:rsidRPr="004C425E" w:rsidR="00AA388C" w:rsidP="00477204" w:rsidRDefault="00AA388C" w14:paraId="3F61E8FF" w14:textId="77777777">
      <w:pPr>
        <w:pStyle w:val="10sp0"/>
        <w:numPr>
          <w:ilvl w:val="2"/>
          <w:numId w:val="20"/>
        </w:numPr>
        <w:spacing w:after="0" w:line="276" w:lineRule="auto"/>
        <w:rPr>
          <w:rFonts w:ascii="Palatino Linotype" w:hAnsi="Palatino Linotype"/>
          <w:color w:val="000000" w:themeColor="text1"/>
        </w:rPr>
      </w:pPr>
      <w:r w:rsidRPr="004C425E">
        <w:rPr>
          <w:rFonts w:ascii="Palatino Linotype" w:hAnsi="Palatino Linotype"/>
          <w:i/>
          <w:iCs/>
          <w:color w:val="000000" w:themeColor="text1"/>
        </w:rPr>
        <w:lastRenderedPageBreak/>
        <w:t>Environmental &amp; Safety</w:t>
      </w:r>
      <w:r w:rsidRPr="004C425E">
        <w:rPr>
          <w:rFonts w:ascii="Palatino Linotype" w:hAnsi="Palatino Linotype"/>
          <w:color w:val="000000" w:themeColor="text1"/>
        </w:rPr>
        <w:t xml:space="preserve"> from PG&amp;E RD&amp;D involving AI/ML and LiDAR, including specific examples of how system conditions differ to justify parallel validation.</w:t>
      </w:r>
    </w:p>
    <w:p w:rsidRPr="004C425E" w:rsidR="00AA388C" w:rsidP="00477204" w:rsidRDefault="00AA388C" w14:paraId="343EBCFC" w14:textId="77777777">
      <w:pPr>
        <w:pStyle w:val="10sp0"/>
        <w:numPr>
          <w:ilvl w:val="2"/>
          <w:numId w:val="20"/>
        </w:numPr>
        <w:spacing w:after="0" w:line="276" w:lineRule="auto"/>
        <w:rPr>
          <w:rFonts w:ascii="Palatino Linotype" w:hAnsi="Palatino Linotype"/>
          <w:color w:val="000000" w:themeColor="text1"/>
        </w:rPr>
      </w:pPr>
      <w:r w:rsidRPr="004C425E">
        <w:rPr>
          <w:rFonts w:ascii="Palatino Linotype" w:hAnsi="Palatino Linotype"/>
          <w:i/>
          <w:iCs/>
          <w:color w:val="000000" w:themeColor="text1"/>
        </w:rPr>
        <w:t>Community Impact &amp; Energy Conservation</w:t>
      </w:r>
      <w:r w:rsidRPr="004C425E">
        <w:rPr>
          <w:rFonts w:ascii="Palatino Linotype" w:hAnsi="Palatino Linotype"/>
          <w:color w:val="000000" w:themeColor="text1"/>
        </w:rPr>
        <w:t xml:space="preserve"> from PG&amp;E RD&amp;D involving AI/ML and LiDAR in addition to PG&amp;E and CEC RD&amp;D involving methane monitoring.</w:t>
      </w:r>
    </w:p>
    <w:p w:rsidRPr="004C425E" w:rsidR="00644E7C" w:rsidP="00477204" w:rsidRDefault="00AA388C" w14:paraId="0C55476B" w14:textId="7B3A479F">
      <w:pPr>
        <w:pStyle w:val="10sp0"/>
        <w:numPr>
          <w:ilvl w:val="2"/>
          <w:numId w:val="20"/>
        </w:numPr>
        <w:spacing w:after="0" w:line="276" w:lineRule="auto"/>
        <w:rPr>
          <w:rFonts w:ascii="Palatino Linotype" w:hAnsi="Palatino Linotype"/>
          <w:color w:val="000000" w:themeColor="text1"/>
        </w:rPr>
      </w:pPr>
      <w:r w:rsidRPr="004C425E">
        <w:rPr>
          <w:rFonts w:ascii="Palatino Linotype" w:hAnsi="Palatino Linotype"/>
          <w:i/>
          <w:iCs/>
          <w:color w:val="000000" w:themeColor="text1"/>
        </w:rPr>
        <w:t>Low-Carbon Fuel Technologies</w:t>
      </w:r>
      <w:r w:rsidRPr="004C425E">
        <w:rPr>
          <w:rFonts w:ascii="Palatino Linotype" w:hAnsi="Palatino Linotype"/>
          <w:color w:val="000000" w:themeColor="text1"/>
        </w:rPr>
        <w:t xml:space="preserve"> from PG&amp;E’s </w:t>
      </w:r>
      <w:r w:rsidRPr="004C425E">
        <w:rPr>
          <w:rFonts w:ascii="Palatino Linotype" w:hAnsi="Palatino Linotype"/>
          <w:i/>
          <w:iCs/>
          <w:color w:val="000000" w:themeColor="text1"/>
        </w:rPr>
        <w:t>Clean Fuels Integration</w:t>
      </w:r>
      <w:r w:rsidRPr="004C425E">
        <w:rPr>
          <w:rFonts w:ascii="Palatino Linotype" w:hAnsi="Palatino Linotype"/>
          <w:color w:val="000000" w:themeColor="text1"/>
        </w:rPr>
        <w:t xml:space="preserve"> Initiative</w:t>
      </w:r>
      <w:r w:rsidRPr="004C425E" w:rsidR="00AD5D09">
        <w:rPr>
          <w:rFonts w:ascii="Palatino Linotype" w:hAnsi="Palatino Linotype"/>
          <w:color w:val="000000" w:themeColor="text1"/>
        </w:rPr>
        <w:t xml:space="preserve"> in its 2026 Plan</w:t>
      </w:r>
      <w:r w:rsidRPr="004C425E">
        <w:rPr>
          <w:rFonts w:ascii="Palatino Linotype" w:hAnsi="Palatino Linotype"/>
          <w:color w:val="000000" w:themeColor="text1"/>
        </w:rPr>
        <w:t>.</w:t>
      </w:r>
      <w:r w:rsidRPr="004C425E" w:rsidR="000412A5">
        <w:rPr>
          <w:rStyle w:val="FootnoteReference"/>
          <w:rFonts w:ascii="Palatino Linotype" w:hAnsi="Palatino Linotype"/>
          <w:color w:val="000000" w:themeColor="text1"/>
        </w:rPr>
        <w:footnoteReference w:id="106"/>
      </w:r>
      <w:r w:rsidRPr="004C425E">
        <w:rPr>
          <w:rFonts w:ascii="Palatino Linotype" w:hAnsi="Palatino Linotype"/>
          <w:color w:val="000000" w:themeColor="text1"/>
        </w:rPr>
        <w:t xml:space="preserve">  </w:t>
      </w:r>
    </w:p>
    <w:p w:rsidRPr="004C425E" w:rsidR="002A795B" w:rsidP="00477204" w:rsidRDefault="001B79A2" w14:paraId="6CA3745D" w14:textId="445B218E">
      <w:pPr>
        <w:pStyle w:val="10sp0"/>
        <w:numPr>
          <w:ilvl w:val="2"/>
          <w:numId w:val="20"/>
        </w:numPr>
        <w:spacing w:after="0" w:line="276" w:lineRule="auto"/>
        <w:rPr>
          <w:rFonts w:ascii="Palatino Linotype" w:hAnsi="Palatino Linotype"/>
          <w:color w:val="000000" w:themeColor="text1"/>
        </w:rPr>
      </w:pPr>
      <w:r w:rsidRPr="004C425E">
        <w:rPr>
          <w:rFonts w:ascii="Palatino Linotype" w:hAnsi="Palatino Linotype"/>
          <w:i/>
          <w:color w:val="000000" w:themeColor="text1"/>
        </w:rPr>
        <w:t>Energy Reliability &amp; Resilience</w:t>
      </w:r>
      <w:r w:rsidRPr="004C425E">
        <w:rPr>
          <w:rFonts w:ascii="Palatino Linotype" w:hAnsi="Palatino Linotype"/>
          <w:color w:val="000000" w:themeColor="text1"/>
        </w:rPr>
        <w:t xml:space="preserve"> from </w:t>
      </w:r>
      <w:r w:rsidRPr="004C425E" w:rsidR="00762718">
        <w:rPr>
          <w:rFonts w:ascii="Palatino Linotype" w:hAnsi="Palatino Linotype"/>
          <w:color w:val="000000" w:themeColor="text1"/>
        </w:rPr>
        <w:t xml:space="preserve">the </w:t>
      </w:r>
      <w:r w:rsidRPr="004C425E" w:rsidR="008D51FA">
        <w:rPr>
          <w:rFonts w:ascii="Palatino Linotype" w:hAnsi="Palatino Linotype"/>
          <w:color w:val="000000" w:themeColor="text1"/>
        </w:rPr>
        <w:t>CEC’s EPIC and Gas RD&amp;D Initiatives and projects related to cost-effective industrial decarbonization</w:t>
      </w:r>
      <w:r w:rsidRPr="004C425E" w:rsidR="00762718">
        <w:rPr>
          <w:rFonts w:ascii="Palatino Linotype" w:hAnsi="Palatino Linotype"/>
          <w:color w:val="000000" w:themeColor="text1"/>
        </w:rPr>
        <w:t xml:space="preserve"> in addition to the CEC’s </w:t>
      </w:r>
      <w:r w:rsidRPr="004C425E" w:rsidR="00762718">
        <w:rPr>
          <w:rFonts w:ascii="Palatino Linotype" w:hAnsi="Palatino Linotype"/>
          <w:i/>
          <w:iCs/>
          <w:color w:val="000000" w:themeColor="text1"/>
        </w:rPr>
        <w:t xml:space="preserve">Fuel-Flexible Distributed Power Generation </w:t>
      </w:r>
      <w:r w:rsidRPr="004C425E" w:rsidR="00762718">
        <w:rPr>
          <w:rFonts w:ascii="Palatino Linotype" w:hAnsi="Palatino Linotype"/>
          <w:color w:val="000000" w:themeColor="text1"/>
        </w:rPr>
        <w:t>Initiative in its proposed FY</w:t>
      </w:r>
      <w:r w:rsidRPr="004C425E" w:rsidR="00AD5D09">
        <w:rPr>
          <w:rFonts w:ascii="Palatino Linotype" w:hAnsi="Palatino Linotype"/>
          <w:color w:val="000000" w:themeColor="text1"/>
        </w:rPr>
        <w:t xml:space="preserve"> </w:t>
      </w:r>
      <w:r w:rsidRPr="004C425E" w:rsidR="00762718">
        <w:rPr>
          <w:rFonts w:ascii="Palatino Linotype" w:hAnsi="Palatino Linotype"/>
          <w:color w:val="000000" w:themeColor="text1"/>
        </w:rPr>
        <w:t>2024-</w:t>
      </w:r>
      <w:r w:rsidRPr="004C425E" w:rsidR="00AD5D09">
        <w:rPr>
          <w:rFonts w:ascii="Palatino Linotype" w:hAnsi="Palatino Linotype"/>
          <w:color w:val="000000" w:themeColor="text1"/>
        </w:rPr>
        <w:t>20</w:t>
      </w:r>
      <w:r w:rsidRPr="004C425E" w:rsidR="00762718">
        <w:rPr>
          <w:rFonts w:ascii="Palatino Linotype" w:hAnsi="Palatino Linotype"/>
          <w:color w:val="000000" w:themeColor="text1"/>
        </w:rPr>
        <w:t>25 Plan.</w:t>
      </w:r>
      <w:r w:rsidRPr="004C425E" w:rsidR="00027566">
        <w:rPr>
          <w:rStyle w:val="FootnoteReference"/>
          <w:rFonts w:ascii="Palatino Linotype" w:hAnsi="Palatino Linotype"/>
          <w:color w:val="000000" w:themeColor="text1"/>
        </w:rPr>
        <w:footnoteReference w:id="107"/>
      </w:r>
    </w:p>
    <w:p w:rsidRPr="004C425E" w:rsidR="001E1A34" w:rsidP="00477204" w:rsidRDefault="001E1A34" w14:paraId="7E5407C1" w14:textId="2B2D43D4">
      <w:pPr>
        <w:pStyle w:val="ListParagraph"/>
        <w:numPr>
          <w:ilvl w:val="2"/>
          <w:numId w:val="20"/>
        </w:numPr>
        <w:spacing w:after="0"/>
        <w:rPr>
          <w:rFonts w:ascii="Palatino Linotype" w:hAnsi="Palatino Linotype" w:eastAsia="SimSun" w:cs="Times New Roman"/>
          <w:color w:val="000000" w:themeColor="text1"/>
          <w:kern w:val="0"/>
          <w:szCs w:val="20"/>
          <w14:ligatures w14:val="none"/>
        </w:rPr>
      </w:pPr>
      <w:r w:rsidRPr="004C425E">
        <w:rPr>
          <w:rFonts w:ascii="Palatino Linotype" w:hAnsi="Palatino Linotype" w:eastAsia="SimSun" w:cs="Times New Roman"/>
          <w:i/>
          <w:iCs/>
          <w:color w:val="000000" w:themeColor="text1"/>
          <w:kern w:val="0"/>
          <w:szCs w:val="20"/>
          <w14:ligatures w14:val="none"/>
        </w:rPr>
        <w:t>Building &amp; Facility Systems</w:t>
      </w:r>
      <w:r w:rsidRPr="004C425E">
        <w:rPr>
          <w:rFonts w:ascii="Palatino Linotype" w:hAnsi="Palatino Linotype" w:eastAsia="SimSun" w:cs="Times New Roman"/>
          <w:color w:val="000000" w:themeColor="text1"/>
          <w:kern w:val="0"/>
          <w:szCs w:val="20"/>
          <w14:ligatures w14:val="none"/>
        </w:rPr>
        <w:t xml:space="preserve"> from building decarbonization and energy efficiency efforts and RD&amp;D activities involving thermal energy storage across Gas RD&amp;D, EPIC, and other programs.</w:t>
      </w:r>
    </w:p>
    <w:p w:rsidRPr="00967A42" w:rsidR="00967A42" w:rsidP="00967A42" w:rsidRDefault="008822B5" w14:paraId="474E0447" w14:textId="08FD8A86">
      <w:pPr>
        <w:pStyle w:val="10sp0"/>
        <w:numPr>
          <w:ilvl w:val="0"/>
          <w:numId w:val="20"/>
        </w:numPr>
        <w:spacing w:after="0" w:line="276" w:lineRule="auto"/>
        <w:rPr>
          <w:rFonts w:ascii="Palatino Linotype" w:hAnsi="Palatino Linotype"/>
          <w:color w:val="000000" w:themeColor="text1"/>
        </w:rPr>
      </w:pPr>
      <w:r w:rsidRPr="004C425E">
        <w:rPr>
          <w:rFonts w:ascii="Palatino Linotype" w:hAnsi="Palatino Linotype"/>
          <w:color w:val="000000" w:themeColor="text1"/>
        </w:rPr>
        <w:t>SoCalGas must provide f</w:t>
      </w:r>
      <w:r w:rsidRPr="004C425E" w:rsidR="002A795B">
        <w:rPr>
          <w:rFonts w:ascii="Palatino Linotype" w:hAnsi="Palatino Linotype"/>
          <w:color w:val="000000" w:themeColor="text1"/>
        </w:rPr>
        <w:t>urther detail on how SoCalGas explored compensation strategies for its ESJ advisory panel.</w:t>
      </w:r>
      <w:r w:rsidRPr="004C425E" w:rsidR="002A795B">
        <w:rPr>
          <w:rStyle w:val="FootnoteReference"/>
          <w:rFonts w:ascii="Palatino Linotype" w:hAnsi="Palatino Linotype"/>
          <w:color w:val="000000" w:themeColor="text1"/>
        </w:rPr>
        <w:footnoteReference w:id="108"/>
      </w:r>
    </w:p>
    <w:p w:rsidRPr="004F1A0A" w:rsidR="00967A42" w:rsidP="00967A42" w:rsidRDefault="00967A42" w14:paraId="55EA3EBC" w14:textId="1D338D43">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 xml:space="preserve">SoCalGas’ proposed </w:t>
      </w:r>
      <w:r w:rsidR="008F5394">
        <w:rPr>
          <w:rFonts w:ascii="Palatino Linotype" w:hAnsi="Palatino Linotype"/>
          <w:color w:val="000000" w:themeColor="text1"/>
        </w:rPr>
        <w:t>“Carbon Management Integration</w:t>
      </w:r>
      <w:r w:rsidRPr="004F1A0A">
        <w:rPr>
          <w:rFonts w:ascii="Palatino Linotype" w:hAnsi="Palatino Linotype"/>
          <w:color w:val="000000" w:themeColor="text1"/>
        </w:rPr>
        <w:t xml:space="preserve">” Research Topic under </w:t>
      </w:r>
      <w:r w:rsidRPr="004F1A0A">
        <w:rPr>
          <w:rFonts w:ascii="Palatino Linotype" w:hAnsi="Palatino Linotype"/>
          <w:color w:val="000000" w:themeColor="text1"/>
          <w:szCs w:val="24"/>
        </w:rPr>
        <w:t xml:space="preserve">its </w:t>
      </w:r>
      <w:r w:rsidRPr="004F1A0A">
        <w:rPr>
          <w:rFonts w:ascii="Palatino Linotype" w:hAnsi="Palatino Linotype"/>
          <w:i/>
          <w:iCs/>
          <w:color w:val="000000" w:themeColor="text1"/>
          <w:szCs w:val="24"/>
        </w:rPr>
        <w:t>Energy Reliability &amp; Resilience</w:t>
      </w:r>
      <w:r w:rsidRPr="004F1A0A">
        <w:rPr>
          <w:rFonts w:ascii="Palatino Linotype" w:hAnsi="Palatino Linotype"/>
          <w:color w:val="000000" w:themeColor="text1"/>
          <w:szCs w:val="24"/>
        </w:rPr>
        <w:t xml:space="preserve"> Initiative</w:t>
      </w:r>
      <w:r w:rsidRPr="004F1A0A">
        <w:rPr>
          <w:rFonts w:ascii="Palatino Linotype" w:hAnsi="Palatino Linotype"/>
          <w:color w:val="000000" w:themeColor="text1"/>
        </w:rPr>
        <w:t xml:space="preserve"> involves “</w:t>
      </w:r>
      <w:r w:rsidR="00F50399">
        <w:rPr>
          <w:rFonts w:ascii="Palatino Linotype" w:hAnsi="Palatino Linotype"/>
          <w:color w:val="000000" w:themeColor="text1"/>
        </w:rPr>
        <w:t>[refining] carbon capture solutions and its integration with distributed power generation systems to improve operating performance and deployment readiness</w:t>
      </w:r>
      <w:r w:rsidR="00296E08">
        <w:rPr>
          <w:rFonts w:ascii="Palatino Linotype" w:hAnsi="Palatino Linotype"/>
          <w:color w:val="000000" w:themeColor="text1"/>
        </w:rPr>
        <w:t>.</w:t>
      </w:r>
      <w:r w:rsidRPr="0025255A">
        <w:rPr>
          <w:rFonts w:ascii="Palatino Linotype" w:hAnsi="Palatino Linotype"/>
          <w:color w:val="000000" w:themeColor="text1"/>
        </w:rPr>
        <w:t>”</w:t>
      </w:r>
      <w:r>
        <w:rPr>
          <w:rStyle w:val="FootnoteReference"/>
          <w:rFonts w:ascii="Palatino Linotype" w:hAnsi="Palatino Linotype"/>
          <w:color w:val="000000" w:themeColor="text1"/>
        </w:rPr>
        <w:footnoteReference w:id="109"/>
      </w:r>
      <w:r w:rsidRPr="0025255A">
        <w:rPr>
          <w:rFonts w:ascii="Palatino Linotype" w:hAnsi="Palatino Linotype"/>
          <w:color w:val="000000" w:themeColor="text1"/>
        </w:rPr>
        <w:t xml:space="preserve"> </w:t>
      </w:r>
      <w:r w:rsidRPr="004F1A0A">
        <w:rPr>
          <w:rFonts w:ascii="Palatino Linotype" w:hAnsi="Palatino Linotype"/>
          <w:color w:val="000000" w:themeColor="text1"/>
        </w:rPr>
        <w:t xml:space="preserve">Previously, the Commission denied carbon capture RD&amp;D in Resolution G-3601 for the following reasons: </w:t>
      </w:r>
    </w:p>
    <w:p w:rsidRPr="00513AAA" w:rsidR="00967A42" w:rsidP="00967A42" w:rsidRDefault="00967A42" w14:paraId="16758ED6" w14:textId="77777777">
      <w:pPr>
        <w:pStyle w:val="10sp0"/>
        <w:spacing w:before="240" w:after="0" w:line="276" w:lineRule="auto"/>
        <w:ind w:left="360"/>
        <w:rPr>
          <w:rFonts w:ascii="Palatino Linotype" w:hAnsi="Palatino Linotype"/>
          <w:i/>
          <w:iCs/>
          <w:color w:val="000000" w:themeColor="text1"/>
        </w:rPr>
      </w:pPr>
      <w:r w:rsidRPr="004F1A0A">
        <w:rPr>
          <w:rFonts w:ascii="Palatino Linotype" w:hAnsi="Palatino Linotype"/>
          <w:i/>
          <w:iCs/>
          <w:color w:val="000000" w:themeColor="text1"/>
        </w:rPr>
        <w:t xml:space="preserve">“State and Commission decarbonization policies have significantly shifted, including a focus on electrification that considers phasing out natural gas and pruning the gas system. To date, the Commission has not considered the appropriate role of gas ratepayers in [Carbon Capture, Utilization, and Storage], which could have a significant impact on ratepayers’ energy bills and on market actors more broadly. The Commission has not yet provided any guidance upon which to determine whether ratepayer funds should be invested in CCUS, </w:t>
      </w:r>
      <w:r w:rsidRPr="004F1A0A">
        <w:rPr>
          <w:rFonts w:ascii="Palatino Linotype" w:hAnsi="Palatino Linotype"/>
          <w:i/>
          <w:iCs/>
          <w:color w:val="000000" w:themeColor="text1"/>
        </w:rPr>
        <w:lastRenderedPageBreak/>
        <w:t>particularly as these projects would have further implications for ratepayer funding in future RD&amp;D Plans. For any future consideration of funding, the appropriate role of ratepayers in funding CCUS needs to be considered.”</w:t>
      </w:r>
      <w:r w:rsidRPr="004F1A0A">
        <w:rPr>
          <w:rStyle w:val="FootnoteReference"/>
          <w:rFonts w:ascii="Palatino Linotype" w:hAnsi="Palatino Linotype"/>
          <w:i/>
          <w:iCs/>
          <w:color w:val="000000" w:themeColor="text1"/>
        </w:rPr>
        <w:t xml:space="preserve"> </w:t>
      </w:r>
      <w:r w:rsidRPr="004F1A0A">
        <w:rPr>
          <w:rStyle w:val="FootnoteReference"/>
          <w:rFonts w:ascii="Palatino Linotype" w:hAnsi="Palatino Linotype"/>
          <w:i/>
          <w:iCs/>
          <w:color w:val="000000" w:themeColor="text1"/>
        </w:rPr>
        <w:footnoteReference w:id="110"/>
      </w:r>
    </w:p>
    <w:p w:rsidRPr="004C425E" w:rsidR="00967A42" w:rsidP="00967A42" w:rsidRDefault="00967A42" w14:paraId="34C05054" w14:textId="753915A9">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Pursuant to Commission requirements for Gas RD&amp;D investments, SoCalGas must provide further detail on the “</w:t>
      </w:r>
      <w:r w:rsidR="00296E08">
        <w:rPr>
          <w:rFonts w:ascii="Palatino Linotype" w:hAnsi="Palatino Linotype"/>
          <w:color w:val="000000" w:themeColor="text1"/>
        </w:rPr>
        <w:t>Carbon Management Integration</w:t>
      </w:r>
      <w:r w:rsidRPr="004F1A0A">
        <w:rPr>
          <w:rFonts w:ascii="Palatino Linotype" w:hAnsi="Palatino Linotype"/>
          <w:color w:val="000000" w:themeColor="text1"/>
        </w:rPr>
        <w:t>” Research Topic describing how resulting projects will support current State climate goals and policies such as by reducing and/or decarbonizing the gas system without enabling continued polluting. Further, in recognition of the affordability concerns articulated in Resolution G-3601, SoCalGas must demonstrate how projects will deliver clear ratepayer benefit, including promoting affordability and consideration of equity issues particularly in vulnerable communities. Upon consideration of this further detail in SoCalGas’ revised Plan to be provided via Tier 2 AL, the Commission will determine if these criteria have been sufficiently demonstrated for this Research Topic.</w:t>
      </w:r>
    </w:p>
    <w:p w:rsidRPr="004C425E" w:rsidR="00CC0F81" w:rsidP="002328D8" w:rsidRDefault="00CC0F81" w14:paraId="2CB8EAFF" w14:textId="7C20AF46">
      <w:pPr>
        <w:pStyle w:val="10sp0"/>
        <w:spacing w:before="240" w:after="0" w:line="276" w:lineRule="auto"/>
        <w:rPr>
          <w:rFonts w:ascii="Palatino Linotype" w:hAnsi="Palatino Linotype"/>
          <w:color w:val="000000" w:themeColor="text1"/>
        </w:rPr>
      </w:pPr>
      <w:r w:rsidRPr="004C425E">
        <w:rPr>
          <w:rFonts w:ascii="Palatino Linotype" w:hAnsi="Palatino Linotype"/>
          <w:color w:val="000000" w:themeColor="text1"/>
        </w:rPr>
        <w:t>In addition to addressing compliance issues, SoCalGas shall make the following revisions to its 2026 Plan to provide greater clarity to align with requirements:</w:t>
      </w:r>
    </w:p>
    <w:p w:rsidRPr="004C425E" w:rsidR="00341306" w:rsidP="00477204" w:rsidRDefault="0D81ACC4" w14:paraId="16C00C82" w14:textId="3B81FE1D">
      <w:pPr>
        <w:pStyle w:val="10sp0"/>
        <w:numPr>
          <w:ilvl w:val="0"/>
          <w:numId w:val="24"/>
        </w:numPr>
        <w:spacing w:after="0" w:line="276" w:lineRule="auto"/>
        <w:rPr>
          <w:rFonts w:ascii="Palatino Linotype" w:hAnsi="Palatino Linotype"/>
          <w:color w:val="000000" w:themeColor="text1"/>
        </w:rPr>
      </w:pPr>
      <w:r w:rsidRPr="004C425E">
        <w:rPr>
          <w:rFonts w:ascii="Palatino Linotype" w:hAnsi="Palatino Linotype"/>
          <w:color w:val="000000" w:themeColor="text1"/>
        </w:rPr>
        <w:t>I</w:t>
      </w:r>
      <w:r w:rsidRPr="004C425E" w:rsidR="00341306">
        <w:rPr>
          <w:rFonts w:ascii="Palatino Linotype" w:hAnsi="Palatino Linotype"/>
          <w:color w:val="000000" w:themeColor="text1"/>
        </w:rPr>
        <w:t>ndicate the program area across the product development cycle</w:t>
      </w:r>
      <w:r w:rsidR="00A273D3">
        <w:rPr>
          <w:rFonts w:ascii="Palatino Linotype" w:hAnsi="Palatino Linotype"/>
          <w:color w:val="000000" w:themeColor="text1"/>
        </w:rPr>
        <w:t>,</w:t>
      </w:r>
      <w:r w:rsidRPr="004C425E" w:rsidR="00341306">
        <w:rPr>
          <w:rFonts w:ascii="Palatino Linotype" w:hAnsi="Palatino Linotype"/>
          <w:color w:val="000000" w:themeColor="text1"/>
        </w:rPr>
        <w:t xml:space="preserve"> detailed in Appendix D of this Resolution</w:t>
      </w:r>
      <w:r w:rsidR="00A273D3">
        <w:rPr>
          <w:rFonts w:ascii="Palatino Linotype" w:hAnsi="Palatino Linotype"/>
          <w:color w:val="000000" w:themeColor="text1"/>
        </w:rPr>
        <w:t>,</w:t>
      </w:r>
      <w:r w:rsidR="00A273D3">
        <w:rPr>
          <w:rStyle w:val="FootnoteReference"/>
          <w:rFonts w:ascii="Palatino Linotype" w:hAnsi="Palatino Linotype"/>
          <w:color w:val="000000" w:themeColor="text1"/>
        </w:rPr>
        <w:footnoteReference w:id="111"/>
      </w:r>
      <w:r w:rsidRPr="004C425E" w:rsidR="00341306">
        <w:rPr>
          <w:rFonts w:ascii="Palatino Linotype" w:hAnsi="Palatino Linotype"/>
          <w:color w:val="000000" w:themeColor="text1"/>
        </w:rPr>
        <w:t xml:space="preserve"> associated with each listed Research Topic</w:t>
      </w:r>
      <w:r w:rsidRPr="004C425E" w:rsidR="008A1AD4">
        <w:rPr>
          <w:rFonts w:ascii="Palatino Linotype" w:hAnsi="Palatino Linotype"/>
          <w:color w:val="000000" w:themeColor="text1"/>
        </w:rPr>
        <w:t>s for further clarity on anticipated outputs from Initiatives.</w:t>
      </w:r>
    </w:p>
    <w:p w:rsidRPr="004C425E" w:rsidR="008F2615" w:rsidP="00477204" w:rsidRDefault="008F2615" w14:paraId="2D457215" w14:textId="73D2650D">
      <w:pPr>
        <w:pStyle w:val="10sp0"/>
        <w:numPr>
          <w:ilvl w:val="0"/>
          <w:numId w:val="24"/>
        </w:numPr>
        <w:spacing w:after="0" w:line="276" w:lineRule="auto"/>
        <w:rPr>
          <w:rFonts w:ascii="Palatino Linotype" w:hAnsi="Palatino Linotype"/>
          <w:color w:val="000000" w:themeColor="text1"/>
        </w:rPr>
      </w:pPr>
      <w:r w:rsidRPr="004C425E">
        <w:rPr>
          <w:rFonts w:ascii="Palatino Linotype" w:hAnsi="Palatino Linotype"/>
          <w:color w:val="000000" w:themeColor="text1"/>
        </w:rPr>
        <w:t xml:space="preserve">Identify which of the proposed future project areas are anticipated to be funded through consortia.  </w:t>
      </w:r>
    </w:p>
    <w:p w:rsidRPr="0006569A" w:rsidR="0006569A" w:rsidP="0006569A" w:rsidRDefault="42D7D94A" w14:paraId="0E565DED" w14:textId="2AB51326">
      <w:pPr>
        <w:pStyle w:val="10sp0"/>
        <w:numPr>
          <w:ilvl w:val="0"/>
          <w:numId w:val="24"/>
        </w:numPr>
        <w:spacing w:after="0" w:line="276" w:lineRule="auto"/>
        <w:rPr>
          <w:rFonts w:ascii="Palatino Linotype" w:hAnsi="Palatino Linotype"/>
          <w:color w:val="000000" w:themeColor="text1"/>
        </w:rPr>
      </w:pPr>
      <w:r w:rsidRPr="004C425E">
        <w:rPr>
          <w:rFonts w:ascii="Palatino Linotype" w:hAnsi="Palatino Linotype"/>
          <w:color w:val="000000" w:themeColor="text1"/>
        </w:rPr>
        <w:t xml:space="preserve">Prioritize zero-emission systems as opposed to low-emission systems under its </w:t>
      </w:r>
      <w:r w:rsidRPr="004C425E">
        <w:rPr>
          <w:rFonts w:ascii="Palatino Linotype" w:hAnsi="Palatino Linotype"/>
          <w:i/>
          <w:iCs/>
          <w:color w:val="000000" w:themeColor="text1"/>
        </w:rPr>
        <w:t>Low-Carbon Fuel Technologies</w:t>
      </w:r>
      <w:r w:rsidRPr="004C425E" w:rsidR="0035356D">
        <w:rPr>
          <w:rStyle w:val="FootnoteReference"/>
          <w:rFonts w:ascii="Palatino Linotype" w:hAnsi="Palatino Linotype"/>
          <w:i/>
          <w:iCs/>
          <w:color w:val="000000" w:themeColor="text1"/>
        </w:rPr>
        <w:footnoteReference w:id="112"/>
      </w:r>
      <w:r w:rsidRPr="004C425E">
        <w:rPr>
          <w:rFonts w:ascii="Palatino Linotype" w:hAnsi="Palatino Linotype"/>
          <w:color w:val="000000" w:themeColor="text1"/>
        </w:rPr>
        <w:t xml:space="preserve"> Initiative and e</w:t>
      </w:r>
      <w:r w:rsidRPr="004C425E">
        <w:rPr>
          <w:rFonts w:ascii="Palatino Linotype" w:hAnsi="Palatino Linotype" w:eastAsia="Palatino Linotype" w:cs="Palatino Linotype"/>
          <w:color w:val="000000" w:themeColor="text1"/>
        </w:rPr>
        <w:t xml:space="preserve">liminating as opposed to reducing flaring from some biogas production facilities under its </w:t>
      </w:r>
      <w:r w:rsidRPr="004C425E">
        <w:rPr>
          <w:rFonts w:ascii="Palatino Linotype" w:hAnsi="Palatino Linotype" w:eastAsia="Palatino Linotype" w:cs="Palatino Linotype"/>
          <w:i/>
          <w:color w:val="000000" w:themeColor="text1"/>
        </w:rPr>
        <w:t>RNG Infrastructure Optimization</w:t>
      </w:r>
      <w:r w:rsidRPr="004C425E">
        <w:rPr>
          <w:rFonts w:ascii="Palatino Linotype" w:hAnsi="Palatino Linotype" w:eastAsia="Palatino Linotype" w:cs="Palatino Linotype"/>
          <w:color w:val="000000" w:themeColor="text1"/>
        </w:rPr>
        <w:t xml:space="preserve"> Initiative</w:t>
      </w:r>
      <w:r w:rsidRPr="004C425E" w:rsidR="0035356D">
        <w:rPr>
          <w:rStyle w:val="FootnoteReference"/>
          <w:rFonts w:ascii="Palatino Linotype" w:hAnsi="Palatino Linotype" w:eastAsia="Palatino Linotype" w:cs="Palatino Linotype"/>
          <w:color w:val="000000" w:themeColor="text1"/>
        </w:rPr>
        <w:footnoteReference w:id="113"/>
      </w:r>
      <w:r w:rsidRPr="004C425E" w:rsidR="00427287">
        <w:rPr>
          <w:rFonts w:ascii="Palatino Linotype" w:hAnsi="Palatino Linotype" w:eastAsia="Palatino Linotype" w:cs="Palatino Linotype"/>
          <w:color w:val="000000" w:themeColor="text1"/>
        </w:rPr>
        <w:t xml:space="preserve"> wherever possible.</w:t>
      </w:r>
      <w:r w:rsidRPr="004C425E" w:rsidR="00154144">
        <w:rPr>
          <w:rFonts w:ascii="Palatino Linotype" w:hAnsi="Palatino Linotype" w:eastAsia="Palatino Linotype" w:cs="Palatino Linotype"/>
          <w:color w:val="000000" w:themeColor="text1"/>
        </w:rPr>
        <w:t xml:space="preserve"> Otherwise, explain why zero-emission research is not possible.</w:t>
      </w:r>
    </w:p>
    <w:p w:rsidRPr="00341306" w:rsidR="00F26852" w:rsidP="00B50A32" w:rsidRDefault="007344E2" w14:paraId="350E6FCD" w14:textId="1659DDC0">
      <w:pPr>
        <w:pStyle w:val="10sp0"/>
        <w:spacing w:before="240" w:after="0" w:line="276" w:lineRule="auto"/>
        <w:rPr>
          <w:rFonts w:ascii="Palatino Linotype" w:hAnsi="Palatino Linotype"/>
          <w:color w:val="0070C0"/>
        </w:rPr>
      </w:pPr>
      <w:r>
        <w:rPr>
          <w:rFonts w:ascii="Palatino Linotype" w:hAnsi="Palatino Linotype"/>
          <w:color w:val="000000" w:themeColor="text1"/>
        </w:rPr>
        <w:t>T</w:t>
      </w:r>
      <w:r w:rsidRPr="1927BCA5" w:rsidR="000C66D7">
        <w:rPr>
          <w:rFonts w:ascii="Palatino Linotype" w:hAnsi="Palatino Linotype"/>
          <w:color w:val="000000" w:themeColor="text1"/>
        </w:rPr>
        <w:t xml:space="preserve">o demonstrate continued </w:t>
      </w:r>
      <w:r w:rsidRPr="1927BCA5" w:rsidR="00705671">
        <w:rPr>
          <w:rFonts w:ascii="Palatino Linotype" w:hAnsi="Palatino Linotype"/>
          <w:color w:val="000000" w:themeColor="text1"/>
        </w:rPr>
        <w:t>compliance with and fulfillment of requirements, SoCalGas shall</w:t>
      </w:r>
      <w:r w:rsidRPr="1927BCA5" w:rsidR="00546200">
        <w:rPr>
          <w:rFonts w:ascii="Palatino Linotype" w:hAnsi="Palatino Linotype"/>
          <w:color w:val="000000" w:themeColor="text1"/>
        </w:rPr>
        <w:t xml:space="preserve"> p</w:t>
      </w:r>
      <w:r w:rsidRPr="1927BCA5" w:rsidR="00124C6F">
        <w:rPr>
          <w:rFonts w:ascii="Palatino Linotype" w:hAnsi="Palatino Linotype"/>
          <w:color w:val="000000" w:themeColor="text1"/>
        </w:rPr>
        <w:t xml:space="preserve">rovide further detail upon project implementation in project final reports and its Annual Reports to demonstrate how results are measured and utilized in alignment </w:t>
      </w:r>
      <w:r w:rsidRPr="1927BCA5" w:rsidR="00124C6F">
        <w:rPr>
          <w:rFonts w:ascii="Palatino Linotype" w:hAnsi="Palatino Linotype"/>
          <w:color w:val="000000" w:themeColor="text1"/>
        </w:rPr>
        <w:lastRenderedPageBreak/>
        <w:t>with State goals</w:t>
      </w:r>
      <w:r w:rsidRPr="1927BCA5" w:rsidR="00B50A32">
        <w:rPr>
          <w:rFonts w:ascii="Palatino Linotype" w:hAnsi="Palatino Linotype"/>
          <w:color w:val="000000" w:themeColor="text1"/>
        </w:rPr>
        <w:t>,</w:t>
      </w:r>
      <w:r w:rsidRPr="1927BCA5" w:rsidR="008477EC">
        <w:rPr>
          <w:rStyle w:val="FootnoteReference"/>
          <w:rFonts w:ascii="Palatino Linotype" w:hAnsi="Palatino Linotype"/>
          <w:color w:val="000000" w:themeColor="text1"/>
        </w:rPr>
        <w:footnoteReference w:id="114"/>
      </w:r>
      <w:r w:rsidRPr="1927BCA5" w:rsidR="00B50A32">
        <w:rPr>
          <w:rFonts w:ascii="Palatino Linotype" w:hAnsi="Palatino Linotype"/>
          <w:color w:val="000000" w:themeColor="text1"/>
        </w:rPr>
        <w:t xml:space="preserve"> c</w:t>
      </w:r>
      <w:r w:rsidRPr="1927BCA5" w:rsidR="000C66D7">
        <w:rPr>
          <w:rFonts w:ascii="Palatino Linotype" w:hAnsi="Palatino Linotype"/>
          <w:color w:val="000000" w:themeColor="text1"/>
        </w:rPr>
        <w:t>learly articulate impact analyses resulting from the described methods</w:t>
      </w:r>
      <w:r w:rsidRPr="1927BCA5" w:rsidR="00B50A32">
        <w:rPr>
          <w:rFonts w:ascii="Palatino Linotype" w:hAnsi="Palatino Linotype"/>
          <w:color w:val="000000" w:themeColor="text1"/>
        </w:rPr>
        <w:t xml:space="preserve">, and describe </w:t>
      </w:r>
      <w:r w:rsidRPr="00FA7A8A" w:rsidR="000C66D7">
        <w:rPr>
          <w:rFonts w:ascii="Palatino Linotype" w:hAnsi="Palatino Linotype"/>
          <w:color w:val="000000" w:themeColor="text1"/>
        </w:rPr>
        <w:t>lessons learned</w:t>
      </w:r>
      <w:r w:rsidRPr="00FA7A8A" w:rsidR="00705671">
        <w:rPr>
          <w:rFonts w:ascii="Palatino Linotype" w:hAnsi="Palatino Linotype"/>
          <w:color w:val="000000" w:themeColor="text1"/>
        </w:rPr>
        <w:t>.</w:t>
      </w:r>
      <w:r w:rsidRPr="00FA7A8A" w:rsidR="00705671">
        <w:rPr>
          <w:rStyle w:val="FootnoteReference"/>
          <w:rFonts w:ascii="Palatino Linotype" w:hAnsi="Palatino Linotype"/>
          <w:color w:val="000000" w:themeColor="text1"/>
        </w:rPr>
        <w:footnoteReference w:id="115"/>
      </w:r>
    </w:p>
    <w:p w:rsidRPr="00FA7A8A" w:rsidR="00CC2F77" w:rsidP="00CC2F77" w:rsidRDefault="00CC2F77" w14:paraId="019EB858" w14:textId="76530CD5">
      <w:pPr>
        <w:pStyle w:val="10sp0"/>
        <w:spacing w:before="240" w:after="0" w:line="276" w:lineRule="auto"/>
        <w:rPr>
          <w:rFonts w:ascii="Palatino Linotype" w:hAnsi="Palatino Linotype"/>
          <w:color w:val="000000" w:themeColor="text1"/>
        </w:rPr>
      </w:pPr>
      <w:r w:rsidRPr="00FA7A8A">
        <w:rPr>
          <w:rFonts w:ascii="Palatino Linotype" w:hAnsi="Palatino Linotype"/>
          <w:color w:val="000000" w:themeColor="text1"/>
        </w:rPr>
        <w:t xml:space="preserve">The </w:t>
      </w:r>
      <w:r w:rsidRPr="00FA7A8A" w:rsidR="008B5916">
        <w:rPr>
          <w:rFonts w:ascii="Palatino Linotype" w:hAnsi="Palatino Linotype"/>
          <w:color w:val="000000" w:themeColor="text1"/>
        </w:rPr>
        <w:t>C</w:t>
      </w:r>
      <w:r w:rsidRPr="00FA7A8A">
        <w:rPr>
          <w:rFonts w:ascii="Palatino Linotype" w:hAnsi="Palatino Linotype"/>
          <w:color w:val="000000" w:themeColor="text1"/>
        </w:rPr>
        <w:t xml:space="preserve">ommission </w:t>
      </w:r>
      <w:r w:rsidRPr="00FA7A8A" w:rsidR="00846463">
        <w:rPr>
          <w:rFonts w:ascii="Palatino Linotype" w:hAnsi="Palatino Linotype"/>
          <w:color w:val="000000" w:themeColor="text1"/>
        </w:rPr>
        <w:t xml:space="preserve">also </w:t>
      </w:r>
      <w:r w:rsidRPr="00FA7A8A">
        <w:rPr>
          <w:rFonts w:ascii="Palatino Linotype" w:hAnsi="Palatino Linotype"/>
          <w:color w:val="000000" w:themeColor="text1"/>
        </w:rPr>
        <w:t xml:space="preserve">notes concerns voiced by stakeholders during the February 2026 Joint Administrator Workshop related to biomethane and RNG RD&amp;D activities. The Commission requires SoCalGas to seek out and consider input from </w:t>
      </w:r>
      <w:r w:rsidRPr="00FA7A8A" w:rsidR="00953275">
        <w:rPr>
          <w:rFonts w:ascii="Palatino Linotype" w:hAnsi="Palatino Linotype"/>
          <w:color w:val="000000" w:themeColor="text1"/>
        </w:rPr>
        <w:t>ESJ</w:t>
      </w:r>
      <w:r w:rsidRPr="00FA7A8A">
        <w:rPr>
          <w:rFonts w:ascii="Palatino Linotype" w:hAnsi="Palatino Linotype"/>
          <w:color w:val="000000" w:themeColor="text1"/>
        </w:rPr>
        <w:t xml:space="preserve"> communities in its strategic planning as well as in assessing and demonstrating benefits to these communities from RD&amp;D investments. Thus, the Commission directs SoCalGas, and any project contractor, to consult vulnerable communities, such as workers, tenants, </w:t>
      </w:r>
      <w:r w:rsidRPr="60C19D2C" w:rsidR="60B783EC">
        <w:rPr>
          <w:rFonts w:ascii="Palatino Linotype" w:hAnsi="Palatino Linotype"/>
          <w:color w:val="000000" w:themeColor="text1"/>
        </w:rPr>
        <w:t>and</w:t>
      </w:r>
      <w:r w:rsidRPr="00FA7A8A">
        <w:rPr>
          <w:rFonts w:ascii="Palatino Linotype" w:hAnsi="Palatino Linotype"/>
          <w:color w:val="000000" w:themeColor="text1"/>
        </w:rPr>
        <w:t xml:space="preserve"> frontline communities near gas facilities, on project </w:t>
      </w:r>
      <w:proofErr w:type="gramStart"/>
      <w:r w:rsidRPr="00FA7A8A">
        <w:rPr>
          <w:rFonts w:ascii="Palatino Linotype" w:hAnsi="Palatino Linotype"/>
          <w:color w:val="000000" w:themeColor="text1"/>
        </w:rPr>
        <w:t>siting</w:t>
      </w:r>
      <w:proofErr w:type="gramEnd"/>
      <w:r w:rsidRPr="00FA7A8A">
        <w:rPr>
          <w:rFonts w:ascii="Palatino Linotype" w:hAnsi="Palatino Linotype"/>
          <w:color w:val="000000" w:themeColor="text1"/>
        </w:rPr>
        <w:t xml:space="preserve"> to prevent exacerbating existing issues and inequities, particularly from projects with unknown</w:t>
      </w:r>
      <w:r w:rsidR="00964187">
        <w:rPr>
          <w:rFonts w:ascii="Palatino Linotype" w:hAnsi="Palatino Linotype"/>
          <w:color w:val="000000" w:themeColor="text1"/>
        </w:rPr>
        <w:t xml:space="preserve"> and potentially harmful</w:t>
      </w:r>
      <w:r w:rsidRPr="00FA7A8A">
        <w:rPr>
          <w:rFonts w:ascii="Palatino Linotype" w:hAnsi="Palatino Linotype"/>
          <w:color w:val="000000" w:themeColor="text1"/>
        </w:rPr>
        <w:t xml:space="preserve"> impacts. SoCalGas should educate vulnerable communities on </w:t>
      </w:r>
      <w:r w:rsidRPr="00FA7A8A" w:rsidR="003864A9">
        <w:rPr>
          <w:rFonts w:ascii="Palatino Linotype" w:hAnsi="Palatino Linotype"/>
          <w:color w:val="000000" w:themeColor="text1"/>
        </w:rPr>
        <w:t xml:space="preserve">advanced </w:t>
      </w:r>
      <w:r w:rsidRPr="00FA7A8A">
        <w:rPr>
          <w:rFonts w:ascii="Palatino Linotype" w:hAnsi="Palatino Linotype"/>
          <w:color w:val="000000" w:themeColor="text1"/>
        </w:rPr>
        <w:t>technologies as appropriate to address community concerns. Further, SoCalGas should summarize the concerns of communities and describe how these concerns are addressed in Annual Plans and correlated Annual Reports. Through this process, the Commission seeks to strategically leverage RD&amp;D funding to balance policy imperatives of innovation with community concerns and benefits, including in the CPUC’s Biomethane Procurement Cost Allocation proceeding.</w:t>
      </w:r>
      <w:r w:rsidRPr="00FA7A8A">
        <w:rPr>
          <w:rStyle w:val="FootnoteReference"/>
          <w:rFonts w:ascii="Palatino Linotype" w:hAnsi="Palatino Linotype"/>
          <w:color w:val="000000" w:themeColor="text1"/>
        </w:rPr>
        <w:footnoteReference w:id="116"/>
      </w:r>
    </w:p>
    <w:p w:rsidR="00CC2F77" w:rsidP="00142242" w:rsidRDefault="00CC2F77" w14:paraId="6161D7C0" w14:textId="77777777">
      <w:pPr>
        <w:pStyle w:val="10sp0"/>
        <w:spacing w:after="0" w:line="276" w:lineRule="auto"/>
        <w:rPr>
          <w:rFonts w:ascii="Palatino Linotype" w:hAnsi="Palatino Linotype"/>
          <w:color w:val="808080" w:themeColor="background1" w:themeShade="80"/>
          <w:u w:val="single"/>
        </w:rPr>
      </w:pPr>
    </w:p>
    <w:p w:rsidRPr="00A450C8" w:rsidR="002211FC" w:rsidP="002211FC" w:rsidRDefault="002211FC" w14:paraId="335339CE" w14:textId="5471725D">
      <w:pPr>
        <w:pStyle w:val="10sp0"/>
        <w:spacing w:line="276" w:lineRule="auto"/>
        <w:rPr>
          <w:rFonts w:ascii="Palatino Linotype" w:hAnsi="Palatino Linotype"/>
          <w:color w:val="000000" w:themeColor="text1"/>
          <w:u w:val="single"/>
        </w:rPr>
      </w:pPr>
      <w:r w:rsidRPr="00A450C8">
        <w:rPr>
          <w:rFonts w:ascii="Palatino Linotype" w:hAnsi="Palatino Linotype"/>
          <w:color w:val="000000" w:themeColor="text1"/>
          <w:u w:val="single"/>
        </w:rPr>
        <w:t>Resubmittal of SoCalGas’ 202</w:t>
      </w:r>
      <w:r w:rsidRPr="00A450C8" w:rsidR="00C25B99">
        <w:rPr>
          <w:rFonts w:ascii="Palatino Linotype" w:hAnsi="Palatino Linotype"/>
          <w:color w:val="000000" w:themeColor="text1"/>
          <w:u w:val="single"/>
        </w:rPr>
        <w:t>6</w:t>
      </w:r>
      <w:r w:rsidRPr="00A450C8">
        <w:rPr>
          <w:rFonts w:ascii="Palatino Linotype" w:hAnsi="Palatino Linotype"/>
          <w:color w:val="000000" w:themeColor="text1"/>
          <w:u w:val="single"/>
        </w:rPr>
        <w:t xml:space="preserve"> Plan</w:t>
      </w:r>
    </w:p>
    <w:p w:rsidRPr="00A450C8" w:rsidR="002D672C" w:rsidP="002211FC" w:rsidRDefault="00476C98" w14:paraId="03FE3C10" w14:textId="5008B335">
      <w:pPr>
        <w:pStyle w:val="10sp0"/>
        <w:spacing w:after="0" w:line="276" w:lineRule="auto"/>
        <w:rPr>
          <w:rFonts w:ascii="Palatino Linotype" w:hAnsi="Palatino Linotype"/>
          <w:color w:val="000000" w:themeColor="text1"/>
        </w:rPr>
      </w:pPr>
      <w:r w:rsidRPr="00A450C8">
        <w:rPr>
          <w:rFonts w:ascii="Palatino Linotype" w:hAnsi="Palatino Linotype"/>
          <w:color w:val="000000" w:themeColor="text1"/>
        </w:rPr>
        <w:t>The Commission approves SoCalGas’ 2026 Plan with a budget of $</w:t>
      </w:r>
      <w:r w:rsidRPr="00A450C8" w:rsidR="00B84F05">
        <w:rPr>
          <w:rFonts w:ascii="Palatino Linotype" w:hAnsi="Palatino Linotype"/>
          <w:color w:val="000000" w:themeColor="text1"/>
        </w:rPr>
        <w:t>18.94M</w:t>
      </w:r>
      <w:r w:rsidRPr="00A450C8">
        <w:rPr>
          <w:rFonts w:ascii="Palatino Linotype" w:hAnsi="Palatino Linotype"/>
          <w:color w:val="000000" w:themeColor="text1"/>
        </w:rPr>
        <w:t xml:space="preserve"> as detailed in Appendix I, including a Program Administration budget of $</w:t>
      </w:r>
      <w:r w:rsidRPr="00A450C8" w:rsidR="006F04B3">
        <w:rPr>
          <w:rFonts w:ascii="Palatino Linotype" w:hAnsi="Palatino Linotype"/>
          <w:color w:val="000000" w:themeColor="text1"/>
        </w:rPr>
        <w:t>1.</w:t>
      </w:r>
      <w:r w:rsidRPr="00A450C8" w:rsidR="00B84F05">
        <w:rPr>
          <w:rFonts w:ascii="Palatino Linotype" w:hAnsi="Palatino Linotype"/>
          <w:color w:val="000000" w:themeColor="text1"/>
        </w:rPr>
        <w:t>8</w:t>
      </w:r>
      <w:r w:rsidRPr="00A450C8" w:rsidR="006F04B3">
        <w:rPr>
          <w:rFonts w:ascii="Palatino Linotype" w:hAnsi="Palatino Linotype"/>
          <w:color w:val="000000" w:themeColor="text1"/>
        </w:rPr>
        <w:t>94M</w:t>
      </w:r>
      <w:r w:rsidRPr="00A450C8">
        <w:rPr>
          <w:rFonts w:ascii="Palatino Linotype" w:hAnsi="Palatino Linotype"/>
          <w:color w:val="000000" w:themeColor="text1"/>
        </w:rPr>
        <w:t xml:space="preserve">. </w:t>
      </w:r>
      <w:r w:rsidRPr="00A450C8" w:rsidR="002D672C">
        <w:rPr>
          <w:rFonts w:ascii="Palatino Linotype" w:hAnsi="Palatino Linotype"/>
          <w:color w:val="000000" w:themeColor="text1"/>
        </w:rPr>
        <w:t>The Commission’s authorization of SoCalGas’ 2026 Gas RD&amp;D Plan budget level requires SoCalGas to submit a revised 2026 Plan via Tier 2 AL within 60 days addressing the identified compliance issues requiring modifications.</w:t>
      </w:r>
    </w:p>
    <w:p w:rsidR="009268A1" w:rsidP="00F97978" w:rsidRDefault="009268A1" w14:paraId="233A5DF2" w14:textId="77777777">
      <w:pPr>
        <w:spacing w:after="0" w:line="276" w:lineRule="auto"/>
        <w:contextualSpacing/>
        <w:rPr>
          <w:rFonts w:ascii="Palatino Linotype" w:hAnsi="Palatino Linotype" w:eastAsia="Palatino Linotype" w:cs="Times New Roman"/>
          <w:color w:val="A6A6A6" w:themeColor="background1" w:themeShade="A6"/>
          <w:kern w:val="0"/>
          <w14:ligatures w14:val="none"/>
        </w:rPr>
      </w:pPr>
    </w:p>
    <w:p w:rsidRPr="008F6505" w:rsidR="00C25B99" w:rsidP="007D1CCD" w:rsidRDefault="00C25B99" w14:paraId="24E6D715" w14:textId="0D3B4BCC">
      <w:pPr>
        <w:pStyle w:val="10sp0"/>
        <w:keepNext/>
        <w:spacing w:before="240" w:line="276" w:lineRule="auto"/>
        <w:rPr>
          <w:rFonts w:ascii="Palatino Linotype" w:hAnsi="Palatino Linotype"/>
          <w:b/>
          <w:bCs/>
        </w:rPr>
      </w:pPr>
      <w:r w:rsidRPr="1033E26C">
        <w:rPr>
          <w:rFonts w:ascii="Palatino Linotype" w:hAnsi="Palatino Linotype"/>
          <w:b/>
        </w:rPr>
        <w:lastRenderedPageBreak/>
        <w:t>Compliance Assessment of AL 6646-G - 2027 Gas RD&amp;D Plan</w:t>
      </w:r>
      <w:r w:rsidRPr="008F6505">
        <w:rPr>
          <w:rFonts w:ascii="Palatino Linotype" w:hAnsi="Palatino Linotype"/>
          <w:b/>
          <w:bCs/>
        </w:rPr>
        <w:t xml:space="preserve"> </w:t>
      </w:r>
    </w:p>
    <w:p w:rsidRPr="00A450C8" w:rsidR="007933EA" w:rsidP="007D1CCD" w:rsidRDefault="00C25B99" w14:paraId="5F0CAA79" w14:textId="7FA16B40">
      <w:pPr>
        <w:pStyle w:val="10sp0"/>
        <w:keepNext/>
        <w:spacing w:before="240" w:after="0" w:line="276" w:lineRule="auto"/>
        <w:rPr>
          <w:rFonts w:ascii="Palatino Linotype" w:hAnsi="Palatino Linotype"/>
          <w:color w:val="000000" w:themeColor="text1"/>
        </w:rPr>
      </w:pPr>
      <w:r w:rsidRPr="006F222D">
        <w:rPr>
          <w:rFonts w:ascii="Palatino Linotype" w:hAnsi="Palatino Linotype"/>
        </w:rPr>
        <w:t xml:space="preserve">Energy Division staff </w:t>
      </w:r>
      <w:proofErr w:type="gramStart"/>
      <w:r w:rsidRPr="006F222D">
        <w:rPr>
          <w:rFonts w:ascii="Palatino Linotype" w:hAnsi="Palatino Linotype"/>
        </w:rPr>
        <w:t>conducted an assessment of</w:t>
      </w:r>
      <w:proofErr w:type="gramEnd"/>
      <w:r w:rsidRPr="006F222D">
        <w:rPr>
          <w:rFonts w:ascii="Palatino Linotype" w:hAnsi="Palatino Linotype"/>
        </w:rPr>
        <w:t xml:space="preserve"> </w:t>
      </w:r>
      <w:r>
        <w:rPr>
          <w:rFonts w:ascii="Palatino Linotype" w:hAnsi="Palatino Linotype"/>
        </w:rPr>
        <w:t>SoCalGas’</w:t>
      </w:r>
      <w:r w:rsidRPr="006F222D">
        <w:rPr>
          <w:rFonts w:ascii="Palatino Linotype" w:hAnsi="Palatino Linotype"/>
        </w:rPr>
        <w:t xml:space="preserve"> </w:t>
      </w:r>
      <w:r>
        <w:rPr>
          <w:rFonts w:ascii="Palatino Linotype" w:hAnsi="Palatino Linotype"/>
        </w:rPr>
        <w:t>AL 6646-G</w:t>
      </w:r>
      <w:r w:rsidRPr="008F6505">
        <w:rPr>
          <w:rFonts w:ascii="Palatino Linotype" w:hAnsi="Palatino Linotype"/>
        </w:rPr>
        <w:t xml:space="preserve"> </w:t>
      </w:r>
      <w:r w:rsidRPr="006F222D">
        <w:rPr>
          <w:rFonts w:ascii="Palatino Linotype" w:hAnsi="Palatino Linotype"/>
        </w:rPr>
        <w:t>proposing its 202</w:t>
      </w:r>
      <w:r>
        <w:rPr>
          <w:rFonts w:ascii="Palatino Linotype" w:hAnsi="Palatino Linotype"/>
        </w:rPr>
        <w:t>7</w:t>
      </w:r>
      <w:r w:rsidRPr="006F222D">
        <w:rPr>
          <w:rFonts w:ascii="Palatino Linotype" w:hAnsi="Palatino Linotype"/>
        </w:rPr>
        <w:t xml:space="preserve"> Gas RD&amp;D Investment Plan. Staff assessed </w:t>
      </w:r>
      <w:r>
        <w:rPr>
          <w:rFonts w:ascii="Palatino Linotype" w:hAnsi="Palatino Linotype"/>
        </w:rPr>
        <w:t>SoCalGas’</w:t>
      </w:r>
      <w:r w:rsidRPr="006F222D">
        <w:rPr>
          <w:rFonts w:ascii="Palatino Linotype" w:hAnsi="Palatino Linotype"/>
        </w:rPr>
        <w:t xml:space="preserve"> 202</w:t>
      </w:r>
      <w:r>
        <w:rPr>
          <w:rFonts w:ascii="Palatino Linotype" w:hAnsi="Palatino Linotype"/>
        </w:rPr>
        <w:t>7</w:t>
      </w:r>
      <w:r w:rsidRPr="006F222D">
        <w:rPr>
          <w:rFonts w:ascii="Palatino Linotype" w:hAnsi="Palatino Linotype"/>
        </w:rPr>
        <w:t xml:space="preserve"> Plan based on consistency with requirements and previous Commission guidance. </w:t>
      </w:r>
      <w:r w:rsidRPr="1927BCA5" w:rsidR="00846463">
        <w:rPr>
          <w:rFonts w:ascii="Palatino Linotype" w:hAnsi="Palatino Linotype"/>
        </w:rPr>
        <w:t xml:space="preserve">The Commission finds that SoCalGas’ AL 6646-G is not fully compliant with the Commission’s previously adopted </w:t>
      </w:r>
      <w:r w:rsidRPr="00A450C8" w:rsidR="00846463">
        <w:rPr>
          <w:rFonts w:ascii="Palatino Linotype" w:hAnsi="Palatino Linotype"/>
          <w:color w:val="000000" w:themeColor="text1"/>
        </w:rPr>
        <w:t xml:space="preserve">requirements as described below. See also Appendix </w:t>
      </w:r>
      <w:r w:rsidRPr="00A450C8" w:rsidR="006A132B">
        <w:rPr>
          <w:rFonts w:ascii="Palatino Linotype" w:hAnsi="Palatino Linotype"/>
          <w:color w:val="000000" w:themeColor="text1"/>
        </w:rPr>
        <w:t>J</w:t>
      </w:r>
      <w:r w:rsidRPr="00A450C8" w:rsidR="00846463">
        <w:rPr>
          <w:rFonts w:ascii="Palatino Linotype" w:hAnsi="Palatino Linotype"/>
          <w:color w:val="000000" w:themeColor="text1"/>
        </w:rPr>
        <w:t xml:space="preserve"> for additional details:</w:t>
      </w:r>
    </w:p>
    <w:p w:rsidRPr="00A450C8" w:rsidR="007933EA" w:rsidP="00477204" w:rsidRDefault="00B6431B" w14:paraId="563093B1" w14:textId="2A67821D">
      <w:pPr>
        <w:pStyle w:val="10sp0"/>
        <w:numPr>
          <w:ilvl w:val="0"/>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SoCalGas does not demonstrate alignment with CPUC proceedings and ratepayer benefit</w:t>
      </w:r>
      <w:r w:rsidRPr="00A450C8" w:rsidR="006A132B">
        <w:rPr>
          <w:rStyle w:val="FootnoteReference"/>
          <w:rFonts w:ascii="Palatino Linotype" w:hAnsi="Palatino Linotype"/>
          <w:color w:val="000000" w:themeColor="text1"/>
        </w:rPr>
        <w:footnoteReference w:id="117"/>
      </w:r>
      <w:r w:rsidRPr="00A450C8">
        <w:rPr>
          <w:rFonts w:ascii="Palatino Linotype" w:hAnsi="Palatino Linotype"/>
          <w:color w:val="000000" w:themeColor="text1"/>
        </w:rPr>
        <w:t xml:space="preserve"> where</w:t>
      </w:r>
      <w:r w:rsidRPr="00A450C8" w:rsidR="007933EA">
        <w:rPr>
          <w:rFonts w:ascii="Palatino Linotype" w:hAnsi="Palatino Linotype"/>
          <w:color w:val="000000" w:themeColor="text1"/>
        </w:rPr>
        <w:t>:</w:t>
      </w:r>
    </w:p>
    <w:p w:rsidRPr="00A450C8" w:rsidR="007933EA" w:rsidP="00477204" w:rsidRDefault="007933EA" w14:paraId="425B31EE" w14:textId="34FC8716">
      <w:pPr>
        <w:pStyle w:val="10sp0"/>
        <w:numPr>
          <w:ilvl w:val="1"/>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 xml:space="preserve">Requesting funding for </w:t>
      </w:r>
      <w:r w:rsidRPr="00A450C8" w:rsidR="00174603">
        <w:rPr>
          <w:rFonts w:ascii="Palatino Linotype" w:hAnsi="Palatino Linotype"/>
          <w:color w:val="000000" w:themeColor="text1"/>
        </w:rPr>
        <w:t xml:space="preserve">the </w:t>
      </w:r>
      <w:r w:rsidRPr="00A450C8">
        <w:rPr>
          <w:rFonts w:ascii="Palatino Linotype" w:hAnsi="Palatino Linotype"/>
          <w:color w:val="000000" w:themeColor="text1"/>
        </w:rPr>
        <w:t xml:space="preserve">“Optimized H2S Removal Strategies for </w:t>
      </w:r>
      <w:r w:rsidR="00193883">
        <w:rPr>
          <w:rFonts w:ascii="Palatino Linotype" w:hAnsi="Palatino Linotype"/>
          <w:color w:val="000000" w:themeColor="text1"/>
        </w:rPr>
        <w:br/>
      </w:r>
      <w:r w:rsidRPr="00A450C8">
        <w:rPr>
          <w:rFonts w:ascii="Palatino Linotype" w:hAnsi="Palatino Linotype"/>
          <w:color w:val="000000" w:themeColor="text1"/>
        </w:rPr>
        <w:t>Low-Cost Operations and Materials Preservation” project</w:t>
      </w:r>
      <w:r w:rsidRPr="00A450C8" w:rsidR="00174603">
        <w:rPr>
          <w:rFonts w:ascii="Palatino Linotype" w:hAnsi="Palatino Linotype"/>
          <w:color w:val="000000" w:themeColor="text1"/>
        </w:rPr>
        <w:t xml:space="preserve"> under the </w:t>
      </w:r>
      <w:r w:rsidRPr="00A450C8" w:rsidR="00174603">
        <w:rPr>
          <w:rFonts w:ascii="Palatino Linotype" w:hAnsi="Palatino Linotype"/>
          <w:i/>
          <w:iCs/>
          <w:color w:val="000000" w:themeColor="text1"/>
        </w:rPr>
        <w:t>RNG Infrastructure Optimization</w:t>
      </w:r>
      <w:r w:rsidRPr="00A450C8" w:rsidR="00174603">
        <w:rPr>
          <w:rFonts w:ascii="Palatino Linotype" w:hAnsi="Palatino Linotype"/>
          <w:color w:val="000000" w:themeColor="text1"/>
        </w:rPr>
        <w:t xml:space="preserve"> Initiative</w:t>
      </w:r>
      <w:r w:rsidRPr="00A450C8">
        <w:rPr>
          <w:rFonts w:ascii="Palatino Linotype" w:hAnsi="Palatino Linotype"/>
          <w:color w:val="000000" w:themeColor="text1"/>
        </w:rPr>
        <w:t>.</w:t>
      </w:r>
      <w:r w:rsidRPr="00A450C8">
        <w:rPr>
          <w:rStyle w:val="FootnoteReference"/>
          <w:rFonts w:ascii="Palatino Linotype" w:hAnsi="Palatino Linotype"/>
          <w:color w:val="000000" w:themeColor="text1"/>
        </w:rPr>
        <w:footnoteReference w:id="118"/>
      </w:r>
      <w:r w:rsidRPr="00A450C8" w:rsidR="00174603">
        <w:rPr>
          <w:rFonts w:ascii="Palatino Linotype" w:hAnsi="Palatino Linotype"/>
          <w:color w:val="000000" w:themeColor="text1"/>
        </w:rPr>
        <w:t xml:space="preserve"> </w:t>
      </w:r>
      <w:r w:rsidR="00E70C6F">
        <w:rPr>
          <w:rFonts w:ascii="Palatino Linotype" w:hAnsi="Palatino Linotype"/>
          <w:color w:val="000000" w:themeColor="text1"/>
        </w:rPr>
        <w:t xml:space="preserve">SoCalGas </w:t>
      </w:r>
      <w:r w:rsidRPr="00A450C8" w:rsidR="00174603">
        <w:rPr>
          <w:rFonts w:ascii="Palatino Linotype" w:hAnsi="Palatino Linotype"/>
          <w:color w:val="000000" w:themeColor="text1"/>
        </w:rPr>
        <w:t>must reallocate funds for eligible purposes.</w:t>
      </w:r>
    </w:p>
    <w:p w:rsidRPr="00A450C8" w:rsidR="00B6431B" w:rsidP="00477204" w:rsidRDefault="007933EA" w14:paraId="215C0913" w14:textId="5E70C9A0">
      <w:pPr>
        <w:pStyle w:val="10sp0"/>
        <w:numPr>
          <w:ilvl w:val="1"/>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R</w:t>
      </w:r>
      <w:r w:rsidRPr="00A450C8" w:rsidR="00B6431B">
        <w:rPr>
          <w:rFonts w:ascii="Palatino Linotype" w:hAnsi="Palatino Linotype"/>
          <w:color w:val="000000" w:themeColor="text1"/>
        </w:rPr>
        <w:t xml:space="preserve">equesting funding for carbon capture activities under the “Carbon Management Integration” Research Topic for its </w:t>
      </w:r>
      <w:r w:rsidRPr="00A450C8" w:rsidR="00B6431B">
        <w:rPr>
          <w:rFonts w:ascii="Palatino Linotype" w:hAnsi="Palatino Linotype"/>
          <w:i/>
          <w:color w:val="000000" w:themeColor="text1"/>
        </w:rPr>
        <w:t>Energy Reliability &amp; Resilience</w:t>
      </w:r>
      <w:r w:rsidRPr="00A450C8" w:rsidR="00B6431B">
        <w:rPr>
          <w:rFonts w:ascii="Palatino Linotype" w:hAnsi="Palatino Linotype"/>
          <w:color w:val="000000" w:themeColor="text1"/>
        </w:rPr>
        <w:t xml:space="preserve"> Initiative.</w:t>
      </w:r>
      <w:r w:rsidRPr="00A450C8" w:rsidR="00B6431B">
        <w:rPr>
          <w:rStyle w:val="FootnoteReference"/>
          <w:rFonts w:ascii="Palatino Linotype" w:hAnsi="Palatino Linotype"/>
          <w:color w:val="000000" w:themeColor="text1"/>
        </w:rPr>
        <w:footnoteReference w:id="119"/>
      </w:r>
      <w:r w:rsidRPr="00A450C8" w:rsidR="00B6431B">
        <w:rPr>
          <w:rFonts w:ascii="Palatino Linotype" w:hAnsi="Palatino Linotype"/>
          <w:color w:val="000000" w:themeColor="text1"/>
        </w:rPr>
        <w:t xml:space="preserve"> </w:t>
      </w:r>
      <w:r w:rsidRPr="004F1A0A" w:rsidR="004F1A0A">
        <w:rPr>
          <w:rFonts w:ascii="Palatino Linotype" w:hAnsi="Palatino Linotype"/>
          <w:color w:val="000000" w:themeColor="text1"/>
        </w:rPr>
        <w:t>SoCalGas must provide further detail on this Research Topic as described below.</w:t>
      </w:r>
    </w:p>
    <w:p w:rsidRPr="00A450C8" w:rsidR="000038A1" w:rsidP="00477204" w:rsidRDefault="008822B5" w14:paraId="49081AB4" w14:textId="174F10A7">
      <w:pPr>
        <w:pStyle w:val="10sp0"/>
        <w:numPr>
          <w:ilvl w:val="0"/>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SoCalGas must embed</w:t>
      </w:r>
      <w:r w:rsidRPr="00A450C8" w:rsidR="000038A1">
        <w:rPr>
          <w:rFonts w:ascii="Palatino Linotype" w:hAnsi="Palatino Linotype"/>
          <w:color w:val="000000" w:themeColor="text1"/>
        </w:rPr>
        <w:t xml:space="preserve"> in the descriptions of each proposed Initiative for transparency: </w:t>
      </w:r>
    </w:p>
    <w:p w:rsidRPr="00A450C8" w:rsidR="000038A1" w:rsidP="00477204" w:rsidRDefault="000038A1" w14:paraId="56F53EB6" w14:textId="77777777">
      <w:pPr>
        <w:pStyle w:val="10sp0"/>
        <w:numPr>
          <w:ilvl w:val="1"/>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 xml:space="preserve">Incorporation strategies associated with all: </w:t>
      </w:r>
    </w:p>
    <w:p w:rsidRPr="00A450C8" w:rsidR="000038A1" w:rsidP="00477204" w:rsidRDefault="000038A1" w14:paraId="1973A55C" w14:textId="77777777">
      <w:pPr>
        <w:pStyle w:val="10sp0"/>
        <w:numPr>
          <w:ilvl w:val="2"/>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Stakeholder feedback,</w:t>
      </w:r>
      <w:r w:rsidRPr="00A450C8">
        <w:rPr>
          <w:rStyle w:val="FootnoteReference"/>
          <w:rFonts w:ascii="Palatino Linotype" w:hAnsi="Palatino Linotype"/>
          <w:color w:val="000000" w:themeColor="text1"/>
        </w:rPr>
        <w:footnoteReference w:id="120"/>
      </w:r>
      <w:r w:rsidRPr="00A450C8">
        <w:rPr>
          <w:rFonts w:ascii="Palatino Linotype" w:hAnsi="Palatino Linotype"/>
          <w:color w:val="000000" w:themeColor="text1"/>
        </w:rPr>
        <w:t xml:space="preserve"> and </w:t>
      </w:r>
    </w:p>
    <w:p w:rsidRPr="00A450C8" w:rsidR="000038A1" w:rsidP="00477204" w:rsidRDefault="000038A1" w14:paraId="049B7AB7" w14:textId="0858F3A0">
      <w:pPr>
        <w:pStyle w:val="10sp0"/>
        <w:numPr>
          <w:ilvl w:val="2"/>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 xml:space="preserve">Energy Division staff </w:t>
      </w:r>
      <w:r w:rsidR="00597E0C">
        <w:rPr>
          <w:rFonts w:ascii="Palatino Linotype" w:hAnsi="Palatino Linotype"/>
          <w:color w:val="000000" w:themeColor="text1"/>
        </w:rPr>
        <w:t>c</w:t>
      </w:r>
      <w:r w:rsidRPr="00A450C8" w:rsidR="00470F24">
        <w:rPr>
          <w:rFonts w:ascii="Palatino Linotype" w:hAnsi="Palatino Linotype"/>
          <w:color w:val="000000" w:themeColor="text1"/>
        </w:rPr>
        <w:t xml:space="preserve">onsultation </w:t>
      </w:r>
      <w:r w:rsidRPr="00A450C8">
        <w:rPr>
          <w:rFonts w:ascii="Palatino Linotype" w:hAnsi="Palatino Linotype"/>
          <w:color w:val="000000" w:themeColor="text1"/>
        </w:rPr>
        <w:t>feedback</w:t>
      </w:r>
      <w:r w:rsidRPr="00A450C8" w:rsidR="00754A79">
        <w:rPr>
          <w:rFonts w:ascii="Palatino Linotype" w:hAnsi="Palatino Linotype"/>
          <w:color w:val="000000" w:themeColor="text1"/>
        </w:rPr>
        <w:t xml:space="preserve"> reflecting </w:t>
      </w:r>
      <w:r w:rsidRPr="00A450C8" w:rsidR="00470F24">
        <w:rPr>
          <w:rFonts w:ascii="Palatino Linotype" w:hAnsi="Palatino Linotype"/>
          <w:color w:val="000000" w:themeColor="text1"/>
        </w:rPr>
        <w:t>alignment with CPUC proceedings and ratepayer benefit</w:t>
      </w:r>
      <w:r w:rsidRPr="00A450C8">
        <w:rPr>
          <w:rFonts w:ascii="Palatino Linotype" w:hAnsi="Palatino Linotype"/>
          <w:color w:val="000000" w:themeColor="text1"/>
        </w:rPr>
        <w:t>,</w:t>
      </w:r>
      <w:r w:rsidRPr="00A450C8">
        <w:rPr>
          <w:rStyle w:val="FootnoteReference"/>
          <w:rFonts w:ascii="Palatino Linotype" w:hAnsi="Palatino Linotype"/>
          <w:color w:val="000000" w:themeColor="text1"/>
        </w:rPr>
        <w:footnoteReference w:id="121"/>
      </w:r>
      <w:r w:rsidRPr="00A450C8">
        <w:rPr>
          <w:rFonts w:ascii="Palatino Linotype" w:hAnsi="Palatino Linotype"/>
          <w:color w:val="000000" w:themeColor="text1"/>
        </w:rPr>
        <w:t xml:space="preserve"> including: </w:t>
      </w:r>
    </w:p>
    <w:p w:rsidRPr="00A450C8" w:rsidR="0087377C" w:rsidP="00477204" w:rsidRDefault="000038A1" w14:paraId="056BEEC7" w14:textId="13D861A0">
      <w:pPr>
        <w:pStyle w:val="10sp0"/>
        <w:numPr>
          <w:ilvl w:val="3"/>
          <w:numId w:val="21"/>
        </w:numPr>
        <w:spacing w:after="0" w:line="276" w:lineRule="auto"/>
        <w:rPr>
          <w:rFonts w:ascii="Palatino Linotype" w:hAnsi="Palatino Linotype"/>
          <w:color w:val="000000" w:themeColor="text1"/>
        </w:rPr>
      </w:pPr>
      <w:r w:rsidRPr="00A450C8">
        <w:rPr>
          <w:rFonts w:ascii="Palatino Linotype" w:hAnsi="Palatino Linotype"/>
          <w:i/>
          <w:iCs/>
          <w:color w:val="000000" w:themeColor="text1"/>
        </w:rPr>
        <w:t>Environment &amp; Safety</w:t>
      </w:r>
      <w:r w:rsidRPr="00A450C8">
        <w:rPr>
          <w:rFonts w:ascii="Palatino Linotype" w:hAnsi="Palatino Linotype"/>
          <w:color w:val="000000" w:themeColor="text1"/>
        </w:rPr>
        <w:t xml:space="preserve">: SoCalGas must demonstrate that it will account for the full costs associated with AI/ML applications when assessing impacts, including increased </w:t>
      </w:r>
      <w:r w:rsidRPr="00A450C8">
        <w:rPr>
          <w:rFonts w:ascii="Palatino Linotype" w:hAnsi="Palatino Linotype"/>
          <w:color w:val="000000" w:themeColor="text1"/>
        </w:rPr>
        <w:lastRenderedPageBreak/>
        <w:t>energy consumption, cloud services, data storage, and processing requirements, and that human decision-making authority will be retained</w:t>
      </w:r>
      <w:r w:rsidRPr="00A450C8" w:rsidR="0087377C">
        <w:rPr>
          <w:rFonts w:ascii="Palatino Linotype" w:hAnsi="Palatino Linotype"/>
          <w:color w:val="000000" w:themeColor="text1"/>
        </w:rPr>
        <w:t>.</w:t>
      </w:r>
    </w:p>
    <w:p w:rsidRPr="00A450C8" w:rsidR="000038A1" w:rsidP="00477204" w:rsidRDefault="000038A1" w14:paraId="59A35FC3" w14:textId="06DAEBB8">
      <w:pPr>
        <w:pStyle w:val="10sp0"/>
        <w:numPr>
          <w:ilvl w:val="3"/>
          <w:numId w:val="21"/>
        </w:numPr>
        <w:spacing w:after="0" w:line="276" w:lineRule="auto"/>
        <w:rPr>
          <w:rFonts w:ascii="Palatino Linotype" w:hAnsi="Palatino Linotype"/>
          <w:color w:val="000000" w:themeColor="text1"/>
        </w:rPr>
      </w:pPr>
      <w:r w:rsidRPr="00A450C8">
        <w:rPr>
          <w:rFonts w:ascii="Palatino Linotype" w:hAnsi="Palatino Linotype"/>
          <w:i/>
          <w:iCs/>
          <w:color w:val="000000" w:themeColor="text1"/>
        </w:rPr>
        <w:t>Building &amp; Facility Systems</w:t>
      </w:r>
      <w:r w:rsidRPr="00A450C8">
        <w:rPr>
          <w:rFonts w:ascii="Palatino Linotype" w:hAnsi="Palatino Linotype"/>
          <w:color w:val="000000" w:themeColor="text1"/>
        </w:rPr>
        <w:t>: SoCalGas must</w:t>
      </w:r>
      <w:r w:rsidR="0070456E">
        <w:rPr>
          <w:rFonts w:ascii="Palatino Linotype" w:hAnsi="Palatino Linotype"/>
          <w:color w:val="000000" w:themeColor="text1"/>
        </w:rPr>
        <w:t xml:space="preserve"> discuss how</w:t>
      </w:r>
      <w:r w:rsidRPr="00A450C8">
        <w:rPr>
          <w:rFonts w:ascii="Palatino Linotype" w:hAnsi="Palatino Linotype"/>
          <w:color w:val="000000" w:themeColor="text1"/>
        </w:rPr>
        <w:t xml:space="preserve"> this Initiative supports reducing the size of the gas system</w:t>
      </w:r>
      <w:r w:rsidR="0070456E">
        <w:rPr>
          <w:rFonts w:ascii="Palatino Linotype" w:hAnsi="Palatino Linotype"/>
          <w:color w:val="000000" w:themeColor="text1"/>
        </w:rPr>
        <w:t xml:space="preserve"> or otherwise </w:t>
      </w:r>
      <w:proofErr w:type="gramStart"/>
      <w:r w:rsidR="0070456E">
        <w:rPr>
          <w:rFonts w:ascii="Palatino Linotype" w:hAnsi="Palatino Linotype"/>
          <w:color w:val="000000" w:themeColor="text1"/>
        </w:rPr>
        <w:t>explain</w:t>
      </w:r>
      <w:proofErr w:type="gramEnd"/>
      <w:r w:rsidR="0070456E">
        <w:rPr>
          <w:rFonts w:ascii="Palatino Linotype" w:hAnsi="Palatino Linotype"/>
          <w:color w:val="000000" w:themeColor="text1"/>
        </w:rPr>
        <w:t xml:space="preserve"> why it does not</w:t>
      </w:r>
      <w:r w:rsidRPr="00A450C8">
        <w:rPr>
          <w:rFonts w:ascii="Palatino Linotype" w:hAnsi="Palatino Linotype"/>
          <w:color w:val="000000" w:themeColor="text1"/>
        </w:rPr>
        <w:t>.</w:t>
      </w:r>
    </w:p>
    <w:p w:rsidRPr="00A450C8" w:rsidR="000038A1" w:rsidP="00477204" w:rsidRDefault="000038A1" w14:paraId="6B9DA3C3" w14:textId="77777777">
      <w:pPr>
        <w:pStyle w:val="10sp0"/>
        <w:numPr>
          <w:ilvl w:val="1"/>
          <w:numId w:val="21"/>
        </w:numPr>
        <w:spacing w:after="0" w:line="276" w:lineRule="auto"/>
        <w:rPr>
          <w:rFonts w:ascii="Palatino Linotype" w:hAnsi="Palatino Linotype"/>
          <w:color w:val="000000" w:themeColor="text1"/>
        </w:rPr>
      </w:pPr>
      <w:r w:rsidRPr="00A450C8">
        <w:rPr>
          <w:rFonts w:ascii="Palatino Linotype" w:hAnsi="Palatino Linotype"/>
          <w:color w:val="000000" w:themeColor="text1"/>
        </w:rPr>
        <w:t>Detail differentiating similar RD&amp;D led by other Gas RD&amp;D administrators</w:t>
      </w:r>
      <w:r w:rsidRPr="00A450C8">
        <w:rPr>
          <w:rStyle w:val="FootnoteReference"/>
          <w:rFonts w:ascii="Palatino Linotype" w:hAnsi="Palatino Linotype"/>
          <w:color w:val="000000" w:themeColor="text1"/>
        </w:rPr>
        <w:footnoteReference w:id="122"/>
      </w:r>
      <w:r w:rsidRPr="00A450C8">
        <w:rPr>
          <w:rFonts w:ascii="Palatino Linotype" w:hAnsi="Palatino Linotype"/>
          <w:color w:val="000000" w:themeColor="text1"/>
        </w:rPr>
        <w:t xml:space="preserve"> and conducted in other programs, particularly: </w:t>
      </w:r>
    </w:p>
    <w:p w:rsidRPr="00A05ECF" w:rsidR="000038A1" w:rsidP="00477204" w:rsidRDefault="000038A1" w14:paraId="19A06D92" w14:textId="77777777">
      <w:pPr>
        <w:pStyle w:val="10sp0"/>
        <w:numPr>
          <w:ilvl w:val="2"/>
          <w:numId w:val="21"/>
        </w:numPr>
        <w:spacing w:after="0" w:line="276" w:lineRule="auto"/>
        <w:rPr>
          <w:rFonts w:ascii="Palatino Linotype" w:hAnsi="Palatino Linotype"/>
          <w:color w:val="000000" w:themeColor="text1"/>
        </w:rPr>
      </w:pPr>
      <w:r w:rsidRPr="00A05ECF">
        <w:rPr>
          <w:rFonts w:ascii="Palatino Linotype" w:hAnsi="Palatino Linotype"/>
          <w:i/>
          <w:iCs/>
          <w:color w:val="000000" w:themeColor="text1"/>
        </w:rPr>
        <w:t>Environmental &amp; Safety</w:t>
      </w:r>
      <w:r w:rsidRPr="00A05ECF">
        <w:rPr>
          <w:rFonts w:ascii="Palatino Linotype" w:hAnsi="Palatino Linotype"/>
          <w:color w:val="000000" w:themeColor="text1"/>
        </w:rPr>
        <w:t xml:space="preserve"> from PG&amp;E RD&amp;D involving AI/ML and LiDAR, including specific examples of how system conditions differ to justify parallel validation.</w:t>
      </w:r>
    </w:p>
    <w:p w:rsidRPr="00A05ECF" w:rsidR="000038A1" w:rsidP="00477204" w:rsidRDefault="000038A1" w14:paraId="3A984C16" w14:textId="77777777">
      <w:pPr>
        <w:pStyle w:val="10sp0"/>
        <w:numPr>
          <w:ilvl w:val="2"/>
          <w:numId w:val="21"/>
        </w:numPr>
        <w:spacing w:after="0" w:line="276" w:lineRule="auto"/>
        <w:rPr>
          <w:rFonts w:ascii="Palatino Linotype" w:hAnsi="Palatino Linotype"/>
          <w:color w:val="000000" w:themeColor="text1"/>
        </w:rPr>
      </w:pPr>
      <w:r w:rsidRPr="00A05ECF">
        <w:rPr>
          <w:rFonts w:ascii="Palatino Linotype" w:hAnsi="Palatino Linotype"/>
          <w:i/>
          <w:iCs/>
          <w:color w:val="000000" w:themeColor="text1"/>
        </w:rPr>
        <w:t>Community Impact &amp; Energy Conservation</w:t>
      </w:r>
      <w:r w:rsidRPr="00A05ECF">
        <w:rPr>
          <w:rFonts w:ascii="Palatino Linotype" w:hAnsi="Palatino Linotype"/>
          <w:color w:val="000000" w:themeColor="text1"/>
        </w:rPr>
        <w:t xml:space="preserve"> from PG&amp;E RD&amp;D involving AI/ML and LiDAR in addition to PG&amp;E and CEC RD&amp;D involving methane monitoring.</w:t>
      </w:r>
    </w:p>
    <w:p w:rsidRPr="00A05ECF" w:rsidR="000038A1" w:rsidP="00477204" w:rsidRDefault="000038A1" w14:paraId="7FABBDDB" w14:textId="0142BAE1">
      <w:pPr>
        <w:pStyle w:val="10sp0"/>
        <w:numPr>
          <w:ilvl w:val="2"/>
          <w:numId w:val="21"/>
        </w:numPr>
        <w:spacing w:after="0" w:line="276" w:lineRule="auto"/>
        <w:rPr>
          <w:rFonts w:ascii="Palatino Linotype" w:hAnsi="Palatino Linotype"/>
          <w:color w:val="000000" w:themeColor="text1"/>
        </w:rPr>
      </w:pPr>
      <w:r w:rsidRPr="00A05ECF">
        <w:rPr>
          <w:rFonts w:ascii="Palatino Linotype" w:hAnsi="Palatino Linotype"/>
          <w:i/>
          <w:iCs/>
          <w:color w:val="000000" w:themeColor="text1"/>
        </w:rPr>
        <w:t>Low-Carbon Fuel Technologies</w:t>
      </w:r>
      <w:r w:rsidRPr="00A05ECF">
        <w:rPr>
          <w:rFonts w:ascii="Palatino Linotype" w:hAnsi="Palatino Linotype"/>
          <w:color w:val="000000" w:themeColor="text1"/>
        </w:rPr>
        <w:t xml:space="preserve"> from PG&amp;E’s </w:t>
      </w:r>
      <w:r w:rsidRPr="00A05ECF">
        <w:rPr>
          <w:rFonts w:ascii="Palatino Linotype" w:hAnsi="Palatino Linotype"/>
          <w:i/>
          <w:iCs/>
          <w:color w:val="000000" w:themeColor="text1"/>
        </w:rPr>
        <w:t>Clean Fuels Integration</w:t>
      </w:r>
      <w:r w:rsidRPr="00A05ECF">
        <w:rPr>
          <w:rFonts w:ascii="Palatino Linotype" w:hAnsi="Palatino Linotype"/>
          <w:color w:val="000000" w:themeColor="text1"/>
        </w:rPr>
        <w:t xml:space="preserve"> Initiative</w:t>
      </w:r>
      <w:r w:rsidRPr="00A05ECF" w:rsidR="00AD5D09">
        <w:rPr>
          <w:rFonts w:ascii="Palatino Linotype" w:hAnsi="Palatino Linotype"/>
          <w:color w:val="000000" w:themeColor="text1"/>
        </w:rPr>
        <w:t xml:space="preserve"> in its 2026 Plan</w:t>
      </w:r>
      <w:r w:rsidRPr="00A05ECF">
        <w:rPr>
          <w:rFonts w:ascii="Palatino Linotype" w:hAnsi="Palatino Linotype"/>
          <w:color w:val="000000" w:themeColor="text1"/>
        </w:rPr>
        <w:t>.</w:t>
      </w:r>
      <w:r w:rsidRPr="00A05ECF" w:rsidR="00AD5D09">
        <w:rPr>
          <w:rStyle w:val="FootnoteReference"/>
          <w:rFonts w:ascii="Palatino Linotype" w:hAnsi="Palatino Linotype"/>
          <w:color w:val="000000" w:themeColor="text1"/>
        </w:rPr>
        <w:footnoteReference w:id="123"/>
      </w:r>
      <w:r w:rsidRPr="00A05ECF">
        <w:rPr>
          <w:rFonts w:ascii="Palatino Linotype" w:hAnsi="Palatino Linotype"/>
          <w:color w:val="000000" w:themeColor="text1"/>
        </w:rPr>
        <w:t xml:space="preserve">  </w:t>
      </w:r>
    </w:p>
    <w:p w:rsidRPr="00A05ECF" w:rsidR="000038A1" w:rsidP="00477204" w:rsidRDefault="000038A1" w14:paraId="7A9F80E7" w14:textId="212D80BA">
      <w:pPr>
        <w:pStyle w:val="10sp0"/>
        <w:numPr>
          <w:ilvl w:val="2"/>
          <w:numId w:val="21"/>
        </w:numPr>
        <w:spacing w:after="0" w:line="276" w:lineRule="auto"/>
        <w:rPr>
          <w:rFonts w:ascii="Palatino Linotype" w:hAnsi="Palatino Linotype"/>
          <w:color w:val="000000" w:themeColor="text1"/>
        </w:rPr>
      </w:pPr>
      <w:r w:rsidRPr="00A05ECF">
        <w:rPr>
          <w:rFonts w:ascii="Palatino Linotype" w:hAnsi="Palatino Linotype"/>
          <w:color w:val="000000" w:themeColor="text1"/>
        </w:rPr>
        <w:t xml:space="preserve">The </w:t>
      </w:r>
      <w:r w:rsidRPr="00A05ECF">
        <w:rPr>
          <w:rFonts w:ascii="Palatino Linotype" w:hAnsi="Palatino Linotype"/>
          <w:i/>
          <w:color w:val="000000" w:themeColor="text1"/>
        </w:rPr>
        <w:t>Energy Reliability &amp; Resilience</w:t>
      </w:r>
      <w:r w:rsidRPr="00A05ECF">
        <w:rPr>
          <w:rFonts w:ascii="Palatino Linotype" w:hAnsi="Palatino Linotype"/>
          <w:color w:val="000000" w:themeColor="text1"/>
        </w:rPr>
        <w:t xml:space="preserve"> Initiative from the CEC’s EPIC and Gas RD&amp;D Initiatives and projects related to cost-effective industrial decarbonization in addition to the CEC’s </w:t>
      </w:r>
      <w:r w:rsidRPr="00A05ECF">
        <w:rPr>
          <w:rFonts w:ascii="Palatino Linotype" w:hAnsi="Palatino Linotype"/>
          <w:i/>
          <w:iCs/>
          <w:color w:val="000000" w:themeColor="text1"/>
        </w:rPr>
        <w:t xml:space="preserve">Fuel-Flexible Distributed Power Generation </w:t>
      </w:r>
      <w:r w:rsidRPr="00A05ECF">
        <w:rPr>
          <w:rFonts w:ascii="Palatino Linotype" w:hAnsi="Palatino Linotype"/>
          <w:color w:val="000000" w:themeColor="text1"/>
        </w:rPr>
        <w:t>Initiative in its proposed FY</w:t>
      </w:r>
      <w:r w:rsidRPr="00A05ECF" w:rsidR="00AD5D09">
        <w:rPr>
          <w:rFonts w:ascii="Palatino Linotype" w:hAnsi="Palatino Linotype"/>
          <w:color w:val="000000" w:themeColor="text1"/>
        </w:rPr>
        <w:t xml:space="preserve"> </w:t>
      </w:r>
      <w:r w:rsidRPr="00A05ECF">
        <w:rPr>
          <w:rFonts w:ascii="Palatino Linotype" w:hAnsi="Palatino Linotype"/>
          <w:color w:val="000000" w:themeColor="text1"/>
        </w:rPr>
        <w:t>2024-</w:t>
      </w:r>
      <w:r w:rsidRPr="00A05ECF" w:rsidR="00AD5D09">
        <w:rPr>
          <w:rFonts w:ascii="Palatino Linotype" w:hAnsi="Palatino Linotype"/>
          <w:color w:val="000000" w:themeColor="text1"/>
        </w:rPr>
        <w:t>20</w:t>
      </w:r>
      <w:r w:rsidRPr="00A05ECF">
        <w:rPr>
          <w:rFonts w:ascii="Palatino Linotype" w:hAnsi="Palatino Linotype"/>
          <w:color w:val="000000" w:themeColor="text1"/>
        </w:rPr>
        <w:t>25 Plan.</w:t>
      </w:r>
      <w:r w:rsidRPr="00A05ECF" w:rsidR="000412A5">
        <w:rPr>
          <w:rStyle w:val="FootnoteReference"/>
          <w:rFonts w:ascii="Palatino Linotype" w:hAnsi="Palatino Linotype"/>
          <w:color w:val="000000" w:themeColor="text1"/>
        </w:rPr>
        <w:footnoteReference w:id="124"/>
      </w:r>
    </w:p>
    <w:p w:rsidRPr="00A05ECF" w:rsidR="000038A1" w:rsidP="00477204" w:rsidRDefault="000038A1" w14:paraId="542111FB" w14:textId="77777777">
      <w:pPr>
        <w:pStyle w:val="ListParagraph"/>
        <w:numPr>
          <w:ilvl w:val="2"/>
          <w:numId w:val="21"/>
        </w:numPr>
        <w:spacing w:after="0"/>
        <w:rPr>
          <w:rFonts w:ascii="Palatino Linotype" w:hAnsi="Palatino Linotype" w:eastAsia="SimSun" w:cs="Times New Roman"/>
          <w:color w:val="000000" w:themeColor="text1"/>
          <w:kern w:val="0"/>
          <w:szCs w:val="20"/>
          <w14:ligatures w14:val="none"/>
        </w:rPr>
      </w:pPr>
      <w:r w:rsidRPr="00A05ECF">
        <w:rPr>
          <w:rFonts w:ascii="Palatino Linotype" w:hAnsi="Palatino Linotype" w:eastAsia="SimSun" w:cs="Times New Roman"/>
          <w:i/>
          <w:iCs/>
          <w:color w:val="000000" w:themeColor="text1"/>
          <w:kern w:val="0"/>
          <w:szCs w:val="20"/>
          <w14:ligatures w14:val="none"/>
        </w:rPr>
        <w:t>Building &amp; Facility Systems</w:t>
      </w:r>
      <w:r w:rsidRPr="00A05ECF">
        <w:rPr>
          <w:rFonts w:ascii="Palatino Linotype" w:hAnsi="Palatino Linotype" w:eastAsia="SimSun" w:cs="Times New Roman"/>
          <w:color w:val="000000" w:themeColor="text1"/>
          <w:kern w:val="0"/>
          <w:szCs w:val="20"/>
          <w14:ligatures w14:val="none"/>
        </w:rPr>
        <w:t xml:space="preserve"> from building decarbonization and energy efficiency efforts and RD&amp;D activities involving thermal energy storage across Gas RD&amp;D, EPIC, and other programs.</w:t>
      </w:r>
    </w:p>
    <w:p w:rsidRPr="006E3788" w:rsidR="003C75B5" w:rsidP="006E3788" w:rsidRDefault="004762C0" w14:paraId="5741BD90" w14:textId="6603B7F3">
      <w:pPr>
        <w:pStyle w:val="10sp0"/>
        <w:numPr>
          <w:ilvl w:val="0"/>
          <w:numId w:val="21"/>
        </w:numPr>
        <w:spacing w:after="0" w:line="276" w:lineRule="auto"/>
        <w:rPr>
          <w:rFonts w:ascii="Palatino Linotype" w:hAnsi="Palatino Linotype"/>
          <w:color w:val="000000" w:themeColor="text1"/>
        </w:rPr>
      </w:pPr>
      <w:r w:rsidRPr="00A05ECF">
        <w:rPr>
          <w:rFonts w:ascii="Palatino Linotype" w:hAnsi="Palatino Linotype"/>
          <w:color w:val="000000" w:themeColor="text1"/>
        </w:rPr>
        <w:t>SoCalGas must provide f</w:t>
      </w:r>
      <w:r w:rsidRPr="00A05ECF" w:rsidR="000038A1">
        <w:rPr>
          <w:rFonts w:ascii="Palatino Linotype" w:hAnsi="Palatino Linotype"/>
          <w:color w:val="000000" w:themeColor="text1"/>
        </w:rPr>
        <w:t>urther detail on how SoCalGas explored compensation strategies for its ESJ advisory panel.</w:t>
      </w:r>
      <w:r w:rsidRPr="00A05ECF" w:rsidR="000038A1">
        <w:rPr>
          <w:rStyle w:val="FootnoteReference"/>
          <w:rFonts w:ascii="Palatino Linotype" w:hAnsi="Palatino Linotype"/>
          <w:color w:val="000000" w:themeColor="text1"/>
        </w:rPr>
        <w:footnoteReference w:id="125"/>
      </w:r>
    </w:p>
    <w:p w:rsidRPr="004F1A0A" w:rsidR="003C75B5" w:rsidP="003C75B5" w:rsidRDefault="003C75B5" w14:paraId="118CDF0C" w14:textId="1B435C47">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 xml:space="preserve">SoCalGas’ proposed </w:t>
      </w:r>
      <w:r>
        <w:rPr>
          <w:rFonts w:ascii="Palatino Linotype" w:hAnsi="Palatino Linotype"/>
          <w:color w:val="000000" w:themeColor="text1"/>
        </w:rPr>
        <w:t>“Carbon Management Integration</w:t>
      </w:r>
      <w:r w:rsidRPr="004F1A0A">
        <w:rPr>
          <w:rFonts w:ascii="Palatino Linotype" w:hAnsi="Palatino Linotype"/>
          <w:color w:val="000000" w:themeColor="text1"/>
        </w:rPr>
        <w:t xml:space="preserve">” Research Topic under </w:t>
      </w:r>
      <w:r w:rsidRPr="004F1A0A">
        <w:rPr>
          <w:rFonts w:ascii="Palatino Linotype" w:hAnsi="Palatino Linotype"/>
          <w:color w:val="000000" w:themeColor="text1"/>
          <w:szCs w:val="24"/>
        </w:rPr>
        <w:t xml:space="preserve">its </w:t>
      </w:r>
      <w:r w:rsidRPr="004F1A0A">
        <w:rPr>
          <w:rFonts w:ascii="Palatino Linotype" w:hAnsi="Palatino Linotype"/>
          <w:i/>
          <w:iCs/>
          <w:color w:val="000000" w:themeColor="text1"/>
          <w:szCs w:val="24"/>
        </w:rPr>
        <w:t>Energy Reliability &amp; Resilience</w:t>
      </w:r>
      <w:r w:rsidRPr="004F1A0A">
        <w:rPr>
          <w:rFonts w:ascii="Palatino Linotype" w:hAnsi="Palatino Linotype"/>
          <w:color w:val="000000" w:themeColor="text1"/>
          <w:szCs w:val="24"/>
        </w:rPr>
        <w:t xml:space="preserve"> Initiative</w:t>
      </w:r>
      <w:r w:rsidRPr="004F1A0A">
        <w:rPr>
          <w:rFonts w:ascii="Palatino Linotype" w:hAnsi="Palatino Linotype"/>
          <w:color w:val="000000" w:themeColor="text1"/>
        </w:rPr>
        <w:t xml:space="preserve"> involves “</w:t>
      </w:r>
      <w:r w:rsidR="00AD45E3">
        <w:rPr>
          <w:rFonts w:ascii="Palatino Linotype" w:hAnsi="Palatino Linotype"/>
          <w:color w:val="000000" w:themeColor="text1"/>
        </w:rPr>
        <w:t xml:space="preserve">[validating] reliable carbon capture </w:t>
      </w:r>
      <w:r w:rsidR="00AD45E3">
        <w:rPr>
          <w:rFonts w:ascii="Palatino Linotype" w:hAnsi="Palatino Linotype"/>
          <w:color w:val="000000" w:themeColor="text1"/>
        </w:rPr>
        <w:lastRenderedPageBreak/>
        <w:t>solutions and [refining] integration with distributed power generation systems to advance cost effective deployment</w:t>
      </w:r>
      <w:r>
        <w:rPr>
          <w:rFonts w:ascii="Palatino Linotype" w:hAnsi="Palatino Linotype"/>
          <w:color w:val="000000" w:themeColor="text1"/>
        </w:rPr>
        <w:t>.</w:t>
      </w:r>
      <w:r w:rsidRPr="0025255A">
        <w:rPr>
          <w:rFonts w:ascii="Palatino Linotype" w:hAnsi="Palatino Linotype"/>
          <w:color w:val="000000" w:themeColor="text1"/>
        </w:rPr>
        <w:t>”</w:t>
      </w:r>
      <w:r>
        <w:rPr>
          <w:rStyle w:val="FootnoteReference"/>
          <w:rFonts w:ascii="Palatino Linotype" w:hAnsi="Palatino Linotype"/>
          <w:color w:val="000000" w:themeColor="text1"/>
        </w:rPr>
        <w:footnoteReference w:id="126"/>
      </w:r>
      <w:r w:rsidRPr="0025255A">
        <w:rPr>
          <w:rFonts w:ascii="Palatino Linotype" w:hAnsi="Palatino Linotype"/>
          <w:color w:val="000000" w:themeColor="text1"/>
        </w:rPr>
        <w:t xml:space="preserve"> </w:t>
      </w:r>
      <w:r w:rsidRPr="004F1A0A">
        <w:rPr>
          <w:rFonts w:ascii="Palatino Linotype" w:hAnsi="Palatino Linotype"/>
          <w:color w:val="000000" w:themeColor="text1"/>
        </w:rPr>
        <w:t xml:space="preserve">Previously, the Commission denied carbon capture RD&amp;D in Resolution G-3601 for the following reasons: </w:t>
      </w:r>
    </w:p>
    <w:p w:rsidRPr="00561E52" w:rsidR="00E70C6F" w:rsidP="00561E52" w:rsidRDefault="003C75B5" w14:paraId="44A1396B" w14:textId="2BD2B1A0">
      <w:pPr>
        <w:pStyle w:val="10sp0"/>
        <w:spacing w:before="240" w:after="0" w:line="276" w:lineRule="auto"/>
        <w:ind w:left="360"/>
        <w:rPr>
          <w:rFonts w:ascii="Palatino Linotype" w:hAnsi="Palatino Linotype"/>
          <w:i/>
          <w:iCs/>
          <w:color w:val="000000" w:themeColor="text1"/>
        </w:rPr>
      </w:pPr>
      <w:r w:rsidRPr="004F1A0A">
        <w:rPr>
          <w:rFonts w:ascii="Palatino Linotype" w:hAnsi="Palatino Linotype"/>
          <w:i/>
          <w:iCs/>
          <w:color w:val="000000" w:themeColor="text1"/>
        </w:rPr>
        <w:t>“State and Commission decarbonization policies have significantly shifted, including a focus on electrification that considers phasing out natural gas and pruning the gas system. To date, the Commission has not considered the appropriate role of gas ratepayers in [Carbon Capture, Utilization, and Storage], which could have a significant impact on ratepayers’ energy bills and on market actors more broadly. The Commission has not yet provided any guidance upon which to determine whether ratepayer funds should be invested in CCUS, particularly as these projects would have further implications for ratepayer funding in future RD&amp;D Plans. For any future consideration of funding, the appropriate role of ratepayers in funding CCUS needs to be considered.”</w:t>
      </w:r>
      <w:r w:rsidRPr="004F1A0A">
        <w:rPr>
          <w:rStyle w:val="FootnoteReference"/>
          <w:rFonts w:ascii="Palatino Linotype" w:hAnsi="Palatino Linotype"/>
          <w:i/>
          <w:iCs/>
          <w:color w:val="000000" w:themeColor="text1"/>
        </w:rPr>
        <w:t xml:space="preserve"> </w:t>
      </w:r>
      <w:r w:rsidRPr="004F1A0A">
        <w:rPr>
          <w:rStyle w:val="FootnoteReference"/>
          <w:rFonts w:ascii="Palatino Linotype" w:hAnsi="Palatino Linotype"/>
          <w:i/>
          <w:iCs/>
          <w:color w:val="000000" w:themeColor="text1"/>
        </w:rPr>
        <w:footnoteReference w:id="127"/>
      </w:r>
    </w:p>
    <w:p w:rsidR="003C75B5" w:rsidP="002328D8" w:rsidRDefault="003C75B5" w14:paraId="3238269C" w14:textId="25F2A82F">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Pursuant to Commission requirements for Gas RD&amp;D investments, SoCalGas must provide further detail on the “</w:t>
      </w:r>
      <w:r>
        <w:rPr>
          <w:rFonts w:ascii="Palatino Linotype" w:hAnsi="Palatino Linotype"/>
          <w:color w:val="000000" w:themeColor="text1"/>
        </w:rPr>
        <w:t>Carbon Management Integration</w:t>
      </w:r>
      <w:r w:rsidRPr="004F1A0A">
        <w:rPr>
          <w:rFonts w:ascii="Palatino Linotype" w:hAnsi="Palatino Linotype"/>
          <w:color w:val="000000" w:themeColor="text1"/>
        </w:rPr>
        <w:t>” Research Topic describing how resulting projects will support current State climate goals and policies such as by reducing and/or decarbonizing the gas system without enabling continued polluting. Further, in recognition of the affordability concerns articulated in Resolution G-3601, SoCalGas must demonstrate how projects will deliver clear ratepayer benefit, including promoting affordability and consideration of equity issues particularly in vulnerable communities. Upon consideration of this further detail in SoCalGas’ revised Plan to be provided via Tier 2 AL, the Commission will determine if these criteria have been sufficiently demonstrated for this Research Topic.</w:t>
      </w:r>
    </w:p>
    <w:p w:rsidRPr="003C75B5" w:rsidR="003C75B5" w:rsidP="00347B5B" w:rsidRDefault="006E3788" w14:paraId="39F51CD6" w14:textId="67F1B4D0">
      <w:pPr>
        <w:pStyle w:val="10sp0"/>
        <w:spacing w:before="240" w:after="0" w:line="276" w:lineRule="auto"/>
        <w:rPr>
          <w:rFonts w:ascii="Palatino Linotype" w:hAnsi="Palatino Linotype"/>
          <w:color w:val="000000" w:themeColor="text1"/>
        </w:rPr>
      </w:pPr>
      <w:r w:rsidRPr="004F1A0A">
        <w:rPr>
          <w:rFonts w:ascii="Palatino Linotype" w:hAnsi="Palatino Linotype"/>
          <w:color w:val="000000" w:themeColor="text1"/>
        </w:rPr>
        <w:t>Relatedly, Resolutions G-3618</w:t>
      </w:r>
      <w:r w:rsidRPr="004F1A0A">
        <w:rPr>
          <w:rStyle w:val="FootnoteReference"/>
          <w:rFonts w:ascii="Palatino Linotype" w:hAnsi="Palatino Linotype"/>
          <w:color w:val="000000" w:themeColor="text1"/>
        </w:rPr>
        <w:footnoteReference w:id="128"/>
      </w:r>
      <w:r w:rsidRPr="004F1A0A">
        <w:rPr>
          <w:rFonts w:ascii="Palatino Linotype" w:hAnsi="Palatino Linotype"/>
          <w:color w:val="000000" w:themeColor="text1"/>
        </w:rPr>
        <w:t xml:space="preserve"> and G-3623</w:t>
      </w:r>
      <w:r w:rsidRPr="004F1A0A">
        <w:rPr>
          <w:rStyle w:val="FootnoteReference"/>
          <w:rFonts w:ascii="Palatino Linotype" w:hAnsi="Palatino Linotype"/>
          <w:color w:val="000000" w:themeColor="text1"/>
        </w:rPr>
        <w:footnoteReference w:id="129"/>
      </w:r>
      <w:r w:rsidRPr="004F1A0A">
        <w:rPr>
          <w:rFonts w:ascii="Palatino Linotype" w:hAnsi="Palatino Linotype"/>
          <w:color w:val="000000" w:themeColor="text1"/>
        </w:rPr>
        <w:t xml:space="preserve"> reflect that the Commission has not provided current guidance upon which to determine whether ratepayer funds should be invested in hydrogen, particularly as these projects would have further implications for ratepayer funding in future RD&amp;D Plans. For example, the most recent CPUC Integrated Resource Planning (IRP) inputs and assumptions reflect that hydrogen is not </w:t>
      </w:r>
      <w:r w:rsidRPr="004F1A0A">
        <w:rPr>
          <w:rFonts w:ascii="Palatino Linotype" w:hAnsi="Palatino Linotype"/>
          <w:color w:val="000000" w:themeColor="text1"/>
        </w:rPr>
        <w:lastRenderedPageBreak/>
        <w:t>an eligible candidate resource in the Preferred System Plan (PSP).</w:t>
      </w:r>
      <w:r w:rsidRPr="004F1A0A">
        <w:rPr>
          <w:rStyle w:val="FootnoteReference"/>
          <w:rFonts w:ascii="Palatino Linotype" w:hAnsi="Palatino Linotype"/>
          <w:color w:val="000000" w:themeColor="text1"/>
        </w:rPr>
        <w:footnoteReference w:id="130"/>
      </w:r>
      <w:r w:rsidRPr="004F1A0A">
        <w:rPr>
          <w:rFonts w:ascii="Palatino Linotype" w:hAnsi="Palatino Linotype"/>
          <w:color w:val="000000" w:themeColor="text1"/>
        </w:rPr>
        <w:t xml:space="preserve"> Alternatively, the Commission has</w:t>
      </w:r>
      <w:r w:rsidR="00F241D5">
        <w:rPr>
          <w:rFonts w:ascii="Palatino Linotype" w:hAnsi="Palatino Linotype"/>
          <w:color w:val="000000" w:themeColor="text1"/>
        </w:rPr>
        <w:t xml:space="preserve"> identified limited procurement of RNG as appropriate, with an aim to strike a balance between providing the resource an opportunity to scale and containing costs to address ratepayer affordability</w:t>
      </w:r>
      <w:r w:rsidRPr="004F1A0A">
        <w:rPr>
          <w:rFonts w:ascii="Palatino Linotype" w:hAnsi="Palatino Linotype"/>
          <w:color w:val="000000" w:themeColor="text1"/>
        </w:rPr>
        <w:t xml:space="preserve">. Further, current State and Commission policies clearly reflect the prioritization of ratepayer affordability. Therefore, due to the scarcity of ratepayer funds dedicated to the Gas RD&amp;D Program, SoCalGas shall remove requests for hydrogen funding to reflect these priorities and be responsive to ratepayer affordability concerns. </w:t>
      </w:r>
    </w:p>
    <w:p w:rsidRPr="00A05ECF" w:rsidR="00CC0F81" w:rsidP="002328D8" w:rsidRDefault="00CC0F81" w14:paraId="35ACE4FB" w14:textId="364FE605">
      <w:pPr>
        <w:pStyle w:val="10sp0"/>
        <w:spacing w:before="240" w:after="0" w:line="276" w:lineRule="auto"/>
        <w:rPr>
          <w:rFonts w:ascii="Palatino Linotype" w:hAnsi="Palatino Linotype"/>
          <w:color w:val="000000" w:themeColor="text1"/>
        </w:rPr>
      </w:pPr>
      <w:r w:rsidRPr="00A05ECF">
        <w:rPr>
          <w:rFonts w:ascii="Palatino Linotype" w:hAnsi="Palatino Linotype"/>
          <w:color w:val="000000" w:themeColor="text1"/>
        </w:rPr>
        <w:t>In addition to addressing compliance issues, SoCalGas shall make the following revisions to its 2026 Plan to provide greater clarity to align with requirements:</w:t>
      </w:r>
    </w:p>
    <w:p w:rsidRPr="00A05ECF" w:rsidR="00CC0F81" w:rsidP="00477204" w:rsidRDefault="00CC0F81" w14:paraId="44D94507" w14:textId="0B52435D">
      <w:pPr>
        <w:pStyle w:val="10sp0"/>
        <w:numPr>
          <w:ilvl w:val="0"/>
          <w:numId w:val="25"/>
        </w:numPr>
        <w:spacing w:after="0" w:line="276" w:lineRule="auto"/>
        <w:rPr>
          <w:rFonts w:ascii="Palatino Linotype" w:hAnsi="Palatino Linotype"/>
          <w:color w:val="000000" w:themeColor="text1"/>
        </w:rPr>
      </w:pPr>
      <w:r w:rsidRPr="00A05ECF">
        <w:rPr>
          <w:rFonts w:ascii="Palatino Linotype" w:hAnsi="Palatino Linotype"/>
          <w:color w:val="000000" w:themeColor="text1"/>
        </w:rPr>
        <w:t>Indicate the program area across the product development cycle</w:t>
      </w:r>
      <w:r w:rsidR="00A273D3">
        <w:rPr>
          <w:rFonts w:ascii="Palatino Linotype" w:hAnsi="Palatino Linotype"/>
          <w:color w:val="000000" w:themeColor="text1"/>
        </w:rPr>
        <w:t>,</w:t>
      </w:r>
      <w:r w:rsidRPr="00A05ECF">
        <w:rPr>
          <w:rFonts w:ascii="Palatino Linotype" w:hAnsi="Palatino Linotype"/>
          <w:color w:val="000000" w:themeColor="text1"/>
        </w:rPr>
        <w:t xml:space="preserve"> detailed in Appendix D of this Resolution</w:t>
      </w:r>
      <w:r w:rsidR="00A273D3">
        <w:rPr>
          <w:rFonts w:ascii="Palatino Linotype" w:hAnsi="Palatino Linotype"/>
          <w:color w:val="000000" w:themeColor="text1"/>
        </w:rPr>
        <w:t>,</w:t>
      </w:r>
      <w:r w:rsidR="00A273D3">
        <w:rPr>
          <w:rStyle w:val="FootnoteReference"/>
          <w:rFonts w:ascii="Palatino Linotype" w:hAnsi="Palatino Linotype"/>
          <w:color w:val="000000" w:themeColor="text1"/>
        </w:rPr>
        <w:footnoteReference w:id="131"/>
      </w:r>
      <w:r w:rsidRPr="00A05ECF">
        <w:rPr>
          <w:rFonts w:ascii="Palatino Linotype" w:hAnsi="Palatino Linotype"/>
          <w:color w:val="000000" w:themeColor="text1"/>
        </w:rPr>
        <w:t xml:space="preserve"> associated with each listed Research Topics for further clarity on anticipated outputs from Initiatives.</w:t>
      </w:r>
    </w:p>
    <w:p w:rsidRPr="00A05ECF" w:rsidR="00060A50" w:rsidP="00477204" w:rsidRDefault="008C018F" w14:paraId="6BDEEEB8" w14:textId="516D0987">
      <w:pPr>
        <w:pStyle w:val="10sp0"/>
        <w:numPr>
          <w:ilvl w:val="0"/>
          <w:numId w:val="25"/>
        </w:numPr>
        <w:spacing w:after="0" w:line="276" w:lineRule="auto"/>
        <w:rPr>
          <w:rFonts w:ascii="Palatino Linotype" w:hAnsi="Palatino Linotype"/>
          <w:color w:val="000000" w:themeColor="text1"/>
        </w:rPr>
      </w:pPr>
      <w:r w:rsidRPr="00A05ECF">
        <w:rPr>
          <w:rFonts w:ascii="Palatino Linotype" w:hAnsi="Palatino Linotype"/>
          <w:color w:val="000000" w:themeColor="text1"/>
        </w:rPr>
        <w:t xml:space="preserve">Identify </w:t>
      </w:r>
      <w:r w:rsidRPr="00A05ECF" w:rsidR="009B3DF2">
        <w:rPr>
          <w:rFonts w:ascii="Palatino Linotype" w:hAnsi="Palatino Linotype"/>
          <w:color w:val="000000" w:themeColor="text1"/>
        </w:rPr>
        <w:t xml:space="preserve">which of the proposed future project areas are anticipated to be funded </w:t>
      </w:r>
      <w:r w:rsidRPr="00A05ECF" w:rsidR="008F2615">
        <w:rPr>
          <w:rFonts w:ascii="Palatino Linotype" w:hAnsi="Palatino Linotype"/>
          <w:color w:val="000000" w:themeColor="text1"/>
        </w:rPr>
        <w:t xml:space="preserve">through consortia. </w:t>
      </w:r>
      <w:r w:rsidRPr="00A05ECF" w:rsidR="009B3DF2">
        <w:rPr>
          <w:rFonts w:ascii="Palatino Linotype" w:hAnsi="Palatino Linotype"/>
          <w:color w:val="000000" w:themeColor="text1"/>
        </w:rPr>
        <w:t xml:space="preserve"> </w:t>
      </w:r>
    </w:p>
    <w:p w:rsidRPr="00A05ECF" w:rsidR="00CC0F81" w:rsidP="00477204" w:rsidRDefault="00CC0F81" w14:paraId="5E3A0132" w14:textId="6AC4D426">
      <w:pPr>
        <w:pStyle w:val="10sp0"/>
        <w:numPr>
          <w:ilvl w:val="0"/>
          <w:numId w:val="25"/>
        </w:numPr>
        <w:spacing w:after="0" w:line="276" w:lineRule="auto"/>
        <w:rPr>
          <w:rFonts w:ascii="Palatino Linotype" w:hAnsi="Palatino Linotype"/>
          <w:color w:val="000000" w:themeColor="text1"/>
        </w:rPr>
      </w:pPr>
      <w:r w:rsidRPr="00A05ECF">
        <w:rPr>
          <w:rFonts w:ascii="Palatino Linotype" w:hAnsi="Palatino Linotype"/>
          <w:color w:val="000000" w:themeColor="text1"/>
        </w:rPr>
        <w:t xml:space="preserve">Prioritize zero-emission systems as opposed to low-emission systems under its </w:t>
      </w:r>
      <w:r w:rsidRPr="00A05ECF">
        <w:rPr>
          <w:rFonts w:ascii="Palatino Linotype" w:hAnsi="Palatino Linotype"/>
          <w:i/>
          <w:iCs/>
          <w:color w:val="000000" w:themeColor="text1"/>
        </w:rPr>
        <w:t>Low-Carbon Fuel Technologies</w:t>
      </w:r>
      <w:r w:rsidRPr="00A05ECF" w:rsidR="00AF1F5B">
        <w:rPr>
          <w:rFonts w:ascii="Palatino Linotype" w:hAnsi="Palatino Linotype"/>
          <w:i/>
          <w:iCs/>
          <w:color w:val="000000" w:themeColor="text1"/>
        </w:rPr>
        <w:t xml:space="preserve"> </w:t>
      </w:r>
      <w:r w:rsidRPr="00A05ECF">
        <w:rPr>
          <w:rFonts w:ascii="Palatino Linotype" w:hAnsi="Palatino Linotype"/>
          <w:color w:val="000000" w:themeColor="text1"/>
        </w:rPr>
        <w:t>Initiative</w:t>
      </w:r>
      <w:r w:rsidRPr="00A05ECF" w:rsidR="00AF1F5B">
        <w:rPr>
          <w:rStyle w:val="FootnoteReference"/>
          <w:rFonts w:ascii="Palatino Linotype" w:hAnsi="Palatino Linotype"/>
          <w:i/>
          <w:iCs/>
          <w:color w:val="000000" w:themeColor="text1"/>
        </w:rPr>
        <w:footnoteReference w:id="132"/>
      </w:r>
      <w:r w:rsidRPr="00A05ECF" w:rsidR="00AF1F5B">
        <w:rPr>
          <w:rFonts w:ascii="Palatino Linotype" w:hAnsi="Palatino Linotype"/>
          <w:color w:val="000000" w:themeColor="text1"/>
        </w:rPr>
        <w:t xml:space="preserve"> </w:t>
      </w:r>
      <w:r w:rsidRPr="00A05ECF">
        <w:rPr>
          <w:rFonts w:ascii="Palatino Linotype" w:hAnsi="Palatino Linotype"/>
          <w:color w:val="000000" w:themeColor="text1"/>
        </w:rPr>
        <w:t>and e</w:t>
      </w:r>
      <w:r w:rsidRPr="00A05ECF">
        <w:rPr>
          <w:rFonts w:ascii="Palatino Linotype" w:hAnsi="Palatino Linotype" w:eastAsia="Palatino Linotype" w:cs="Palatino Linotype"/>
          <w:color w:val="000000" w:themeColor="text1"/>
        </w:rPr>
        <w:t xml:space="preserve">liminating as opposed to reducing flaring from some biogas production facilities under its </w:t>
      </w:r>
      <w:r w:rsidRPr="00A05ECF">
        <w:rPr>
          <w:rFonts w:ascii="Palatino Linotype" w:hAnsi="Palatino Linotype" w:eastAsia="Palatino Linotype" w:cs="Palatino Linotype"/>
          <w:i/>
          <w:color w:val="000000" w:themeColor="text1"/>
        </w:rPr>
        <w:t>RNG Infrastructure Optimization</w:t>
      </w:r>
      <w:r w:rsidRPr="00A05ECF">
        <w:rPr>
          <w:rFonts w:ascii="Palatino Linotype" w:hAnsi="Palatino Linotype" w:eastAsia="Palatino Linotype" w:cs="Palatino Linotype"/>
          <w:color w:val="000000" w:themeColor="text1"/>
        </w:rPr>
        <w:t xml:space="preserve"> Initiative</w:t>
      </w:r>
      <w:r w:rsidRPr="00A05ECF" w:rsidR="0035356D">
        <w:rPr>
          <w:rStyle w:val="FootnoteReference"/>
          <w:rFonts w:ascii="Palatino Linotype" w:hAnsi="Palatino Linotype" w:eastAsia="Palatino Linotype" w:cs="Palatino Linotype"/>
          <w:color w:val="000000" w:themeColor="text1"/>
        </w:rPr>
        <w:footnoteReference w:id="133"/>
      </w:r>
      <w:r w:rsidRPr="00A05ECF" w:rsidR="00427287">
        <w:rPr>
          <w:rFonts w:ascii="Palatino Linotype" w:hAnsi="Palatino Linotype" w:eastAsia="Palatino Linotype" w:cs="Palatino Linotype"/>
          <w:color w:val="000000" w:themeColor="text1"/>
        </w:rPr>
        <w:t xml:space="preserve"> wherever possible.</w:t>
      </w:r>
      <w:r w:rsidRPr="00A05ECF" w:rsidR="00946019">
        <w:rPr>
          <w:rFonts w:ascii="Palatino Linotype" w:hAnsi="Palatino Linotype" w:eastAsia="Palatino Linotype" w:cs="Palatino Linotype"/>
          <w:color w:val="000000" w:themeColor="text1"/>
        </w:rPr>
        <w:t xml:space="preserve"> Otherwise, explain why zero-emission research is not possible.</w:t>
      </w:r>
    </w:p>
    <w:p w:rsidRPr="00FA7A8A" w:rsidR="00142242" w:rsidP="00846463" w:rsidRDefault="00170A19" w14:paraId="573CC1B8" w14:textId="578A2A4C">
      <w:pPr>
        <w:spacing w:before="240" w:after="0"/>
        <w:rPr>
          <w:rFonts w:ascii="Palatino Linotype" w:hAnsi="Palatino Linotype" w:eastAsia="SimSun" w:cs="Times New Roman"/>
          <w:color w:val="000000" w:themeColor="text1"/>
        </w:rPr>
      </w:pPr>
      <w:r w:rsidRPr="00FA7A8A">
        <w:rPr>
          <w:rFonts w:ascii="Palatino Linotype" w:hAnsi="Palatino Linotype"/>
          <w:color w:val="000000" w:themeColor="text1"/>
        </w:rPr>
        <w:t>T</w:t>
      </w:r>
      <w:r w:rsidRPr="00FA7A8A" w:rsidR="00846463">
        <w:rPr>
          <w:rFonts w:ascii="Palatino Linotype" w:hAnsi="Palatino Linotype"/>
          <w:color w:val="000000" w:themeColor="text1"/>
        </w:rPr>
        <w:t>o demonstrate continued compliance with and fulfillment of requirements, SoCalGas shall provide further detail upon project implementation in project final reports and its Annual Reports to demonstrate how results are measured and utilized in alignment with State goals,</w:t>
      </w:r>
      <w:r w:rsidRPr="00FA7A8A" w:rsidR="00846463">
        <w:rPr>
          <w:rStyle w:val="FootnoteReference"/>
          <w:rFonts w:ascii="Palatino Linotype" w:hAnsi="Palatino Linotype"/>
          <w:color w:val="000000" w:themeColor="text1"/>
        </w:rPr>
        <w:footnoteReference w:id="134"/>
      </w:r>
      <w:r w:rsidRPr="00FA7A8A" w:rsidR="00846463">
        <w:rPr>
          <w:rFonts w:ascii="Palatino Linotype" w:hAnsi="Palatino Linotype"/>
          <w:color w:val="000000" w:themeColor="text1"/>
        </w:rPr>
        <w:t xml:space="preserve"> clearly articulate impact analyses resulting from the described methods, and describe lessons learned.</w:t>
      </w:r>
      <w:r w:rsidRPr="00FA7A8A" w:rsidR="00846463">
        <w:rPr>
          <w:rStyle w:val="FootnoteReference"/>
          <w:rFonts w:ascii="Palatino Linotype" w:hAnsi="Palatino Linotype"/>
          <w:color w:val="000000" w:themeColor="text1"/>
        </w:rPr>
        <w:footnoteReference w:id="135"/>
      </w:r>
    </w:p>
    <w:p w:rsidRPr="00FA7A8A" w:rsidR="00CC2F77" w:rsidP="00CC2F77" w:rsidRDefault="006C36F2" w14:paraId="5B907DEE" w14:textId="3397A357">
      <w:pPr>
        <w:pStyle w:val="10sp0"/>
        <w:spacing w:before="240" w:after="0" w:line="276" w:lineRule="auto"/>
        <w:rPr>
          <w:rFonts w:ascii="Palatino Linotype" w:hAnsi="Palatino Linotype"/>
          <w:color w:val="000000" w:themeColor="text1"/>
        </w:rPr>
      </w:pPr>
      <w:r w:rsidRPr="00FA7A8A">
        <w:rPr>
          <w:rFonts w:ascii="Palatino Linotype" w:hAnsi="Palatino Linotype"/>
          <w:color w:val="000000" w:themeColor="text1"/>
        </w:rPr>
        <w:lastRenderedPageBreak/>
        <w:t xml:space="preserve">The Commission also notes concerns voiced by stakeholders during the February 2026 Joint Administrator Workshop related to biomethane and RNG RD&amp;D activities. The Commission requires SoCalGas to seek out and consider input from ESJ communities in its strategic planning as well as in assessing and demonstrating benefits to these communities from RD&amp;D investments. Thus, the Commission directs SoCalGas, and any project contractor, to consult vulnerable communities, such as workers, tenants, </w:t>
      </w:r>
      <w:r w:rsidRPr="60C19D2C">
        <w:rPr>
          <w:rFonts w:ascii="Palatino Linotype" w:hAnsi="Palatino Linotype"/>
          <w:color w:val="000000" w:themeColor="text1"/>
        </w:rPr>
        <w:t>and</w:t>
      </w:r>
      <w:r w:rsidRPr="00FA7A8A">
        <w:rPr>
          <w:rFonts w:ascii="Palatino Linotype" w:hAnsi="Palatino Linotype"/>
          <w:color w:val="000000" w:themeColor="text1"/>
        </w:rPr>
        <w:t xml:space="preserve"> frontline communities near gas facilities, on project </w:t>
      </w:r>
      <w:proofErr w:type="gramStart"/>
      <w:r w:rsidRPr="00FA7A8A">
        <w:rPr>
          <w:rFonts w:ascii="Palatino Linotype" w:hAnsi="Palatino Linotype"/>
          <w:color w:val="000000" w:themeColor="text1"/>
        </w:rPr>
        <w:t>siting</w:t>
      </w:r>
      <w:proofErr w:type="gramEnd"/>
      <w:r w:rsidRPr="00FA7A8A">
        <w:rPr>
          <w:rFonts w:ascii="Palatino Linotype" w:hAnsi="Palatino Linotype"/>
          <w:color w:val="000000" w:themeColor="text1"/>
        </w:rPr>
        <w:t xml:space="preserve"> to prevent exacerbating existing issues and inequities, particularly from projects with unknown</w:t>
      </w:r>
      <w:r>
        <w:rPr>
          <w:rFonts w:ascii="Palatino Linotype" w:hAnsi="Palatino Linotype"/>
          <w:color w:val="000000" w:themeColor="text1"/>
        </w:rPr>
        <w:t xml:space="preserve"> and potentially harmful</w:t>
      </w:r>
      <w:r w:rsidRPr="00FA7A8A">
        <w:rPr>
          <w:rFonts w:ascii="Palatino Linotype" w:hAnsi="Palatino Linotype"/>
          <w:color w:val="000000" w:themeColor="text1"/>
        </w:rPr>
        <w:t xml:space="preserve"> impacts. SoCalGas should educate vulnerable communities on advanced technologies as appropriate to address community concerns. Further, SoCalGas should summarize the concerns of communities and describe how these concerns are addressed in Annual Plans and correlated Annual Reports. Through this process, the Commission seeks to strategically leverage RD&amp;D funding to balance policy imperatives of innovation with community concerns and benefits, including in the CPUC’s Biomethane Procurement Cost Allocation proceeding</w:t>
      </w:r>
      <w:r w:rsidRPr="00FA7A8A" w:rsidR="00CC2F77">
        <w:rPr>
          <w:rFonts w:ascii="Palatino Linotype" w:hAnsi="Palatino Linotype"/>
          <w:color w:val="000000" w:themeColor="text1"/>
        </w:rPr>
        <w:t>.</w:t>
      </w:r>
      <w:r w:rsidRPr="00FA7A8A" w:rsidR="00CC2F77">
        <w:rPr>
          <w:rStyle w:val="FootnoteReference"/>
          <w:rFonts w:ascii="Palatino Linotype" w:hAnsi="Palatino Linotype"/>
          <w:color w:val="000000" w:themeColor="text1"/>
        </w:rPr>
        <w:footnoteReference w:id="136"/>
      </w:r>
    </w:p>
    <w:p w:rsidRPr="00CC2F77" w:rsidR="00CC2F77" w:rsidP="00A05ECF" w:rsidRDefault="00CC2F77" w14:paraId="30DD12E6" w14:textId="77777777">
      <w:pPr>
        <w:pStyle w:val="10sp0"/>
        <w:spacing w:after="0" w:line="276" w:lineRule="auto"/>
        <w:rPr>
          <w:rFonts w:ascii="Palatino Linotype" w:hAnsi="Palatino Linotype"/>
          <w:color w:val="0070C0"/>
          <w:szCs w:val="24"/>
        </w:rPr>
      </w:pPr>
    </w:p>
    <w:p w:rsidRPr="00142242" w:rsidR="00C25B99" w:rsidP="00C25B99" w:rsidRDefault="00C25B99" w14:paraId="1F956BA7" w14:textId="089F1FB8">
      <w:pPr>
        <w:pStyle w:val="10sp0"/>
        <w:spacing w:line="276" w:lineRule="auto"/>
        <w:rPr>
          <w:rFonts w:ascii="Palatino Linotype" w:hAnsi="Palatino Linotype"/>
          <w:color w:val="000000" w:themeColor="text1"/>
          <w:u w:val="single"/>
        </w:rPr>
      </w:pPr>
      <w:r w:rsidRPr="00142242">
        <w:rPr>
          <w:rFonts w:ascii="Palatino Linotype" w:hAnsi="Palatino Linotype"/>
          <w:color w:val="000000" w:themeColor="text1"/>
          <w:u w:val="single"/>
        </w:rPr>
        <w:t>Resubmittal of SoCalGas’ 2027 Plan</w:t>
      </w:r>
    </w:p>
    <w:p w:rsidRPr="00142242" w:rsidR="00A709D7" w:rsidP="00C25B99" w:rsidRDefault="00A709D7" w14:paraId="3F16A4ED" w14:textId="329D313E">
      <w:pPr>
        <w:pStyle w:val="10sp0"/>
        <w:spacing w:after="0" w:line="276" w:lineRule="auto"/>
        <w:rPr>
          <w:rFonts w:ascii="Palatino Linotype" w:hAnsi="Palatino Linotype"/>
          <w:color w:val="000000" w:themeColor="text1"/>
        </w:rPr>
      </w:pPr>
      <w:r w:rsidRPr="00A709D7">
        <w:rPr>
          <w:rFonts w:ascii="Palatino Linotype" w:hAnsi="Palatino Linotype"/>
          <w:color w:val="000000" w:themeColor="text1"/>
        </w:rPr>
        <w:t>The Commission authorizes a budget of $</w:t>
      </w:r>
      <w:r>
        <w:rPr>
          <w:rFonts w:ascii="Palatino Linotype" w:hAnsi="Palatino Linotype"/>
          <w:color w:val="000000" w:themeColor="text1"/>
        </w:rPr>
        <w:t>19,508,100</w:t>
      </w:r>
      <w:r w:rsidRPr="00A709D7">
        <w:rPr>
          <w:rFonts w:ascii="Palatino Linotype" w:hAnsi="Palatino Linotype"/>
          <w:color w:val="000000" w:themeColor="text1"/>
        </w:rPr>
        <w:t xml:space="preserve"> for </w:t>
      </w:r>
      <w:r>
        <w:rPr>
          <w:rFonts w:ascii="Palatino Linotype" w:hAnsi="Palatino Linotype"/>
          <w:color w:val="000000" w:themeColor="text1"/>
        </w:rPr>
        <w:t>SoCalGas’ 2027</w:t>
      </w:r>
      <w:r w:rsidRPr="00A709D7">
        <w:rPr>
          <w:rFonts w:ascii="Palatino Linotype" w:hAnsi="Palatino Linotype"/>
          <w:color w:val="000000" w:themeColor="text1"/>
        </w:rPr>
        <w:t xml:space="preserve"> Plan as detailed in Appendix </w:t>
      </w:r>
      <w:r>
        <w:rPr>
          <w:rFonts w:ascii="Palatino Linotype" w:hAnsi="Palatino Linotype"/>
          <w:color w:val="000000" w:themeColor="text1"/>
        </w:rPr>
        <w:t>J</w:t>
      </w:r>
      <w:r w:rsidRPr="00A709D7">
        <w:rPr>
          <w:rFonts w:ascii="Palatino Linotype" w:hAnsi="Palatino Linotype"/>
          <w:color w:val="000000" w:themeColor="text1"/>
        </w:rPr>
        <w:t>, including a Program Administration budget of $</w:t>
      </w:r>
      <w:r>
        <w:rPr>
          <w:rFonts w:ascii="Palatino Linotype" w:hAnsi="Palatino Linotype"/>
          <w:color w:val="000000" w:themeColor="text1"/>
        </w:rPr>
        <w:t>1,950,8</w:t>
      </w:r>
      <w:r w:rsidR="009658D3">
        <w:rPr>
          <w:rFonts w:ascii="Palatino Linotype" w:hAnsi="Palatino Linotype"/>
          <w:color w:val="000000" w:themeColor="text1"/>
        </w:rPr>
        <w:t>0</w:t>
      </w:r>
      <w:r>
        <w:rPr>
          <w:rFonts w:ascii="Palatino Linotype" w:hAnsi="Palatino Linotype"/>
          <w:color w:val="000000" w:themeColor="text1"/>
        </w:rPr>
        <w:t>0</w:t>
      </w:r>
      <w:r w:rsidRPr="00A709D7">
        <w:rPr>
          <w:rFonts w:ascii="Palatino Linotype" w:hAnsi="Palatino Linotype"/>
          <w:color w:val="000000" w:themeColor="text1"/>
        </w:rPr>
        <w:t xml:space="preserve">. The Commission’s authorization of </w:t>
      </w:r>
      <w:r>
        <w:rPr>
          <w:rFonts w:ascii="Palatino Linotype" w:hAnsi="Palatino Linotype"/>
          <w:color w:val="000000" w:themeColor="text1"/>
        </w:rPr>
        <w:t xml:space="preserve">SoCalGas’ 2027 </w:t>
      </w:r>
      <w:r w:rsidRPr="00A709D7">
        <w:rPr>
          <w:rFonts w:ascii="Palatino Linotype" w:hAnsi="Palatino Linotype"/>
          <w:color w:val="000000" w:themeColor="text1"/>
        </w:rPr>
        <w:t xml:space="preserve">Gas RD&amp;D Plan budget level requires </w:t>
      </w:r>
      <w:r>
        <w:rPr>
          <w:rFonts w:ascii="Palatino Linotype" w:hAnsi="Palatino Linotype"/>
          <w:color w:val="000000" w:themeColor="text1"/>
        </w:rPr>
        <w:t>SoCalGas</w:t>
      </w:r>
      <w:r w:rsidRPr="00A709D7">
        <w:rPr>
          <w:rFonts w:ascii="Palatino Linotype" w:hAnsi="Palatino Linotype"/>
          <w:color w:val="000000" w:themeColor="text1"/>
        </w:rPr>
        <w:t xml:space="preserve"> to submit a revised 202</w:t>
      </w:r>
      <w:r>
        <w:rPr>
          <w:rFonts w:ascii="Palatino Linotype" w:hAnsi="Palatino Linotype"/>
          <w:color w:val="000000" w:themeColor="text1"/>
        </w:rPr>
        <w:t>7</w:t>
      </w:r>
      <w:r w:rsidRPr="00A709D7">
        <w:rPr>
          <w:rFonts w:ascii="Palatino Linotype" w:hAnsi="Palatino Linotype"/>
          <w:color w:val="000000" w:themeColor="text1"/>
        </w:rPr>
        <w:t xml:space="preserve"> Plan via Tier 2 AL within 60 days addressing the identified compliance issues requiring modifications</w:t>
      </w:r>
      <w:r>
        <w:rPr>
          <w:rFonts w:ascii="Palatino Linotype" w:hAnsi="Palatino Linotype"/>
          <w:color w:val="000000" w:themeColor="text1"/>
        </w:rPr>
        <w:t>.</w:t>
      </w:r>
    </w:p>
    <w:p w:rsidR="002211FC" w:rsidP="00C36AA5" w:rsidRDefault="002211FC" w14:paraId="0C25D696" w14:textId="77777777">
      <w:pPr>
        <w:spacing w:line="276" w:lineRule="auto"/>
        <w:contextualSpacing/>
        <w:rPr>
          <w:rFonts w:ascii="Palatino Linotype" w:hAnsi="Palatino Linotype" w:eastAsia="Palatino Linotype" w:cs="Times New Roman"/>
          <w:color w:val="A6A6A6" w:themeColor="background1" w:themeShade="A6"/>
          <w:kern w:val="0"/>
          <w14:ligatures w14:val="none"/>
        </w:rPr>
      </w:pPr>
    </w:p>
    <w:p w:rsidRPr="00C36AA5" w:rsidR="00047877" w:rsidP="00C36AA5" w:rsidRDefault="00047877" w14:paraId="06955971" w14:textId="7104EC2A">
      <w:pPr>
        <w:spacing w:before="240" w:after="0" w:line="276" w:lineRule="auto"/>
        <w:rPr>
          <w:rFonts w:ascii="Palatino Linotype" w:hAnsi="Palatino Linotype" w:eastAsia="Palatino Linotype" w:cs="Times New Roman"/>
          <w:b/>
          <w:bCs/>
          <w:color w:val="000000" w:themeColor="text1"/>
          <w:kern w:val="0"/>
          <w14:ligatures w14:val="none"/>
        </w:rPr>
      </w:pPr>
      <w:r w:rsidRPr="00B375B5">
        <w:rPr>
          <w:rFonts w:ascii="Palatino Linotype" w:hAnsi="Palatino Linotype" w:eastAsia="Palatino Linotype" w:cs="Times New Roman"/>
          <w:b/>
          <w:bCs/>
          <w:color w:val="000000" w:themeColor="text1"/>
          <w:kern w:val="0"/>
          <w14:ligatures w14:val="none"/>
        </w:rPr>
        <w:t>Consolidated Guidance for Future SoCalGas Gas RD&amp;D Compliance Filings</w:t>
      </w:r>
    </w:p>
    <w:p w:rsidR="00AD130B" w:rsidP="00C36AA5" w:rsidRDefault="008028A3" w14:paraId="4B0BA24D" w14:textId="08F6E06F">
      <w:pPr>
        <w:spacing w:before="240" w:after="0"/>
        <w:rPr>
          <w:rFonts w:ascii="Palatino Linotype" w:hAnsi="Palatino Linotype"/>
        </w:rPr>
      </w:pPr>
      <w:r w:rsidRPr="008028A3">
        <w:rPr>
          <w:rFonts w:ascii="Palatino Linotype" w:hAnsi="Palatino Linotype"/>
        </w:rPr>
        <w:t xml:space="preserve">The Commission details the following requirements for </w:t>
      </w:r>
      <w:proofErr w:type="gramStart"/>
      <w:r w:rsidRPr="008028A3">
        <w:rPr>
          <w:rFonts w:ascii="Palatino Linotype" w:hAnsi="Palatino Linotype"/>
        </w:rPr>
        <w:t>the efficient</w:t>
      </w:r>
      <w:proofErr w:type="gramEnd"/>
      <w:r w:rsidRPr="008028A3">
        <w:rPr>
          <w:rFonts w:ascii="Palatino Linotype" w:hAnsi="Palatino Linotype"/>
        </w:rPr>
        <w:t xml:space="preserve"> development, streamlined review, and effective implementation of future proposed Gas RD&amp;D Plans.</w:t>
      </w:r>
      <w:r w:rsidR="00C36AA5">
        <w:rPr>
          <w:rFonts w:ascii="Palatino Linotype" w:hAnsi="Palatino Linotype"/>
        </w:rPr>
        <w:t xml:space="preserve"> </w:t>
      </w:r>
      <w:r w:rsidRPr="00B97446" w:rsidR="00B97446">
        <w:rPr>
          <w:rFonts w:ascii="Palatino Linotype" w:hAnsi="Palatino Linotype"/>
        </w:rPr>
        <w:t xml:space="preserve">The Commission set requirements for SoCalGas’ </w:t>
      </w:r>
      <w:proofErr w:type="gramStart"/>
      <w:r w:rsidRPr="00B97446" w:rsidR="00B97446">
        <w:rPr>
          <w:rFonts w:ascii="Palatino Linotype" w:hAnsi="Palatino Linotype"/>
        </w:rPr>
        <w:t>Gas RD&amp;D</w:t>
      </w:r>
      <w:proofErr w:type="gramEnd"/>
      <w:r w:rsidRPr="00B97446" w:rsidR="00B97446">
        <w:rPr>
          <w:rFonts w:ascii="Palatino Linotype" w:hAnsi="Palatino Linotype"/>
        </w:rPr>
        <w:t xml:space="preserve"> Program via </w:t>
      </w:r>
      <w:r w:rsidR="00AD130B">
        <w:rPr>
          <w:rFonts w:ascii="Palatino Linotype" w:hAnsi="Palatino Linotype"/>
        </w:rPr>
        <w:t xml:space="preserve">decisions and </w:t>
      </w:r>
      <w:r w:rsidRPr="00B97446" w:rsidR="00B97446">
        <w:rPr>
          <w:rFonts w:ascii="Palatino Linotype" w:hAnsi="Palatino Linotype"/>
        </w:rPr>
        <w:t>resolutions approving SoCalGas’ Gas RD&amp;D Plans, beginning in 20</w:t>
      </w:r>
      <w:r w:rsidR="00AD130B">
        <w:rPr>
          <w:rFonts w:ascii="Palatino Linotype" w:hAnsi="Palatino Linotype"/>
        </w:rPr>
        <w:t>19.</w:t>
      </w:r>
      <w:r w:rsidRPr="008028A3" w:rsidR="00AD130B">
        <w:rPr>
          <w:rFonts w:ascii="Palatino Linotype" w:hAnsi="Palatino Linotype"/>
        </w:rPr>
        <w:t xml:space="preserve"> </w:t>
      </w:r>
      <w:r w:rsidR="00AD130B">
        <w:rPr>
          <w:rFonts w:ascii="Palatino Linotype" w:hAnsi="Palatino Linotype"/>
        </w:rPr>
        <w:t>A</w:t>
      </w:r>
      <w:r w:rsidRPr="008028A3" w:rsidR="00AD130B">
        <w:rPr>
          <w:rFonts w:ascii="Palatino Linotype" w:hAnsi="Palatino Linotype"/>
        </w:rPr>
        <w:t xml:space="preserve">ll of </w:t>
      </w:r>
      <w:r w:rsidR="00AD130B">
        <w:rPr>
          <w:rFonts w:ascii="Palatino Linotype" w:hAnsi="Palatino Linotype"/>
        </w:rPr>
        <w:t>these</w:t>
      </w:r>
      <w:r w:rsidRPr="008028A3" w:rsidR="00AD130B">
        <w:rPr>
          <w:rFonts w:ascii="Palatino Linotype" w:hAnsi="Palatino Linotype"/>
        </w:rPr>
        <w:t xml:space="preserve"> were rigorously reviewed by Energy Division staff.</w:t>
      </w:r>
      <w:r w:rsidRPr="00AD130B" w:rsidR="00AD130B">
        <w:rPr>
          <w:rFonts w:ascii="Palatino Linotype" w:hAnsi="Palatino Linotype"/>
        </w:rPr>
        <w:t xml:space="preserve"> </w:t>
      </w:r>
      <w:r w:rsidRPr="008028A3" w:rsidR="00AD130B">
        <w:rPr>
          <w:rFonts w:ascii="Palatino Linotype" w:hAnsi="Palatino Linotype"/>
        </w:rPr>
        <w:t>This Resolution provides this consolidated list of program</w:t>
      </w:r>
      <w:r w:rsidR="00AD130B">
        <w:rPr>
          <w:rFonts w:ascii="Palatino Linotype" w:hAnsi="Palatino Linotype"/>
        </w:rPr>
        <w:t xml:space="preserve"> </w:t>
      </w:r>
      <w:r w:rsidRPr="00E7170E" w:rsidR="00AD130B">
        <w:rPr>
          <w:rFonts w:ascii="Palatino Linotype" w:hAnsi="Palatino Linotype"/>
        </w:rPr>
        <w:t xml:space="preserve">requirements based on the reviewed prior decisions and </w:t>
      </w:r>
      <w:r w:rsidRPr="00E7170E" w:rsidR="00AD130B">
        <w:rPr>
          <w:rFonts w:ascii="Palatino Linotype" w:hAnsi="Palatino Linotype"/>
        </w:rPr>
        <w:lastRenderedPageBreak/>
        <w:t xml:space="preserve">resolutions as well as </w:t>
      </w:r>
      <w:proofErr w:type="gramStart"/>
      <w:r w:rsidRPr="00E7170E" w:rsidR="00AD130B">
        <w:rPr>
          <w:rFonts w:ascii="Palatino Linotype" w:hAnsi="Palatino Linotype"/>
        </w:rPr>
        <w:t>establishes</w:t>
      </w:r>
      <w:proofErr w:type="gramEnd"/>
      <w:r w:rsidRPr="00E7170E" w:rsidR="00AD130B">
        <w:rPr>
          <w:rFonts w:ascii="Palatino Linotype" w:hAnsi="Palatino Linotype"/>
        </w:rPr>
        <w:t xml:space="preserve"> new requirements for improved Commission oversight.</w:t>
      </w:r>
    </w:p>
    <w:p w:rsidRPr="00510AFB" w:rsidR="00B97446" w:rsidP="00F97978" w:rsidRDefault="00B97446" w14:paraId="06B10B5F" w14:textId="77777777">
      <w:pPr>
        <w:spacing w:after="0" w:line="276" w:lineRule="auto"/>
        <w:rPr>
          <w:rFonts w:ascii="Palatino Linotype" w:hAnsi="Palatino Linotype" w:eastAsia="Palatino Linotype" w:cs="Times New Roman"/>
          <w:b/>
          <w:bCs/>
          <w:color w:val="000000" w:themeColor="text1"/>
          <w:kern w:val="0"/>
          <w14:ligatures w14:val="none"/>
        </w:rPr>
      </w:pPr>
    </w:p>
    <w:p w:rsidRPr="00510AFB" w:rsidR="00A9448A" w:rsidP="00F97978" w:rsidRDefault="00A9448A" w14:paraId="64F64306" w14:textId="77777777">
      <w:pPr>
        <w:spacing w:after="0" w:line="276" w:lineRule="auto"/>
        <w:rPr>
          <w:rFonts w:ascii="Palatino Linotype" w:hAnsi="Palatino Linotype" w:eastAsia="Palatino Linotype" w:cs="Times New Roman"/>
          <w:color w:val="000000" w:themeColor="text1"/>
          <w:kern w:val="0"/>
          <w:u w:val="single"/>
          <w14:ligatures w14:val="none"/>
        </w:rPr>
      </w:pPr>
      <w:r w:rsidRPr="00510AFB">
        <w:rPr>
          <w:rFonts w:ascii="Palatino Linotype" w:hAnsi="Palatino Linotype" w:eastAsia="Palatino Linotype" w:cs="Times New Roman"/>
          <w:color w:val="000000" w:themeColor="text1"/>
          <w:kern w:val="0"/>
          <w:u w:val="single"/>
          <w14:ligatures w14:val="none"/>
        </w:rPr>
        <w:t xml:space="preserve">Annual Investment Planning </w:t>
      </w:r>
    </w:p>
    <w:p w:rsidRPr="00510AFB" w:rsidR="00A9448A" w:rsidP="00510AFB" w:rsidRDefault="00A9448A" w14:paraId="03185283" w14:textId="7EA6ED9B">
      <w:pPr>
        <w:spacing w:before="240" w:line="276" w:lineRule="auto"/>
        <w:rPr>
          <w:rFonts w:ascii="Palatino Linotype" w:hAnsi="Palatino Linotype" w:eastAsia="Palatino Linotype" w:cs="Times New Roman"/>
          <w:i/>
          <w:iCs/>
          <w:color w:val="000000" w:themeColor="text1"/>
          <w:kern w:val="0"/>
          <w14:ligatures w14:val="none"/>
        </w:rPr>
      </w:pPr>
      <w:r w:rsidRPr="00510AFB">
        <w:rPr>
          <w:rFonts w:ascii="Palatino Linotype" w:hAnsi="Palatino Linotype" w:eastAsia="Palatino Linotype" w:cs="Times New Roman"/>
          <w:i/>
          <w:iCs/>
          <w:color w:val="000000" w:themeColor="text1"/>
          <w:kern w:val="0"/>
          <w14:ligatures w14:val="none"/>
        </w:rPr>
        <w:t xml:space="preserve">Initiative Criteria </w:t>
      </w:r>
    </w:p>
    <w:p w:rsidRPr="00510AFB" w:rsidR="00A9448A" w:rsidP="00F97978" w:rsidRDefault="00A9448A" w14:paraId="36560FB0" w14:textId="72A960A3">
      <w:p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color w:val="000000" w:themeColor="text1"/>
          <w:kern w:val="0"/>
          <w14:ligatures w14:val="none"/>
        </w:rPr>
        <w:t xml:space="preserve">SoCalGas </w:t>
      </w:r>
      <w:proofErr w:type="gramStart"/>
      <w:r w:rsidRPr="00510AFB">
        <w:rPr>
          <w:rFonts w:ascii="Palatino Linotype" w:hAnsi="Palatino Linotype" w:eastAsia="Palatino Linotype" w:cs="Times New Roman"/>
          <w:color w:val="000000" w:themeColor="text1"/>
          <w:kern w:val="0"/>
          <w14:ligatures w14:val="none"/>
        </w:rPr>
        <w:t>shall</w:t>
      </w:r>
      <w:proofErr w:type="gramEnd"/>
      <w:r w:rsidRPr="00510AFB">
        <w:rPr>
          <w:rFonts w:ascii="Palatino Linotype" w:hAnsi="Palatino Linotype" w:eastAsia="Palatino Linotype" w:cs="Times New Roman"/>
          <w:color w:val="000000" w:themeColor="text1"/>
          <w:kern w:val="0"/>
          <w14:ligatures w14:val="none"/>
        </w:rPr>
        <w:t xml:space="preserve"> develop and propose Gas RD&amp;D investments at the Initiative level and demonstrate the following for each, consistent with Commission guidance (see Appendix </w:t>
      </w:r>
      <w:r w:rsidR="00510AFB">
        <w:rPr>
          <w:rFonts w:ascii="Palatino Linotype" w:hAnsi="Palatino Linotype" w:eastAsia="Palatino Linotype" w:cs="Times New Roman"/>
          <w:color w:val="000000" w:themeColor="text1"/>
          <w:kern w:val="0"/>
          <w14:ligatures w14:val="none"/>
        </w:rPr>
        <w:t>E</w:t>
      </w:r>
      <w:r w:rsidRPr="00510AFB">
        <w:rPr>
          <w:rFonts w:ascii="Palatino Linotype" w:hAnsi="Palatino Linotype" w:eastAsia="Palatino Linotype" w:cs="Times New Roman"/>
          <w:color w:val="000000" w:themeColor="text1"/>
          <w:kern w:val="0"/>
          <w14:ligatures w14:val="none"/>
        </w:rPr>
        <w:t xml:space="preserve">): </w:t>
      </w:r>
    </w:p>
    <w:p w:rsidRPr="00510AFB" w:rsidR="00A9448A" w:rsidP="00477204" w:rsidRDefault="00A9448A" w14:paraId="50C68583" w14:textId="5729830F">
      <w:pPr>
        <w:pStyle w:val="ListParagraph"/>
        <w:numPr>
          <w:ilvl w:val="0"/>
          <w:numId w:val="19"/>
        </w:num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b/>
          <w:bCs/>
          <w:color w:val="000000" w:themeColor="text1"/>
          <w:kern w:val="0"/>
          <w14:ligatures w14:val="none"/>
        </w:rPr>
        <w:t>Policy Priority</w:t>
      </w:r>
      <w:r w:rsidRPr="00510AFB">
        <w:rPr>
          <w:rFonts w:ascii="Palatino Linotype" w:hAnsi="Palatino Linotype" w:eastAsia="Palatino Linotype" w:cs="Times New Roman"/>
          <w:color w:val="000000" w:themeColor="text1"/>
          <w:kern w:val="0"/>
          <w14:ligatures w14:val="none"/>
        </w:rPr>
        <w:t>: Alignment with and prioritization of critical gaps and needs identified in specific CPUC policies and proceedings, which support State goals, informed by consultation with CPUC staff on targeted policy objectives.</w:t>
      </w:r>
      <w:r w:rsidR="003D4A88">
        <w:rPr>
          <w:rStyle w:val="FootnoteReference"/>
          <w:rFonts w:ascii="Palatino Linotype" w:hAnsi="Palatino Linotype" w:eastAsia="Palatino Linotype" w:cs="Times New Roman"/>
          <w:color w:val="000000" w:themeColor="text1"/>
          <w:kern w:val="0"/>
          <w14:ligatures w14:val="none"/>
        </w:rPr>
        <w:footnoteReference w:id="137"/>
      </w:r>
    </w:p>
    <w:p w:rsidRPr="00510AFB" w:rsidR="00A9448A" w:rsidP="00477204" w:rsidRDefault="00A9448A" w14:paraId="2B68290A" w14:textId="66C3A9F5">
      <w:pPr>
        <w:pStyle w:val="ListParagraph"/>
        <w:numPr>
          <w:ilvl w:val="0"/>
          <w:numId w:val="19"/>
        </w:num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b/>
          <w:bCs/>
          <w:color w:val="000000" w:themeColor="text1"/>
          <w:kern w:val="0"/>
          <w14:ligatures w14:val="none"/>
        </w:rPr>
        <w:t>Identified Need</w:t>
      </w:r>
      <w:r w:rsidRPr="00510AFB">
        <w:rPr>
          <w:rFonts w:ascii="Palatino Linotype" w:hAnsi="Palatino Linotype" w:eastAsia="Palatino Linotype" w:cs="Times New Roman"/>
          <w:color w:val="000000" w:themeColor="text1"/>
          <w:kern w:val="0"/>
          <w14:ligatures w14:val="none"/>
        </w:rPr>
        <w:t>: Innovation and differentiation from existing RD&amp;D activities to support complementary rather than duplicative efforts, informed by specific consultation with other Gas RD&amp;D Administrators</w:t>
      </w:r>
      <w:r w:rsidR="000D4AFC">
        <w:rPr>
          <w:rFonts w:ascii="Palatino Linotype" w:hAnsi="Palatino Linotype" w:eastAsia="Palatino Linotype" w:cs="Times New Roman"/>
          <w:color w:val="000000" w:themeColor="text1"/>
          <w:kern w:val="0"/>
          <w14:ligatures w14:val="none"/>
        </w:rPr>
        <w:t xml:space="preserve"> as well as broader industry RD&amp;D activities</w:t>
      </w:r>
      <w:r w:rsidRPr="00510AFB">
        <w:rPr>
          <w:rFonts w:ascii="Palatino Linotype" w:hAnsi="Palatino Linotype" w:eastAsia="Palatino Linotype" w:cs="Times New Roman"/>
          <w:color w:val="000000" w:themeColor="text1"/>
          <w:kern w:val="0"/>
          <w14:ligatures w14:val="none"/>
        </w:rPr>
        <w:t xml:space="preserve">. Demonstrate that the Initiative will leverage existing </w:t>
      </w:r>
      <w:r w:rsidR="002D7BF3">
        <w:rPr>
          <w:rFonts w:ascii="Palatino Linotype" w:hAnsi="Palatino Linotype" w:eastAsia="Palatino Linotype" w:cs="Times New Roman"/>
          <w:color w:val="000000" w:themeColor="text1"/>
          <w:kern w:val="0"/>
          <w14:ligatures w14:val="none"/>
        </w:rPr>
        <w:t xml:space="preserve">RD&amp;D </w:t>
      </w:r>
      <w:r w:rsidRPr="00510AFB">
        <w:rPr>
          <w:rFonts w:ascii="Palatino Linotype" w:hAnsi="Palatino Linotype" w:eastAsia="Palatino Linotype" w:cs="Times New Roman"/>
          <w:color w:val="000000" w:themeColor="text1"/>
          <w:kern w:val="0"/>
          <w14:ligatures w14:val="none"/>
        </w:rPr>
        <w:t xml:space="preserve">progress while providing distinct additional value. </w:t>
      </w:r>
    </w:p>
    <w:p w:rsidRPr="001873C5" w:rsidR="00A9448A" w:rsidP="00477204" w:rsidRDefault="00A9448A" w14:paraId="005A22A3" w14:textId="4163DF3F">
      <w:pPr>
        <w:pStyle w:val="ListParagraph"/>
        <w:numPr>
          <w:ilvl w:val="0"/>
          <w:numId w:val="19"/>
        </w:num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b/>
          <w:bCs/>
          <w:color w:val="000000" w:themeColor="text1"/>
          <w:kern w:val="0"/>
          <w14:ligatures w14:val="none"/>
        </w:rPr>
        <w:t>Proposed Solution</w:t>
      </w:r>
      <w:r w:rsidRPr="00510AFB">
        <w:rPr>
          <w:rFonts w:ascii="Palatino Linotype" w:hAnsi="Palatino Linotype" w:eastAsia="Palatino Linotype" w:cs="Times New Roman"/>
          <w:color w:val="000000" w:themeColor="text1"/>
          <w:kern w:val="0"/>
          <w14:ligatures w14:val="none"/>
        </w:rPr>
        <w:t xml:space="preserve">: Describe Research Topics, anticipated near-term project outputs commensurate with the proposed funding level, and intended pathways to scale, commercialize, and otherwise utilize results from RD&amp;D activities to promote technology transfer and market facilitation. </w:t>
      </w:r>
    </w:p>
    <w:p w:rsidRPr="00510AFB" w:rsidR="00A9448A" w:rsidP="00477204" w:rsidRDefault="00A9448A" w14:paraId="65EBD56B" w14:textId="77777777">
      <w:pPr>
        <w:pStyle w:val="ListParagraph"/>
        <w:numPr>
          <w:ilvl w:val="0"/>
          <w:numId w:val="19"/>
        </w:num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b/>
          <w:bCs/>
          <w:color w:val="000000" w:themeColor="text1"/>
          <w:kern w:val="0"/>
          <w14:ligatures w14:val="none"/>
        </w:rPr>
        <w:t>Anticipated Impacts</w:t>
      </w:r>
      <w:r w:rsidRPr="00510AFB">
        <w:rPr>
          <w:rFonts w:ascii="Palatino Linotype" w:hAnsi="Palatino Linotype" w:eastAsia="Palatino Linotype" w:cs="Times New Roman"/>
          <w:color w:val="000000" w:themeColor="text1"/>
          <w:kern w:val="0"/>
          <w14:ligatures w14:val="none"/>
        </w:rPr>
        <w:t xml:space="preserve">: </w:t>
      </w:r>
    </w:p>
    <w:p w:rsidRPr="00510AFB" w:rsidR="00A9448A" w:rsidP="00477204" w:rsidRDefault="00A9448A" w14:paraId="249B744A" w14:textId="0A5C3661">
      <w:pPr>
        <w:pStyle w:val="ListParagraph"/>
        <w:numPr>
          <w:ilvl w:val="1"/>
          <w:numId w:val="19"/>
        </w:num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color w:val="000000" w:themeColor="text1"/>
          <w:kern w:val="0"/>
          <w14:ligatures w14:val="none"/>
        </w:rPr>
        <w:t xml:space="preserve">Reasonable probability of providing California ratepayer benefit by locating projects in the State of California and detailed planned methodologies for tracking and evaluating quantitative impacts from investments </w:t>
      </w:r>
      <w:proofErr w:type="gramStart"/>
      <w:r w:rsidRPr="00510AFB">
        <w:rPr>
          <w:rFonts w:ascii="Palatino Linotype" w:hAnsi="Palatino Linotype" w:eastAsia="Palatino Linotype" w:cs="Times New Roman"/>
          <w:color w:val="000000" w:themeColor="text1"/>
          <w:kern w:val="0"/>
          <w14:ligatures w14:val="none"/>
        </w:rPr>
        <w:t>through the use of</w:t>
      </w:r>
      <w:proofErr w:type="gramEnd"/>
      <w:r w:rsidRPr="00510AFB">
        <w:rPr>
          <w:rFonts w:ascii="Palatino Linotype" w:hAnsi="Palatino Linotype" w:eastAsia="Palatino Linotype" w:cs="Times New Roman"/>
          <w:color w:val="000000" w:themeColor="text1"/>
          <w:kern w:val="0"/>
          <w14:ligatures w14:val="none"/>
        </w:rPr>
        <w:t xml:space="preserve"> the EPIC Program’s Uniform Impacts Analysis Foundational Principles.</w:t>
      </w:r>
    </w:p>
    <w:p w:rsidRPr="00510AFB" w:rsidR="00A9448A" w:rsidP="00477204" w:rsidRDefault="00A9448A" w14:paraId="47050CE8" w14:textId="5C96E9FD">
      <w:pPr>
        <w:pStyle w:val="ListParagraph"/>
        <w:numPr>
          <w:ilvl w:val="1"/>
          <w:numId w:val="19"/>
        </w:num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color w:val="000000" w:themeColor="text1"/>
          <w:kern w:val="0"/>
          <w14:ligatures w14:val="none"/>
        </w:rPr>
        <w:t>Cost-effectiveness and protection of affordability to ratepayers.</w:t>
      </w:r>
    </w:p>
    <w:p w:rsidRPr="00510AFB" w:rsidR="00F85CDE" w:rsidP="00477204" w:rsidRDefault="00F85CDE" w14:paraId="1191BD67" w14:textId="12BCF694">
      <w:pPr>
        <w:pStyle w:val="ListParagraph"/>
        <w:numPr>
          <w:ilvl w:val="1"/>
          <w:numId w:val="19"/>
        </w:numPr>
        <w:spacing w:after="0" w:line="276" w:lineRule="auto"/>
        <w:rPr>
          <w:rFonts w:ascii="Palatino Linotype" w:hAnsi="Palatino Linotype" w:eastAsia="Palatino Linotype" w:cs="Times New Roman"/>
          <w:color w:val="000000" w:themeColor="text1"/>
          <w:kern w:val="0"/>
          <w14:ligatures w14:val="none"/>
        </w:rPr>
      </w:pPr>
      <w:r w:rsidRPr="00510AFB">
        <w:rPr>
          <w:rFonts w:ascii="Palatino Linotype" w:hAnsi="Palatino Linotype" w:eastAsia="Palatino Linotype" w:cs="Times New Roman"/>
          <w:color w:val="000000" w:themeColor="text1"/>
          <w:kern w:val="0"/>
          <w14:ligatures w14:val="none"/>
        </w:rPr>
        <w:lastRenderedPageBreak/>
        <w:t>Promote equity and provide benefits to Environmental &amp; Social Justice (ESJ) communities, informed by consultation with community-based organizations (CBOs) and the Commission’s most current ESJ Action Plan.</w:t>
      </w:r>
    </w:p>
    <w:p w:rsidRPr="00CC45DC" w:rsidR="00B97446" w:rsidP="00F97978" w:rsidRDefault="00B97446" w14:paraId="1DB31BCD" w14:textId="77777777">
      <w:pPr>
        <w:spacing w:after="0" w:line="276" w:lineRule="auto"/>
        <w:rPr>
          <w:rFonts w:ascii="Palatino Linotype" w:hAnsi="Palatino Linotype" w:eastAsia="Palatino Linotype" w:cs="Times New Roman"/>
          <w:color w:val="000000" w:themeColor="text1"/>
          <w:kern w:val="0"/>
          <w14:ligatures w14:val="none"/>
        </w:rPr>
      </w:pPr>
    </w:p>
    <w:p w:rsidRPr="00CC45DC" w:rsidR="00CC45DC" w:rsidP="00F97978" w:rsidRDefault="00CC45DC" w14:paraId="0BE600FB" w14:textId="77777777">
      <w:pPr>
        <w:spacing w:after="0" w:line="276" w:lineRule="auto"/>
        <w:rPr>
          <w:rFonts w:ascii="Palatino Linotype" w:hAnsi="Palatino Linotype" w:eastAsia="Palatino Linotype" w:cs="Times New Roman"/>
          <w:i/>
          <w:iCs/>
          <w:color w:val="000000" w:themeColor="text1"/>
          <w:kern w:val="0"/>
          <w14:ligatures w14:val="none"/>
        </w:rPr>
      </w:pPr>
      <w:r w:rsidRPr="00CC45DC">
        <w:rPr>
          <w:rFonts w:ascii="Palatino Linotype" w:hAnsi="Palatino Linotype" w:eastAsia="Palatino Linotype" w:cs="Times New Roman"/>
          <w:i/>
          <w:iCs/>
          <w:color w:val="000000" w:themeColor="text1"/>
          <w:kern w:val="0"/>
          <w14:ligatures w14:val="none"/>
        </w:rPr>
        <w:t xml:space="preserve">Pre-Submittal Consultation </w:t>
      </w:r>
    </w:p>
    <w:p w:rsidRPr="00CC45DC" w:rsidR="00CC45DC" w:rsidP="00CC45DC" w:rsidRDefault="00CC45DC" w14:paraId="22597B62" w14:textId="1501D45C">
      <w:pPr>
        <w:spacing w:before="240" w:line="276" w:lineRule="auto"/>
        <w:rPr>
          <w:rFonts w:ascii="Palatino Linotype" w:hAnsi="Palatino Linotype" w:eastAsia="Palatino Linotype" w:cs="Times New Roman"/>
          <w:color w:val="000000" w:themeColor="text1"/>
          <w:kern w:val="0"/>
          <w14:ligatures w14:val="none"/>
        </w:rPr>
      </w:pPr>
      <w:r w:rsidRPr="00CC45DC">
        <w:rPr>
          <w:rFonts w:ascii="Palatino Linotype" w:hAnsi="Palatino Linotype" w:eastAsia="Palatino Linotype" w:cs="Times New Roman"/>
          <w:color w:val="000000" w:themeColor="text1"/>
          <w:kern w:val="0"/>
          <w14:ligatures w14:val="none"/>
        </w:rPr>
        <w:t xml:space="preserve">The refined, comprehensive pre-submittal consultation process detailed below promotes coordinated strategic planning across administrators to facilitate a holistic investment planning approach: </w:t>
      </w:r>
    </w:p>
    <w:p w:rsidRPr="007E7B6A" w:rsidR="00D845C2" w:rsidP="00477204" w:rsidRDefault="00CC45DC" w14:paraId="4D77755C" w14:textId="0D38BC54">
      <w:pPr>
        <w:pStyle w:val="ListParagraph"/>
        <w:numPr>
          <w:ilvl w:val="0"/>
          <w:numId w:val="16"/>
        </w:numPr>
        <w:spacing w:after="0" w:line="276" w:lineRule="auto"/>
        <w:rPr>
          <w:rFonts w:ascii="Palatino Linotype" w:hAnsi="Palatino Linotype" w:eastAsia="Palatino Linotype" w:cs="Times New Roman"/>
          <w:color w:val="000000" w:themeColor="text1"/>
          <w:kern w:val="0"/>
          <w14:ligatures w14:val="none"/>
        </w:rPr>
      </w:pPr>
      <w:r w:rsidRPr="00CC45DC">
        <w:rPr>
          <w:rFonts w:ascii="Palatino Linotype" w:hAnsi="Palatino Linotype" w:eastAsia="Palatino Linotype" w:cs="Times New Roman"/>
          <w:color w:val="000000" w:themeColor="text1"/>
          <w:kern w:val="0"/>
          <w14:ligatures w14:val="none"/>
        </w:rPr>
        <w:t xml:space="preserve">Intra-Administrator Coordination </w:t>
      </w:r>
    </w:p>
    <w:p w:rsidRPr="007E7B6A" w:rsidR="00E1619C" w:rsidP="0069515B" w:rsidRDefault="00BD2B43" w14:paraId="23D68BC1" w14:textId="0221A27F">
      <w:pPr>
        <w:spacing w:before="240" w:after="0" w:line="276" w:lineRule="auto"/>
        <w:ind w:left="1080"/>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SoCalGas</w:t>
      </w:r>
      <w:r w:rsidRPr="007E7B6A" w:rsidR="00CC45DC">
        <w:rPr>
          <w:rFonts w:ascii="Palatino Linotype" w:hAnsi="Palatino Linotype" w:eastAsia="Palatino Linotype" w:cs="Times New Roman"/>
          <w:color w:val="000000" w:themeColor="text1"/>
          <w:kern w:val="0"/>
          <w14:ligatures w14:val="none"/>
        </w:rPr>
        <w:t xml:space="preserve"> shall be proactive in collaborating with the IOU Gas RD&amp;D administrators, </w:t>
      </w:r>
      <w:r>
        <w:rPr>
          <w:rFonts w:ascii="Palatino Linotype" w:hAnsi="Palatino Linotype" w:eastAsia="Palatino Linotype" w:cs="Times New Roman"/>
          <w:color w:val="000000" w:themeColor="text1"/>
          <w:kern w:val="0"/>
          <w14:ligatures w14:val="none"/>
        </w:rPr>
        <w:t xml:space="preserve">the California Energy Commission (CEC) and </w:t>
      </w:r>
      <w:r w:rsidRPr="007E7B6A" w:rsidR="00CC45DC">
        <w:rPr>
          <w:rFonts w:ascii="Palatino Linotype" w:hAnsi="Palatino Linotype" w:eastAsia="Palatino Linotype" w:cs="Times New Roman"/>
          <w:color w:val="000000" w:themeColor="text1"/>
          <w:kern w:val="0"/>
          <w14:ligatures w14:val="none"/>
        </w:rPr>
        <w:t>Pacific Gas &amp; Electric (PG&amp;E)</w:t>
      </w:r>
      <w:r>
        <w:rPr>
          <w:rFonts w:ascii="Palatino Linotype" w:hAnsi="Palatino Linotype" w:eastAsia="Palatino Linotype" w:cs="Times New Roman"/>
          <w:color w:val="000000" w:themeColor="text1"/>
          <w:kern w:val="0"/>
          <w14:ligatures w14:val="none"/>
        </w:rPr>
        <w:t xml:space="preserve">, </w:t>
      </w:r>
      <w:r w:rsidRPr="007E7B6A" w:rsidR="00CC45DC">
        <w:rPr>
          <w:rFonts w:ascii="Palatino Linotype" w:hAnsi="Palatino Linotype" w:eastAsia="Palatino Linotype" w:cs="Times New Roman"/>
          <w:color w:val="000000" w:themeColor="text1"/>
          <w:kern w:val="0"/>
          <w14:ligatures w14:val="none"/>
        </w:rPr>
        <w:t>to promote and demonstrate strategically coordinated and complementary</w:t>
      </w:r>
      <w:r w:rsidRPr="7510854C" w:rsidR="008B0E7C">
        <w:rPr>
          <w:rFonts w:ascii="Palatino Linotype" w:hAnsi="Palatino Linotype" w:eastAsia="Palatino Linotype" w:cs="Times New Roman"/>
          <w:color w:val="000000" w:themeColor="text1"/>
        </w:rPr>
        <w:t>,</w:t>
      </w:r>
      <w:r w:rsidRPr="007E7B6A" w:rsidR="00CC45DC">
        <w:rPr>
          <w:rFonts w:ascii="Palatino Linotype" w:hAnsi="Palatino Linotype" w:eastAsia="Palatino Linotype" w:cs="Times New Roman"/>
          <w:color w:val="000000" w:themeColor="text1"/>
          <w:kern w:val="0"/>
          <w14:ligatures w14:val="none"/>
        </w:rPr>
        <w:t xml:space="preserve"> rather than duplicative</w:t>
      </w:r>
      <w:r w:rsidRPr="7510854C" w:rsidR="008B0E7C">
        <w:rPr>
          <w:rFonts w:ascii="Palatino Linotype" w:hAnsi="Palatino Linotype" w:eastAsia="Palatino Linotype" w:cs="Times New Roman"/>
          <w:color w:val="000000" w:themeColor="text1"/>
        </w:rPr>
        <w:t>,</w:t>
      </w:r>
      <w:r w:rsidRPr="007E7B6A" w:rsidR="00CC45DC">
        <w:rPr>
          <w:rFonts w:ascii="Palatino Linotype" w:hAnsi="Palatino Linotype" w:eastAsia="Palatino Linotype" w:cs="Times New Roman"/>
          <w:color w:val="000000" w:themeColor="text1"/>
          <w:kern w:val="0"/>
          <w14:ligatures w14:val="none"/>
        </w:rPr>
        <w:t xml:space="preserve"> RD&amp;D activities.</w:t>
      </w:r>
      <w:r w:rsidR="002F2161">
        <w:rPr>
          <w:rStyle w:val="FootnoteReference"/>
          <w:rFonts w:ascii="Palatino Linotype" w:hAnsi="Palatino Linotype" w:eastAsia="Palatino Linotype" w:cs="Times New Roman"/>
          <w:color w:val="000000" w:themeColor="text1"/>
          <w:kern w:val="0"/>
          <w14:ligatures w14:val="none"/>
        </w:rPr>
        <w:footnoteReference w:id="138"/>
      </w:r>
      <w:r w:rsidRPr="007E7B6A" w:rsidR="00CC45DC">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SoCalGas</w:t>
      </w:r>
      <w:r w:rsidRPr="007E7B6A">
        <w:rPr>
          <w:rFonts w:ascii="Palatino Linotype" w:hAnsi="Palatino Linotype" w:eastAsia="Palatino Linotype" w:cs="Times New Roman"/>
          <w:color w:val="000000" w:themeColor="text1"/>
          <w:kern w:val="0"/>
          <w14:ligatures w14:val="none"/>
        </w:rPr>
        <w:t xml:space="preserve"> </w:t>
      </w:r>
      <w:r w:rsidRPr="007E7B6A" w:rsidR="00CC45DC">
        <w:rPr>
          <w:rFonts w:ascii="Palatino Linotype" w:hAnsi="Palatino Linotype" w:eastAsia="Palatino Linotype" w:cs="Times New Roman"/>
          <w:color w:val="000000" w:themeColor="text1"/>
          <w:kern w:val="0"/>
          <w14:ligatures w14:val="none"/>
        </w:rPr>
        <w:t>shall document this coordination in its Gas RD&amp;D Plans at the Initiative level, including by differentiating proposed Initiatives from similar activities, demonstrating how research outcomes inform future proposals, and defining each participant’s specific intended role for each proposed Initiative.</w:t>
      </w:r>
    </w:p>
    <w:p w:rsidRPr="00E1619C" w:rsidR="00E1619C" w:rsidP="00561E52" w:rsidRDefault="00E1619C" w14:paraId="6B0FE3AE" w14:textId="77777777">
      <w:pPr>
        <w:pStyle w:val="ListParagraph"/>
        <w:spacing w:after="0" w:line="276" w:lineRule="auto"/>
        <w:ind w:left="1080"/>
        <w:rPr>
          <w:rFonts w:ascii="Palatino Linotype" w:hAnsi="Palatino Linotype" w:eastAsia="Palatino Linotype" w:cs="Times New Roman"/>
          <w:color w:val="000000" w:themeColor="text1"/>
          <w:kern w:val="0"/>
          <w14:ligatures w14:val="none"/>
        </w:rPr>
      </w:pPr>
    </w:p>
    <w:p w:rsidRPr="007E7B6A" w:rsidR="00D845C2" w:rsidP="00477204" w:rsidRDefault="00CC45DC" w14:paraId="235BAAA5" w14:textId="482BE7C7">
      <w:pPr>
        <w:pStyle w:val="ListParagraph"/>
        <w:numPr>
          <w:ilvl w:val="0"/>
          <w:numId w:val="16"/>
        </w:numPr>
        <w:spacing w:after="0" w:line="276" w:lineRule="auto"/>
        <w:rPr>
          <w:rFonts w:ascii="Palatino Linotype" w:hAnsi="Palatino Linotype" w:eastAsia="Palatino Linotype" w:cs="Times New Roman"/>
          <w:color w:val="000000" w:themeColor="text1"/>
          <w:kern w:val="0"/>
          <w14:ligatures w14:val="none"/>
        </w:rPr>
      </w:pPr>
      <w:r w:rsidRPr="00CC45DC">
        <w:rPr>
          <w:rFonts w:ascii="Palatino Linotype" w:hAnsi="Palatino Linotype" w:eastAsia="Palatino Linotype" w:cs="Times New Roman"/>
          <w:color w:val="000000" w:themeColor="text1"/>
          <w:kern w:val="0"/>
          <w14:ligatures w14:val="none"/>
        </w:rPr>
        <w:t xml:space="preserve">Pre-Submittal Consultation with CPUC Subject Matter Experts (SMEs) </w:t>
      </w:r>
    </w:p>
    <w:p w:rsidRPr="007E7B6A" w:rsidR="00696A2E" w:rsidP="0069515B" w:rsidRDefault="00BD2B43" w14:paraId="5DEF64E2" w14:textId="2967A58C">
      <w:pPr>
        <w:spacing w:before="240" w:after="0" w:line="276" w:lineRule="auto"/>
        <w:ind w:left="1080"/>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SoCalGas</w:t>
      </w:r>
      <w:r w:rsidRPr="007E7B6A">
        <w:rPr>
          <w:rFonts w:ascii="Palatino Linotype" w:hAnsi="Palatino Linotype" w:eastAsia="Palatino Linotype" w:cs="Times New Roman"/>
          <w:color w:val="000000" w:themeColor="text1"/>
          <w:kern w:val="0"/>
          <w14:ligatures w14:val="none"/>
        </w:rPr>
        <w:t xml:space="preserve"> </w:t>
      </w:r>
      <w:r w:rsidRPr="007E7B6A" w:rsidR="00CC45DC">
        <w:rPr>
          <w:rFonts w:ascii="Palatino Linotype" w:hAnsi="Palatino Linotype" w:eastAsia="Palatino Linotype" w:cs="Times New Roman"/>
          <w:color w:val="000000" w:themeColor="text1"/>
          <w:kern w:val="0"/>
          <w14:ligatures w14:val="none"/>
        </w:rPr>
        <w:t xml:space="preserve">shall consult with Energy Division </w:t>
      </w:r>
      <w:r w:rsidRPr="7510854C" w:rsidR="00D935BD">
        <w:rPr>
          <w:rFonts w:ascii="Palatino Linotype" w:hAnsi="Palatino Linotype" w:eastAsia="Palatino Linotype" w:cs="Times New Roman"/>
          <w:color w:val="000000" w:themeColor="text1"/>
        </w:rPr>
        <w:t xml:space="preserve">subject matter </w:t>
      </w:r>
      <w:r w:rsidRPr="007E7B6A" w:rsidR="00CC45DC">
        <w:rPr>
          <w:rFonts w:ascii="Palatino Linotype" w:hAnsi="Palatino Linotype" w:eastAsia="Palatino Linotype" w:cs="Times New Roman"/>
          <w:color w:val="000000" w:themeColor="text1"/>
          <w:kern w:val="0"/>
          <w14:ligatures w14:val="none"/>
        </w:rPr>
        <w:t>staff to seek and integrate feedback prior to Plan submittal, and this consultation shall be documented at the Initiative level in Plans.</w:t>
      </w:r>
      <w:r w:rsidR="00D845C2">
        <w:rPr>
          <w:rStyle w:val="FootnoteReference"/>
          <w:rFonts w:ascii="Palatino Linotype" w:hAnsi="Palatino Linotype" w:eastAsia="Palatino Linotype" w:cs="Times New Roman"/>
          <w:color w:val="000000" w:themeColor="text1"/>
          <w:kern w:val="0"/>
          <w14:ligatures w14:val="none"/>
        </w:rPr>
        <w:footnoteReference w:id="139"/>
      </w:r>
      <w:r w:rsidRPr="007E7B6A" w:rsidR="00D845C2">
        <w:rPr>
          <w:rFonts w:ascii="Palatino Linotype" w:hAnsi="Palatino Linotype" w:eastAsia="Palatino Linotype" w:cs="Times New Roman"/>
          <w:color w:val="000000" w:themeColor="text1"/>
          <w:kern w:val="0"/>
          <w14:ligatures w14:val="none"/>
        </w:rPr>
        <w:t xml:space="preserve"> </w:t>
      </w:r>
      <w:r w:rsidRPr="007E7B6A" w:rsidR="00CC45DC">
        <w:rPr>
          <w:rFonts w:ascii="Palatino Linotype" w:hAnsi="Palatino Linotype" w:eastAsia="Palatino Linotype" w:cs="Times New Roman"/>
          <w:color w:val="000000" w:themeColor="text1"/>
          <w:kern w:val="0"/>
          <w14:ligatures w14:val="none"/>
        </w:rPr>
        <w:t>This consultation is intended to promote ratepayer benefit and create efficiencies in the Commission’s Plan review and approval by proactively aligning proposed investments at the start of the process with priority Gas RD&amp;D-related</w:t>
      </w:r>
      <w:r w:rsidRPr="007E7B6A" w:rsidR="00E1619C">
        <w:rPr>
          <w:rFonts w:ascii="Palatino Linotype" w:hAnsi="Palatino Linotype" w:eastAsia="Palatino Linotype" w:cs="Times New Roman"/>
          <w:color w:val="000000" w:themeColor="text1"/>
          <w:kern w:val="0"/>
          <w14:ligatures w14:val="none"/>
        </w:rPr>
        <w:t xml:space="preserve"> technologies, market needs, and emerging opportunities as identified in CPUC proceedings and policies. </w:t>
      </w:r>
    </w:p>
    <w:p w:rsidRPr="007E7B6A" w:rsidR="00D01AC8" w:rsidP="0069515B" w:rsidRDefault="00D01AC8" w14:paraId="767D4FB0" w14:textId="6BAE0BD3">
      <w:pPr>
        <w:spacing w:before="240" w:after="0" w:line="276" w:lineRule="auto"/>
        <w:ind w:left="1080"/>
        <w:rPr>
          <w:rFonts w:ascii="Palatino Linotype" w:hAnsi="Palatino Linotype" w:eastAsia="Palatino Linotype" w:cs="Times New Roman"/>
          <w:color w:val="000000" w:themeColor="text1"/>
          <w:kern w:val="0"/>
          <w14:ligatures w14:val="none"/>
        </w:rPr>
      </w:pPr>
      <w:r w:rsidRPr="007E7B6A">
        <w:rPr>
          <w:rFonts w:ascii="Palatino Linotype" w:hAnsi="Palatino Linotype" w:eastAsia="Palatino Linotype" w:cs="Times New Roman"/>
          <w:color w:val="000000" w:themeColor="text1"/>
          <w:kern w:val="0"/>
          <w14:ligatures w14:val="none"/>
        </w:rPr>
        <w:lastRenderedPageBreak/>
        <w:t xml:space="preserve">SoCalGas </w:t>
      </w:r>
      <w:r w:rsidRPr="007E7B6A" w:rsidR="00E1619C">
        <w:rPr>
          <w:rFonts w:ascii="Palatino Linotype" w:hAnsi="Palatino Linotype" w:eastAsia="Palatino Linotype" w:cs="Times New Roman"/>
          <w:color w:val="000000" w:themeColor="text1"/>
          <w:kern w:val="0"/>
          <w14:ligatures w14:val="none"/>
        </w:rPr>
        <w:t xml:space="preserve">should also explain </w:t>
      </w:r>
      <w:r w:rsidRPr="7510854C" w:rsidR="00E92808">
        <w:rPr>
          <w:rFonts w:ascii="Palatino Linotype" w:hAnsi="Palatino Linotype" w:eastAsia="Palatino Linotype" w:cs="Times New Roman"/>
          <w:color w:val="000000" w:themeColor="text1"/>
        </w:rPr>
        <w:t xml:space="preserve">its </w:t>
      </w:r>
      <w:r w:rsidRPr="007E7B6A" w:rsidR="00E1619C">
        <w:rPr>
          <w:rFonts w:ascii="Palatino Linotype" w:hAnsi="Palatino Linotype" w:eastAsia="Palatino Linotype" w:cs="Times New Roman"/>
          <w:color w:val="000000" w:themeColor="text1"/>
          <w:kern w:val="0"/>
          <w14:ligatures w14:val="none"/>
        </w:rPr>
        <w:t>consultation and coordination where relevant with the EPIC program. The EPIC Strategic Goal of “Achieving 100% Net-Zero Carbon and the Coordinated Role of Gas” highlights the intrinsic link between gas and electric investment policy and planning, particularly involving electrification and decarbonization efforts. Greater collaboration among California RD&amp;D programs is necessary to identify and scale cost-effective strategies to provide ratepayer benefit and achieve “the last 10 percent of reaching the state’s goal to be carbon neutral by 2045 economy-wide."</w:t>
      </w:r>
      <w:r w:rsidR="00D76330">
        <w:rPr>
          <w:rStyle w:val="FootnoteReference"/>
          <w:rFonts w:ascii="Palatino Linotype" w:hAnsi="Palatino Linotype" w:eastAsia="Palatino Linotype" w:cs="Times New Roman"/>
          <w:color w:val="000000" w:themeColor="text1"/>
          <w:kern w:val="0"/>
          <w14:ligatures w14:val="none"/>
        </w:rPr>
        <w:footnoteReference w:id="140"/>
      </w:r>
      <w:r w:rsidRPr="007E7B6A" w:rsidR="00E1619C">
        <w:rPr>
          <w:rFonts w:ascii="Palatino Linotype" w:hAnsi="Palatino Linotype" w:eastAsia="Palatino Linotype" w:cs="Times New Roman"/>
          <w:color w:val="000000" w:themeColor="text1"/>
          <w:kern w:val="0"/>
          <w14:ligatures w14:val="none"/>
        </w:rPr>
        <w:t xml:space="preserve"> The CPUC’s Long-Term Gas Proceeding also concludes that, “[t]o achieve California’s decarbonization goals and effectuate an equitable gas transition, a coordinated, iterative, and long-term planning process will help the State agencies and utilities align initiatives related to gas system planning efforts and analytics.”</w:t>
      </w:r>
      <w:r w:rsidR="002D6C05">
        <w:rPr>
          <w:rStyle w:val="FootnoteReference"/>
          <w:rFonts w:ascii="Palatino Linotype" w:hAnsi="Palatino Linotype" w:eastAsia="Palatino Linotype" w:cs="Times New Roman"/>
          <w:color w:val="000000" w:themeColor="text1"/>
          <w:kern w:val="0"/>
          <w14:ligatures w14:val="none"/>
        </w:rPr>
        <w:footnoteReference w:id="141"/>
      </w:r>
      <w:r w:rsidRPr="007E7B6A" w:rsidR="00E1619C">
        <w:rPr>
          <w:rFonts w:ascii="Palatino Linotype" w:hAnsi="Palatino Linotype" w:eastAsia="Palatino Linotype" w:cs="Times New Roman"/>
          <w:color w:val="000000" w:themeColor="text1"/>
          <w:kern w:val="0"/>
          <w14:ligatures w14:val="none"/>
        </w:rPr>
        <w:t xml:space="preserve"> Thus</w:t>
      </w:r>
      <w:r w:rsidRPr="7510854C" w:rsidR="007750C1">
        <w:rPr>
          <w:rFonts w:ascii="Palatino Linotype" w:hAnsi="Palatino Linotype" w:eastAsia="Palatino Linotype" w:cs="Times New Roman"/>
          <w:color w:val="000000" w:themeColor="text1"/>
        </w:rPr>
        <w:t>,</w:t>
      </w:r>
      <w:r w:rsidRPr="007E7B6A" w:rsidR="00E1619C">
        <w:rPr>
          <w:rFonts w:ascii="Palatino Linotype" w:hAnsi="Palatino Linotype" w:eastAsia="Palatino Linotype" w:cs="Times New Roman"/>
          <w:color w:val="000000" w:themeColor="text1"/>
          <w:kern w:val="0"/>
          <w14:ligatures w14:val="none"/>
        </w:rPr>
        <w:t xml:space="preserve"> pre-submittal consultation with CPUC staff </w:t>
      </w:r>
      <w:r w:rsidR="00FC3BAE">
        <w:rPr>
          <w:rFonts w:ascii="Palatino Linotype" w:hAnsi="Palatino Linotype" w:eastAsia="Palatino Linotype" w:cs="Times New Roman"/>
          <w:color w:val="000000" w:themeColor="text1"/>
          <w:kern w:val="0"/>
          <w14:ligatures w14:val="none"/>
        </w:rPr>
        <w:t xml:space="preserve">should </w:t>
      </w:r>
      <w:r w:rsidRPr="007E7B6A" w:rsidR="00E1619C">
        <w:rPr>
          <w:rFonts w:ascii="Palatino Linotype" w:hAnsi="Palatino Linotype" w:eastAsia="Palatino Linotype" w:cs="Times New Roman"/>
          <w:color w:val="000000" w:themeColor="text1"/>
          <w:kern w:val="0"/>
          <w14:ligatures w14:val="none"/>
        </w:rPr>
        <w:t xml:space="preserve">be coordinated with other Gas RD&amp;D and EPIC administrators to promote efficiencies and strategic, holistic investment planning across programs, thereby maximizing the impacts of </w:t>
      </w:r>
      <w:r w:rsidRPr="7510854C" w:rsidR="00C0633B">
        <w:rPr>
          <w:rFonts w:ascii="Palatino Linotype" w:hAnsi="Palatino Linotype" w:eastAsia="Palatino Linotype" w:cs="Times New Roman"/>
          <w:color w:val="000000" w:themeColor="text1"/>
        </w:rPr>
        <w:t xml:space="preserve">ratepayers’ </w:t>
      </w:r>
      <w:r w:rsidRPr="007E7B6A" w:rsidR="00E1619C">
        <w:rPr>
          <w:rFonts w:ascii="Palatino Linotype" w:hAnsi="Palatino Linotype" w:eastAsia="Palatino Linotype" w:cs="Times New Roman"/>
          <w:color w:val="000000" w:themeColor="text1"/>
          <w:kern w:val="0"/>
          <w14:ligatures w14:val="none"/>
        </w:rPr>
        <w:t xml:space="preserve">investments. </w:t>
      </w:r>
    </w:p>
    <w:p w:rsidR="00D01AC8" w:rsidP="00D01AC8" w:rsidRDefault="00D01AC8" w14:paraId="5BB78CCB" w14:textId="77777777">
      <w:pPr>
        <w:pStyle w:val="ListParagraph"/>
        <w:spacing w:after="0" w:line="276" w:lineRule="auto"/>
        <w:ind w:left="1080"/>
        <w:rPr>
          <w:rFonts w:ascii="Palatino Linotype" w:hAnsi="Palatino Linotype" w:eastAsia="Palatino Linotype" w:cs="Times New Roman"/>
          <w:color w:val="000000" w:themeColor="text1"/>
          <w:kern w:val="0"/>
          <w14:ligatures w14:val="none"/>
        </w:rPr>
      </w:pPr>
    </w:p>
    <w:p w:rsidR="00D01AC8" w:rsidP="00477204" w:rsidRDefault="00E1619C" w14:paraId="4DD1B857" w14:textId="77777777">
      <w:pPr>
        <w:pStyle w:val="ListParagraph"/>
        <w:numPr>
          <w:ilvl w:val="0"/>
          <w:numId w:val="16"/>
        </w:numPr>
        <w:spacing w:after="0" w:line="276" w:lineRule="auto"/>
        <w:rPr>
          <w:rFonts w:ascii="Palatino Linotype" w:hAnsi="Palatino Linotype" w:eastAsia="Palatino Linotype" w:cs="Times New Roman"/>
          <w:color w:val="000000" w:themeColor="text1"/>
          <w:kern w:val="0"/>
          <w14:ligatures w14:val="none"/>
        </w:rPr>
      </w:pPr>
      <w:r w:rsidRPr="00E1619C">
        <w:rPr>
          <w:rFonts w:ascii="Palatino Linotype" w:hAnsi="Palatino Linotype" w:eastAsia="Palatino Linotype" w:cs="Times New Roman"/>
          <w:color w:val="000000" w:themeColor="text1"/>
          <w:kern w:val="0"/>
          <w14:ligatures w14:val="none"/>
        </w:rPr>
        <w:t xml:space="preserve">Public Workshop &amp; ESJ Consultation </w:t>
      </w:r>
    </w:p>
    <w:p w:rsidRPr="007E7B6A" w:rsidR="00CC45DC" w:rsidP="0069515B" w:rsidRDefault="00E1619C" w14:paraId="60369944" w14:textId="5E83E73F">
      <w:pPr>
        <w:spacing w:before="240" w:after="0" w:line="276" w:lineRule="auto"/>
        <w:ind w:left="1080"/>
        <w:rPr>
          <w:rFonts w:ascii="Palatino Linotype" w:hAnsi="Palatino Linotype" w:eastAsia="Palatino Linotype" w:cs="Times New Roman"/>
          <w:color w:val="000000" w:themeColor="text1"/>
          <w:kern w:val="0"/>
          <w14:ligatures w14:val="none"/>
        </w:rPr>
      </w:pPr>
      <w:r w:rsidRPr="007E7B6A">
        <w:rPr>
          <w:rFonts w:ascii="Palatino Linotype" w:hAnsi="Palatino Linotype" w:eastAsia="Palatino Linotype" w:cs="Times New Roman"/>
          <w:color w:val="000000" w:themeColor="text1"/>
          <w:kern w:val="0"/>
          <w14:ligatures w14:val="none"/>
        </w:rPr>
        <w:t xml:space="preserve">After receiving and integrating CPUC SME input to align with CPUC proceedings, </w:t>
      </w:r>
      <w:r w:rsidR="00BD2B43">
        <w:rPr>
          <w:rFonts w:ascii="Palatino Linotype" w:hAnsi="Palatino Linotype" w:eastAsia="Palatino Linotype" w:cs="Times New Roman"/>
          <w:color w:val="000000" w:themeColor="text1"/>
          <w:kern w:val="0"/>
          <w14:ligatures w14:val="none"/>
        </w:rPr>
        <w:t>SoCalGas</w:t>
      </w:r>
      <w:r w:rsidRPr="007E7B6A" w:rsidR="00BD2B43">
        <w:rPr>
          <w:rFonts w:ascii="Palatino Linotype" w:hAnsi="Palatino Linotype" w:eastAsia="Palatino Linotype" w:cs="Times New Roman"/>
          <w:color w:val="000000" w:themeColor="text1"/>
          <w:kern w:val="0"/>
          <w14:ligatures w14:val="none"/>
        </w:rPr>
        <w:t xml:space="preserve"> </w:t>
      </w:r>
      <w:r w:rsidRPr="007E7B6A">
        <w:rPr>
          <w:rFonts w:ascii="Palatino Linotype" w:hAnsi="Palatino Linotype" w:eastAsia="Palatino Linotype" w:cs="Times New Roman"/>
          <w:color w:val="000000" w:themeColor="text1"/>
          <w:kern w:val="0"/>
          <w14:ligatures w14:val="none"/>
        </w:rPr>
        <w:t>shall collaborate with the IOUs to hold a Joint Annual Public Workshop to present coordinated investment proposals for the upcoming year and obtain stakeholder input prior to Plan submittal.</w:t>
      </w:r>
      <w:r w:rsidR="00E75001">
        <w:rPr>
          <w:rStyle w:val="FootnoteReference"/>
          <w:rFonts w:ascii="Palatino Linotype" w:hAnsi="Palatino Linotype" w:eastAsia="Palatino Linotype" w:cs="Times New Roman"/>
          <w:color w:val="000000" w:themeColor="text1"/>
          <w:kern w:val="0"/>
          <w14:ligatures w14:val="none"/>
        </w:rPr>
        <w:footnoteReference w:id="142"/>
      </w:r>
      <w:r w:rsidRPr="007E7B6A">
        <w:rPr>
          <w:rFonts w:ascii="Palatino Linotype" w:hAnsi="Palatino Linotype" w:eastAsia="Palatino Linotype" w:cs="Times New Roman"/>
          <w:color w:val="000000" w:themeColor="text1"/>
          <w:kern w:val="0"/>
          <w14:ligatures w14:val="none"/>
        </w:rPr>
        <w:t xml:space="preserve"> At the workshop, </w:t>
      </w:r>
      <w:r w:rsidR="00BD2B43">
        <w:rPr>
          <w:rFonts w:ascii="Palatino Linotype" w:hAnsi="Palatino Linotype" w:eastAsia="Palatino Linotype" w:cs="Times New Roman"/>
          <w:color w:val="000000" w:themeColor="text1"/>
          <w:kern w:val="0"/>
          <w14:ligatures w14:val="none"/>
        </w:rPr>
        <w:t>SoCalGas</w:t>
      </w:r>
      <w:r w:rsidRPr="007E7B6A" w:rsidR="00BD2B43">
        <w:rPr>
          <w:rFonts w:ascii="Palatino Linotype" w:hAnsi="Palatino Linotype" w:eastAsia="Palatino Linotype" w:cs="Times New Roman"/>
          <w:color w:val="000000" w:themeColor="text1"/>
          <w:kern w:val="0"/>
          <w14:ligatures w14:val="none"/>
        </w:rPr>
        <w:t xml:space="preserve"> </w:t>
      </w:r>
      <w:r w:rsidRPr="007E7B6A">
        <w:rPr>
          <w:rFonts w:ascii="Palatino Linotype" w:hAnsi="Palatino Linotype" w:eastAsia="Palatino Linotype" w:cs="Times New Roman"/>
          <w:color w:val="000000" w:themeColor="text1"/>
          <w:kern w:val="0"/>
          <w14:ligatures w14:val="none"/>
        </w:rPr>
        <w:t xml:space="preserve">shall also present on outcomes from the previous year as reported in its Annual Report to promote transparency and accountability in demonstrating ratepayer benefit in addition to informing subsequent strategic investment planning. </w:t>
      </w:r>
      <w:r w:rsidR="00BD2B43">
        <w:rPr>
          <w:rFonts w:ascii="Palatino Linotype" w:hAnsi="Palatino Linotype" w:eastAsia="Palatino Linotype" w:cs="Times New Roman"/>
          <w:color w:val="000000" w:themeColor="text1"/>
          <w:kern w:val="0"/>
          <w14:ligatures w14:val="none"/>
        </w:rPr>
        <w:t>SoCalGas</w:t>
      </w:r>
      <w:r w:rsidRPr="007E7B6A" w:rsidR="00BD2B43">
        <w:rPr>
          <w:rFonts w:ascii="Palatino Linotype" w:hAnsi="Palatino Linotype" w:eastAsia="Palatino Linotype" w:cs="Times New Roman"/>
          <w:color w:val="000000" w:themeColor="text1"/>
          <w:kern w:val="0"/>
          <w14:ligatures w14:val="none"/>
        </w:rPr>
        <w:t xml:space="preserve"> </w:t>
      </w:r>
      <w:r w:rsidRPr="007E7B6A">
        <w:rPr>
          <w:rFonts w:ascii="Palatino Linotype" w:hAnsi="Palatino Linotype" w:eastAsia="Palatino Linotype" w:cs="Times New Roman"/>
          <w:color w:val="000000" w:themeColor="text1"/>
          <w:kern w:val="0"/>
          <w14:ligatures w14:val="none"/>
        </w:rPr>
        <w:t>shall</w:t>
      </w:r>
      <w:r w:rsidRPr="007E7B6A" w:rsidR="00D01AC8">
        <w:rPr>
          <w:rFonts w:ascii="Palatino Linotype" w:hAnsi="Palatino Linotype" w:eastAsia="Palatino Linotype" w:cs="Times New Roman"/>
          <w:color w:val="000000" w:themeColor="text1"/>
          <w:kern w:val="0"/>
          <w14:ligatures w14:val="none"/>
        </w:rPr>
        <w:t xml:space="preserve"> consult Energy Division staff on its engagement of diverse relevant stakeholders, document specific feedback, detail the clear progression of proposal development and refinement through each stage of consultation, and demonstrate how input </w:t>
      </w:r>
      <w:r w:rsidRPr="007E7B6A" w:rsidR="00D01AC8">
        <w:rPr>
          <w:rFonts w:ascii="Palatino Linotype" w:hAnsi="Palatino Linotype" w:eastAsia="Palatino Linotype" w:cs="Times New Roman"/>
          <w:color w:val="000000" w:themeColor="text1"/>
          <w:kern w:val="0"/>
          <w14:ligatures w14:val="none"/>
        </w:rPr>
        <w:lastRenderedPageBreak/>
        <w:t>has been incorporated at the Initiative level in Plans.</w:t>
      </w:r>
      <w:r w:rsidR="00BD62C4">
        <w:rPr>
          <w:rStyle w:val="FootnoteReference"/>
          <w:rFonts w:ascii="Palatino Linotype" w:hAnsi="Palatino Linotype" w:eastAsia="Palatino Linotype" w:cs="Times New Roman"/>
          <w:color w:val="000000" w:themeColor="text1"/>
          <w:kern w:val="0"/>
          <w14:ligatures w14:val="none"/>
        </w:rPr>
        <w:footnoteReference w:id="143"/>
      </w:r>
      <w:r w:rsidRPr="007E7B6A" w:rsidR="00D01AC8">
        <w:rPr>
          <w:rFonts w:ascii="Palatino Linotype" w:hAnsi="Palatino Linotype" w:eastAsia="Palatino Linotype" w:cs="Times New Roman"/>
          <w:color w:val="000000" w:themeColor="text1"/>
          <w:kern w:val="0"/>
          <w14:ligatures w14:val="none"/>
        </w:rPr>
        <w:t xml:space="preserve"> </w:t>
      </w:r>
      <w:r w:rsidR="00BD2B43">
        <w:rPr>
          <w:rFonts w:ascii="Palatino Linotype" w:hAnsi="Palatino Linotype" w:eastAsia="Palatino Linotype" w:cs="Times New Roman"/>
          <w:color w:val="000000" w:themeColor="text1"/>
          <w:kern w:val="0"/>
          <w14:ligatures w14:val="none"/>
        </w:rPr>
        <w:t>SoCalGas</w:t>
      </w:r>
      <w:r w:rsidRPr="007E7B6A" w:rsidR="00BD2B43">
        <w:rPr>
          <w:rFonts w:ascii="Palatino Linotype" w:hAnsi="Palatino Linotype" w:eastAsia="Palatino Linotype" w:cs="Times New Roman"/>
          <w:color w:val="000000" w:themeColor="text1"/>
          <w:kern w:val="0"/>
          <w14:ligatures w14:val="none"/>
        </w:rPr>
        <w:t xml:space="preserve"> </w:t>
      </w:r>
      <w:r w:rsidRPr="007E7B6A" w:rsidR="00D01AC8">
        <w:rPr>
          <w:rFonts w:ascii="Palatino Linotype" w:hAnsi="Palatino Linotype" w:eastAsia="Palatino Linotype" w:cs="Times New Roman"/>
          <w:color w:val="000000" w:themeColor="text1"/>
          <w:kern w:val="0"/>
          <w14:ligatures w14:val="none"/>
        </w:rPr>
        <w:t xml:space="preserve">shall provide sufficient time for stakeholder questions and discussion, specifically via a robust, dedicated engagement component of the workshop with </w:t>
      </w:r>
      <w:r w:rsidR="0070269C">
        <w:rPr>
          <w:rFonts w:ascii="Palatino Linotype" w:hAnsi="Palatino Linotype" w:eastAsia="Palatino Linotype" w:cs="Times New Roman"/>
          <w:color w:val="000000" w:themeColor="text1"/>
          <w:kern w:val="0"/>
          <w14:ligatures w14:val="none"/>
        </w:rPr>
        <w:t>ESJ</w:t>
      </w:r>
      <w:r w:rsidRPr="007E7B6A" w:rsidR="00D01AC8">
        <w:rPr>
          <w:rFonts w:ascii="Palatino Linotype" w:hAnsi="Palatino Linotype" w:eastAsia="Palatino Linotype" w:cs="Times New Roman"/>
          <w:color w:val="000000" w:themeColor="text1"/>
          <w:kern w:val="0"/>
          <w14:ligatures w14:val="none"/>
        </w:rPr>
        <w:t xml:space="preserve"> and Tribal communities. </w:t>
      </w:r>
      <w:r w:rsidR="00BD2B43">
        <w:rPr>
          <w:rFonts w:ascii="Palatino Linotype" w:hAnsi="Palatino Linotype" w:eastAsia="Palatino Linotype" w:cs="Times New Roman"/>
          <w:color w:val="000000" w:themeColor="text1"/>
          <w:kern w:val="0"/>
          <w14:ligatures w14:val="none"/>
        </w:rPr>
        <w:t>SoCalGas</w:t>
      </w:r>
      <w:r w:rsidRPr="007E7B6A" w:rsidR="00BD2B43">
        <w:rPr>
          <w:rFonts w:ascii="Palatino Linotype" w:hAnsi="Palatino Linotype" w:eastAsia="Palatino Linotype" w:cs="Times New Roman"/>
          <w:color w:val="000000" w:themeColor="text1"/>
          <w:kern w:val="0"/>
          <w14:ligatures w14:val="none"/>
        </w:rPr>
        <w:t xml:space="preserve"> </w:t>
      </w:r>
      <w:r w:rsidRPr="007E7B6A" w:rsidR="00D01AC8">
        <w:rPr>
          <w:rFonts w:ascii="Palatino Linotype" w:hAnsi="Palatino Linotype" w:eastAsia="Palatino Linotype" w:cs="Times New Roman"/>
          <w:color w:val="000000" w:themeColor="text1"/>
          <w:kern w:val="0"/>
          <w14:ligatures w14:val="none"/>
        </w:rPr>
        <w:t>shall offer members of the Disadvantaged Communities Advisory Group (DACAG) the opportunity to provide input on its proposed Plan with sufficient lead-time prior to Plan submittal.</w:t>
      </w:r>
      <w:r w:rsidR="00DB2C36">
        <w:rPr>
          <w:rStyle w:val="FootnoteReference"/>
          <w:rFonts w:ascii="Palatino Linotype" w:hAnsi="Palatino Linotype" w:eastAsia="Palatino Linotype" w:cs="Times New Roman"/>
          <w:color w:val="000000" w:themeColor="text1"/>
          <w:kern w:val="0"/>
          <w14:ligatures w14:val="none"/>
        </w:rPr>
        <w:footnoteReference w:id="144"/>
      </w:r>
    </w:p>
    <w:p w:rsidR="00CC45DC" w:rsidP="00F97978" w:rsidRDefault="00CC45DC" w14:paraId="5FF49BFA" w14:textId="77777777">
      <w:pPr>
        <w:spacing w:after="0" w:line="276" w:lineRule="auto"/>
        <w:rPr>
          <w:rFonts w:ascii="Palatino Linotype" w:hAnsi="Palatino Linotype" w:eastAsia="Palatino Linotype" w:cs="Times New Roman"/>
          <w:color w:val="000000" w:themeColor="text1"/>
          <w:kern w:val="0"/>
          <w14:ligatures w14:val="none"/>
        </w:rPr>
      </w:pPr>
    </w:p>
    <w:p w:rsidRPr="00097FBB" w:rsidR="00097FBB" w:rsidP="00097FBB" w:rsidRDefault="00097FBB" w14:paraId="6E2083F3" w14:textId="77777777">
      <w:pPr>
        <w:spacing w:line="276" w:lineRule="auto"/>
        <w:rPr>
          <w:rFonts w:ascii="Palatino Linotype" w:hAnsi="Palatino Linotype" w:eastAsia="Palatino Linotype" w:cs="Times New Roman"/>
          <w:i/>
          <w:iCs/>
          <w:color w:val="000000" w:themeColor="text1"/>
          <w:kern w:val="0"/>
          <w14:ligatures w14:val="none"/>
        </w:rPr>
      </w:pPr>
      <w:r w:rsidRPr="00097FBB">
        <w:rPr>
          <w:rFonts w:ascii="Palatino Linotype" w:hAnsi="Palatino Linotype" w:eastAsia="Palatino Linotype" w:cs="Times New Roman"/>
          <w:i/>
          <w:iCs/>
          <w:color w:val="000000" w:themeColor="text1"/>
          <w:kern w:val="0"/>
          <w14:ligatures w14:val="none"/>
        </w:rPr>
        <w:t xml:space="preserve">Annual Plan Submittal &amp; Approval </w:t>
      </w:r>
    </w:p>
    <w:p w:rsidRPr="002655E6" w:rsidR="002B3132" w:rsidP="00E83BAE" w:rsidRDefault="00BD2B43" w14:paraId="46C01C67" w14:textId="5DA6CD00">
      <w:p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SoCalGas</w:t>
      </w:r>
      <w:r w:rsidRPr="007E7B6A">
        <w:rPr>
          <w:rFonts w:ascii="Palatino Linotype" w:hAnsi="Palatino Linotype" w:eastAsia="Palatino Linotype" w:cs="Times New Roman"/>
          <w:color w:val="000000" w:themeColor="text1"/>
          <w:kern w:val="0"/>
          <w14:ligatures w14:val="none"/>
        </w:rPr>
        <w:t xml:space="preserve"> </w:t>
      </w:r>
      <w:r w:rsidRPr="00097FBB" w:rsidR="00097FBB">
        <w:rPr>
          <w:rFonts w:ascii="Palatino Linotype" w:hAnsi="Palatino Linotype" w:eastAsia="Palatino Linotype" w:cs="Times New Roman"/>
          <w:color w:val="000000" w:themeColor="text1"/>
          <w:kern w:val="0"/>
          <w14:ligatures w14:val="none"/>
        </w:rPr>
        <w:t xml:space="preserve">must submit proposed Gas RD&amp;D Plans to the Commission via </w:t>
      </w:r>
      <w:r w:rsidRPr="7510854C" w:rsidR="00C77815">
        <w:rPr>
          <w:rFonts w:ascii="Palatino Linotype" w:hAnsi="Palatino Linotype" w:eastAsia="Palatino Linotype" w:cs="Times New Roman"/>
          <w:color w:val="000000" w:themeColor="text1"/>
        </w:rPr>
        <w:t xml:space="preserve">a </w:t>
      </w:r>
      <w:r w:rsidRPr="00097FBB" w:rsidR="00097FBB">
        <w:rPr>
          <w:rFonts w:ascii="Palatino Linotype" w:hAnsi="Palatino Linotype" w:eastAsia="Palatino Linotype" w:cs="Times New Roman"/>
          <w:color w:val="000000" w:themeColor="text1"/>
          <w:kern w:val="0"/>
          <w14:ligatures w14:val="none"/>
        </w:rPr>
        <w:t>Tier 3 Advice Letter (AL) annually.</w:t>
      </w:r>
      <w:r w:rsidRPr="00CC45DC" w:rsidR="00097FBB">
        <w:rPr>
          <w:rStyle w:val="FootnoteReference"/>
          <w:rFonts w:ascii="Palatino Linotype" w:hAnsi="Palatino Linotype" w:eastAsia="Palatino Linotype" w:cs="Times New Roman"/>
          <w:color w:val="000000" w:themeColor="text1"/>
          <w:kern w:val="0"/>
          <w14:ligatures w14:val="none"/>
        </w:rPr>
        <w:footnoteReference w:id="145"/>
      </w:r>
      <w:r w:rsidRPr="00097FBB" w:rsidR="00097FBB">
        <w:rPr>
          <w:rFonts w:ascii="Palatino Linotype" w:hAnsi="Palatino Linotype" w:eastAsia="Palatino Linotype" w:cs="Times New Roman"/>
          <w:color w:val="000000" w:themeColor="text1"/>
          <w:kern w:val="0"/>
          <w14:ligatures w14:val="none"/>
        </w:rPr>
        <w:t xml:space="preserve"> </w:t>
      </w:r>
      <w:r w:rsidR="008C1CEC">
        <w:rPr>
          <w:rFonts w:ascii="Palatino Linotype" w:hAnsi="Palatino Linotype" w:eastAsia="Palatino Linotype" w:cs="Times New Roman"/>
          <w:color w:val="000000" w:themeColor="text1"/>
          <w:kern w:val="0"/>
          <w14:ligatures w14:val="none"/>
        </w:rPr>
        <w:t xml:space="preserve">SoCalGas </w:t>
      </w:r>
      <w:r w:rsidRPr="008C1CEC" w:rsidR="008C1CEC">
        <w:rPr>
          <w:rFonts w:ascii="Palatino Linotype" w:hAnsi="Palatino Linotype" w:eastAsia="Palatino Linotype" w:cs="Times New Roman"/>
          <w:color w:val="000000" w:themeColor="text1"/>
          <w:kern w:val="0"/>
          <w14:ligatures w14:val="none"/>
        </w:rPr>
        <w:t xml:space="preserve">shall justify </w:t>
      </w:r>
      <w:r w:rsidRPr="7510854C" w:rsidR="00C77815">
        <w:rPr>
          <w:rFonts w:ascii="Palatino Linotype" w:hAnsi="Palatino Linotype" w:eastAsia="Palatino Linotype" w:cs="Times New Roman"/>
          <w:color w:val="000000" w:themeColor="text1"/>
        </w:rPr>
        <w:t>it</w:t>
      </w:r>
      <w:r w:rsidRPr="007E7B29" w:rsidR="00C77815">
        <w:rPr>
          <w:rFonts w:ascii="Palatino Linotype" w:hAnsi="Palatino Linotype" w:eastAsia="Palatino Linotype" w:cs="Times New Roman"/>
          <w:color w:val="000000" w:themeColor="text1"/>
        </w:rPr>
        <w:t>s</w:t>
      </w:r>
      <w:r w:rsidRPr="007E7B29" w:rsidR="00550D43">
        <w:rPr>
          <w:rFonts w:ascii="Palatino Linotype" w:hAnsi="Palatino Linotype" w:eastAsia="Palatino Linotype" w:cs="Times New Roman"/>
          <w:color w:val="000000" w:themeColor="text1"/>
        </w:rPr>
        <w:t xml:space="preserve"> proposed</w:t>
      </w:r>
      <w:r w:rsidRPr="007E7B29" w:rsidR="00C77815">
        <w:rPr>
          <w:rFonts w:ascii="Palatino Linotype" w:hAnsi="Palatino Linotype" w:eastAsia="Palatino Linotype" w:cs="Times New Roman"/>
          <w:color w:val="000000" w:themeColor="text1"/>
        </w:rPr>
        <w:t xml:space="preserve"> </w:t>
      </w:r>
      <w:r w:rsidRPr="008C1CEC" w:rsidR="008C1CEC">
        <w:rPr>
          <w:rFonts w:ascii="Palatino Linotype" w:hAnsi="Palatino Linotype" w:eastAsia="Palatino Linotype" w:cs="Times New Roman"/>
          <w:color w:val="000000" w:themeColor="text1"/>
          <w:kern w:val="0"/>
          <w14:ligatures w14:val="none"/>
        </w:rPr>
        <w:t xml:space="preserve">total budget amount with specific citations including page numbers referring to Commission policies in which the budget or explicit escalation factor was approved. </w:t>
      </w:r>
      <w:r>
        <w:rPr>
          <w:rFonts w:ascii="Palatino Linotype" w:hAnsi="Palatino Linotype" w:eastAsia="Palatino Linotype" w:cs="Times New Roman"/>
          <w:color w:val="000000" w:themeColor="text1"/>
          <w:kern w:val="0"/>
          <w14:ligatures w14:val="none"/>
        </w:rPr>
        <w:t>SoCalGas</w:t>
      </w:r>
      <w:r w:rsidRPr="007E7B6A">
        <w:rPr>
          <w:rFonts w:ascii="Palatino Linotype" w:hAnsi="Palatino Linotype" w:eastAsia="Palatino Linotype" w:cs="Times New Roman"/>
          <w:color w:val="000000" w:themeColor="text1"/>
          <w:kern w:val="0"/>
          <w14:ligatures w14:val="none"/>
        </w:rPr>
        <w:t xml:space="preserve"> </w:t>
      </w:r>
      <w:r w:rsidRPr="00097FBB" w:rsidR="00097FBB">
        <w:rPr>
          <w:rFonts w:ascii="Palatino Linotype" w:hAnsi="Palatino Linotype" w:eastAsia="Palatino Linotype" w:cs="Times New Roman"/>
          <w:color w:val="000000" w:themeColor="text1"/>
          <w:kern w:val="0"/>
          <w14:ligatures w14:val="none"/>
        </w:rPr>
        <w:t>shall post proposed and approved Investment Plans publicly so that they are easily accessible on its website and notify the CPUC of the web address</w:t>
      </w:r>
      <w:r w:rsidR="008C1CEC">
        <w:rPr>
          <w:rFonts w:ascii="Palatino Linotype" w:hAnsi="Palatino Linotype" w:eastAsia="Palatino Linotype" w:cs="Times New Roman"/>
          <w:color w:val="000000" w:themeColor="text1"/>
          <w:kern w:val="0"/>
          <w14:ligatures w14:val="none"/>
        </w:rPr>
        <w:t>;</w:t>
      </w:r>
      <w:r w:rsidRPr="00097FBB" w:rsidR="00097FBB">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SoCalGas</w:t>
      </w:r>
      <w:r w:rsidRPr="007E7B6A">
        <w:rPr>
          <w:rFonts w:ascii="Palatino Linotype" w:hAnsi="Palatino Linotype" w:eastAsia="Palatino Linotype" w:cs="Times New Roman"/>
          <w:color w:val="000000" w:themeColor="text1"/>
          <w:kern w:val="0"/>
          <w14:ligatures w14:val="none"/>
        </w:rPr>
        <w:t xml:space="preserve"> </w:t>
      </w:r>
      <w:r w:rsidRPr="00097FBB" w:rsidR="00097FBB">
        <w:rPr>
          <w:rFonts w:ascii="Palatino Linotype" w:hAnsi="Palatino Linotype" w:eastAsia="Palatino Linotype" w:cs="Times New Roman"/>
          <w:color w:val="000000" w:themeColor="text1"/>
          <w:kern w:val="0"/>
          <w14:ligatures w14:val="none"/>
        </w:rPr>
        <w:t xml:space="preserve">shall also coordinate with other Gas RD&amp;D administrators to develop service lists of relevant ongoing CPUC Proceedings on which to serve Plans and consult with Energy Division staff to ensure these lists </w:t>
      </w:r>
      <w:r w:rsidRPr="007E7B29" w:rsidR="00097FBB">
        <w:rPr>
          <w:rFonts w:ascii="Palatino Linotype" w:hAnsi="Palatino Linotype" w:eastAsia="Palatino Linotype" w:cs="Times New Roman"/>
          <w:color w:val="000000" w:themeColor="text1"/>
          <w:kern w:val="0"/>
          <w14:ligatures w14:val="none"/>
        </w:rPr>
        <w:t xml:space="preserve">are </w:t>
      </w:r>
      <w:r w:rsidRPr="007E7B29" w:rsidR="009E2378">
        <w:rPr>
          <w:rFonts w:ascii="Palatino Linotype" w:hAnsi="Palatino Linotype" w:eastAsia="Palatino Linotype" w:cs="Times New Roman"/>
          <w:color w:val="000000" w:themeColor="text1"/>
        </w:rPr>
        <w:t xml:space="preserve">accurate and </w:t>
      </w:r>
      <w:r w:rsidRPr="007E7B29" w:rsidR="00097FBB">
        <w:rPr>
          <w:rFonts w:ascii="Palatino Linotype" w:hAnsi="Palatino Linotype" w:eastAsia="Palatino Linotype" w:cs="Times New Roman"/>
          <w:color w:val="000000" w:themeColor="text1"/>
          <w:kern w:val="0"/>
          <w14:ligatures w14:val="none"/>
        </w:rPr>
        <w:t>sufficient</w:t>
      </w:r>
      <w:r w:rsidRPr="00097FBB" w:rsidR="00097FBB">
        <w:rPr>
          <w:rFonts w:ascii="Palatino Linotype" w:hAnsi="Palatino Linotype" w:eastAsia="Palatino Linotype" w:cs="Times New Roman"/>
          <w:color w:val="000000" w:themeColor="text1"/>
          <w:kern w:val="0"/>
          <w14:ligatures w14:val="none"/>
        </w:rPr>
        <w:t>.</w:t>
      </w:r>
      <w:r w:rsidR="000314F1">
        <w:rPr>
          <w:rStyle w:val="FootnoteReference"/>
          <w:rFonts w:ascii="Palatino Linotype" w:hAnsi="Palatino Linotype" w:eastAsia="Palatino Linotype" w:cs="Times New Roman"/>
          <w:color w:val="000000" w:themeColor="text1"/>
          <w:kern w:val="0"/>
          <w14:ligatures w14:val="none"/>
        </w:rPr>
        <w:footnoteReference w:id="146"/>
      </w:r>
      <w:r w:rsidR="00DD5AD2">
        <w:rPr>
          <w:rFonts w:ascii="Palatino Linotype" w:hAnsi="Palatino Linotype" w:eastAsia="Palatino Linotype" w:cs="Times New Roman"/>
          <w:color w:val="000000" w:themeColor="text1"/>
          <w:kern w:val="0"/>
          <w14:ligatures w14:val="none"/>
        </w:rPr>
        <w:t xml:space="preserve"> </w:t>
      </w:r>
      <w:r w:rsidRPr="00DD5AD2" w:rsidR="00DD5AD2">
        <w:rPr>
          <w:rFonts w:ascii="Palatino Linotype" w:hAnsi="Palatino Linotype" w:eastAsia="Palatino Linotype" w:cs="Times New Roman"/>
          <w:color w:val="000000" w:themeColor="text1"/>
          <w:kern w:val="0"/>
          <w14:ligatures w14:val="none"/>
        </w:rPr>
        <w:t>The Program Administration budget is capped at 10% of the total adopted budget and must be delineated by allowable cost categories so the CPUC may understand how these costs</w:t>
      </w:r>
      <w:r w:rsidR="00DD5AD2">
        <w:rPr>
          <w:rFonts w:ascii="Palatino Linotype" w:hAnsi="Palatino Linotype" w:eastAsia="Palatino Linotype" w:cs="Times New Roman"/>
          <w:color w:val="000000" w:themeColor="text1"/>
          <w:kern w:val="0"/>
          <w14:ligatures w14:val="none"/>
        </w:rPr>
        <w:t xml:space="preserve"> </w:t>
      </w:r>
      <w:r w:rsidRPr="00DD5AD2" w:rsidR="00DD5AD2">
        <w:rPr>
          <w:rFonts w:ascii="Palatino Linotype" w:hAnsi="Palatino Linotype" w:eastAsia="Palatino Linotype" w:cs="Times New Roman"/>
          <w:color w:val="000000" w:themeColor="text1"/>
          <w:kern w:val="0"/>
          <w14:ligatures w14:val="none"/>
        </w:rPr>
        <w:t>are allocated and reasonable, consistent with Commission requirements for EPIC administrators</w:t>
      </w:r>
      <w:r w:rsidR="00DD5AD2">
        <w:rPr>
          <w:rFonts w:ascii="Palatino Linotype" w:hAnsi="Palatino Linotype" w:eastAsia="Palatino Linotype" w:cs="Times New Roman"/>
          <w:color w:val="000000" w:themeColor="text1"/>
          <w:kern w:val="0"/>
          <w14:ligatures w14:val="none"/>
        </w:rPr>
        <w:t>.</w:t>
      </w:r>
      <w:r w:rsidR="00DD5AD2">
        <w:rPr>
          <w:rStyle w:val="FootnoteReference"/>
          <w:rFonts w:ascii="Palatino Linotype" w:hAnsi="Palatino Linotype" w:eastAsia="Palatino Linotype" w:cs="Times New Roman"/>
          <w:color w:val="000000" w:themeColor="text1"/>
          <w:kern w:val="0"/>
          <w14:ligatures w14:val="none"/>
        </w:rPr>
        <w:footnoteReference w:id="147"/>
      </w:r>
      <w:r w:rsidR="00E83BAE">
        <w:rPr>
          <w:rFonts w:ascii="Palatino Linotype" w:hAnsi="Palatino Linotype" w:eastAsia="Palatino Linotype" w:cs="Times New Roman"/>
          <w:color w:val="000000" w:themeColor="text1"/>
          <w:kern w:val="0"/>
          <w14:ligatures w14:val="none"/>
        </w:rPr>
        <w:t xml:space="preserve"> </w:t>
      </w:r>
      <w:r w:rsidRPr="00F01B75" w:rsidR="008F1E75">
        <w:rPr>
          <w:rFonts w:ascii="Palatino Linotype" w:hAnsi="Palatino Linotype" w:eastAsia="Palatino Linotype" w:cs="Times New Roman"/>
          <w:color w:val="000000" w:themeColor="text1"/>
          <w:kern w:val="0"/>
          <w14:ligatures w14:val="none"/>
        </w:rPr>
        <w:t xml:space="preserve">SoCalGas must also </w:t>
      </w:r>
      <w:r w:rsidRPr="00F01B75" w:rsidR="00F01B75">
        <w:rPr>
          <w:rFonts w:ascii="Palatino Linotype" w:hAnsi="Palatino Linotype"/>
        </w:rPr>
        <w:t>p</w:t>
      </w:r>
      <w:r w:rsidRPr="00F01B75" w:rsidR="002443E0">
        <w:rPr>
          <w:rFonts w:ascii="Palatino Linotype" w:hAnsi="Palatino Linotype"/>
        </w:rPr>
        <w:t>rovide detail quantifying research funding allocations by research consortium, as well as project costs related to each c</w:t>
      </w:r>
      <w:r w:rsidRPr="007E7B29" w:rsidR="002443E0">
        <w:rPr>
          <w:rFonts w:ascii="Palatino Linotype" w:hAnsi="Palatino Linotype"/>
          <w:color w:val="000000" w:themeColor="text1"/>
        </w:rPr>
        <w:t>onsortium</w:t>
      </w:r>
      <w:r w:rsidRPr="007E7B29" w:rsidR="00F01B75">
        <w:rPr>
          <w:rFonts w:ascii="Palatino Linotype" w:hAnsi="Palatino Linotype"/>
          <w:color w:val="000000" w:themeColor="text1"/>
        </w:rPr>
        <w:t>, and e</w:t>
      </w:r>
      <w:r w:rsidRPr="007E7B29" w:rsidR="00537669">
        <w:rPr>
          <w:rFonts w:ascii="Palatino Linotype" w:hAnsi="Palatino Linotype"/>
          <w:color w:val="000000" w:themeColor="text1"/>
        </w:rPr>
        <w:t xml:space="preserve">xplicitly justify how all consortia </w:t>
      </w:r>
      <w:r w:rsidRPr="007E7B29" w:rsidR="005C1371">
        <w:rPr>
          <w:rFonts w:ascii="Palatino Linotype" w:hAnsi="Palatino Linotype"/>
          <w:color w:val="000000" w:themeColor="text1"/>
        </w:rPr>
        <w:t xml:space="preserve">project costs and </w:t>
      </w:r>
      <w:r w:rsidRPr="007E7B29" w:rsidR="00537669">
        <w:rPr>
          <w:rFonts w:ascii="Palatino Linotype" w:hAnsi="Palatino Linotype"/>
          <w:color w:val="000000" w:themeColor="text1"/>
        </w:rPr>
        <w:t>dues benefit gas ratepayers</w:t>
      </w:r>
      <w:r w:rsidRPr="00F01B75" w:rsidR="00F01B75">
        <w:rPr>
          <w:rFonts w:ascii="Palatino Linotype" w:hAnsi="Palatino Linotype"/>
        </w:rPr>
        <w:t>.</w:t>
      </w:r>
      <w:r w:rsidR="00F01B75">
        <w:rPr>
          <w:rStyle w:val="FootnoteReference"/>
          <w:rFonts w:ascii="Palatino Linotype" w:hAnsi="Palatino Linotype"/>
        </w:rPr>
        <w:footnoteReference w:id="148"/>
      </w:r>
    </w:p>
    <w:p w:rsidR="002B3132" w:rsidP="00EE7D7D" w:rsidRDefault="002B3132" w14:paraId="6B5C462A" w14:textId="54BBFE51">
      <w:pPr>
        <w:spacing w:before="240" w:after="0" w:line="276" w:lineRule="auto"/>
        <w:rPr>
          <w:rFonts w:ascii="Palatino Linotype" w:hAnsi="Palatino Linotype"/>
        </w:rPr>
      </w:pPr>
      <w:r w:rsidRPr="002B3132">
        <w:rPr>
          <w:rFonts w:ascii="Palatino Linotype" w:hAnsi="Palatino Linotype"/>
        </w:rPr>
        <w:t xml:space="preserve">The Plan shall only become effective when the Commission adopts a Resolution approving the Plan, and </w:t>
      </w:r>
      <w:r>
        <w:rPr>
          <w:rFonts w:ascii="Palatino Linotype" w:hAnsi="Palatino Linotype"/>
        </w:rPr>
        <w:t>SoCalGas</w:t>
      </w:r>
      <w:r w:rsidRPr="002B3132">
        <w:rPr>
          <w:rFonts w:ascii="Palatino Linotype" w:hAnsi="Palatino Linotype"/>
        </w:rPr>
        <w:t xml:space="preserve"> shall not record any Gas RD&amp;D program expenses in a one-way balancing account until an annual Tier 3 Advice Letter outlining its Gas </w:t>
      </w:r>
      <w:r w:rsidRPr="002B3132">
        <w:rPr>
          <w:rFonts w:ascii="Palatino Linotype" w:hAnsi="Palatino Linotype"/>
        </w:rPr>
        <w:lastRenderedPageBreak/>
        <w:t>RD&amp;D Budget Plan is approved.</w:t>
      </w:r>
      <w:r>
        <w:rPr>
          <w:rStyle w:val="FootnoteReference"/>
          <w:rFonts w:ascii="Palatino Linotype" w:hAnsi="Palatino Linotype" w:eastAsia="Palatino Linotype" w:cs="Times New Roman"/>
          <w:color w:val="000000" w:themeColor="text1"/>
          <w:kern w:val="0"/>
          <w14:ligatures w14:val="none"/>
        </w:rPr>
        <w:footnoteReference w:id="149"/>
      </w:r>
      <w:r w:rsidRPr="002B3132">
        <w:rPr>
          <w:rFonts w:ascii="Palatino Linotype" w:hAnsi="Palatino Linotype"/>
        </w:rPr>
        <w:t xml:space="preserve"> </w:t>
      </w:r>
      <w:r>
        <w:rPr>
          <w:rFonts w:ascii="Palatino Linotype" w:hAnsi="Palatino Linotype"/>
        </w:rPr>
        <w:t>SoCalGas</w:t>
      </w:r>
      <w:r w:rsidRPr="002B3132">
        <w:rPr>
          <w:rFonts w:ascii="Palatino Linotype" w:hAnsi="Palatino Linotype"/>
        </w:rPr>
        <w:t xml:space="preserve"> shall continue to consult CPUC staff on proposed uses of approved Gas RD&amp;D funds during Plan implementation to ensure ongoing policy alignment and relevance.</w:t>
      </w:r>
      <w:r w:rsidRPr="002B3132">
        <w:rPr>
          <w:rFonts w:ascii="Palatino Linotype" w:hAnsi="Palatino Linotype" w:eastAsia="Palatino Linotype" w:cs="Times New Roman"/>
          <w:color w:val="000000" w:themeColor="text1"/>
          <w:kern w:val="0"/>
          <w14:ligatures w14:val="none"/>
        </w:rPr>
        <w:t xml:space="preserve"> </w:t>
      </w:r>
      <w:r>
        <w:rPr>
          <w:rFonts w:ascii="Palatino Linotype" w:hAnsi="Palatino Linotype" w:eastAsia="Palatino Linotype" w:cs="Times New Roman"/>
          <w:color w:val="000000" w:themeColor="text1"/>
          <w:kern w:val="0"/>
          <w14:ligatures w14:val="none"/>
        </w:rPr>
        <w:t>U</w:t>
      </w:r>
      <w:r w:rsidRPr="00E83BAE">
        <w:rPr>
          <w:rFonts w:ascii="Palatino Linotype" w:hAnsi="Palatino Linotype" w:eastAsia="Palatino Linotype" w:cs="Times New Roman"/>
          <w:color w:val="000000" w:themeColor="text1"/>
          <w:kern w:val="0"/>
          <w14:ligatures w14:val="none"/>
        </w:rPr>
        <w:t>nspent funds must be returned to ratepayers at the end of each GRC cycle</w:t>
      </w:r>
      <w:r>
        <w:rPr>
          <w:rFonts w:ascii="Palatino Linotype" w:hAnsi="Palatino Linotype" w:eastAsia="Palatino Linotype" w:cs="Times New Roman"/>
          <w:color w:val="000000" w:themeColor="text1"/>
          <w:kern w:val="0"/>
          <w14:ligatures w14:val="none"/>
        </w:rPr>
        <w:t>.</w:t>
      </w:r>
      <w:r w:rsidR="00F24C03">
        <w:rPr>
          <w:rStyle w:val="FootnoteReference"/>
          <w:rFonts w:ascii="Palatino Linotype" w:hAnsi="Palatino Linotype" w:eastAsia="Palatino Linotype" w:cs="Times New Roman"/>
          <w:color w:val="000000" w:themeColor="text1"/>
          <w:kern w:val="0"/>
          <w14:ligatures w14:val="none"/>
        </w:rPr>
        <w:footnoteReference w:id="150"/>
      </w:r>
    </w:p>
    <w:p w:rsidR="005F067A" w:rsidP="00F97978" w:rsidRDefault="005F067A" w14:paraId="750B95A5" w14:textId="77777777">
      <w:pPr>
        <w:spacing w:after="0" w:line="276" w:lineRule="auto"/>
        <w:rPr>
          <w:rFonts w:ascii="Palatino Linotype" w:hAnsi="Palatino Linotype" w:eastAsia="Palatino Linotype" w:cs="Times New Roman"/>
          <w:kern w:val="0"/>
          <w14:ligatures w14:val="none"/>
        </w:rPr>
      </w:pPr>
    </w:p>
    <w:p w:rsidRPr="005F067A" w:rsidR="005F067A" w:rsidP="005F067A" w:rsidRDefault="005A2E42" w14:paraId="3FC72BE7" w14:textId="1BF21372">
      <w:pPr>
        <w:spacing w:line="276" w:lineRule="auto"/>
        <w:rPr>
          <w:rFonts w:ascii="Palatino Linotype" w:hAnsi="Palatino Linotype" w:eastAsia="Palatino Linotype" w:cs="Times New Roman"/>
          <w:i/>
          <w:iCs/>
          <w:kern w:val="0"/>
          <w14:ligatures w14:val="none"/>
        </w:rPr>
      </w:pPr>
      <w:r w:rsidRPr="005F067A">
        <w:rPr>
          <w:rFonts w:ascii="Palatino Linotype" w:hAnsi="Palatino Linotype" w:eastAsia="Palatino Linotype" w:cs="Times New Roman"/>
          <w:i/>
          <w:iCs/>
          <w:kern w:val="0"/>
          <w14:ligatures w14:val="none"/>
        </w:rPr>
        <w:t xml:space="preserve">Annual Report </w:t>
      </w:r>
    </w:p>
    <w:p w:rsidRPr="00CD37DF" w:rsidR="00341840" w:rsidP="00F01C7B" w:rsidRDefault="00CD37DF" w14:paraId="54E2773B" w14:textId="7A7FBC14">
      <w:pPr>
        <w:spacing w:after="0" w:line="276" w:lineRule="auto"/>
        <w:rPr>
          <w:rFonts w:ascii="Palatino Linotype" w:hAnsi="Palatino Linotype" w:eastAsia="Palatino Linotype" w:cs="Times New Roman"/>
          <w:color w:val="000000" w:themeColor="text1"/>
          <w:kern w:val="0"/>
          <w14:ligatures w14:val="none"/>
        </w:rPr>
      </w:pPr>
      <w:r w:rsidRPr="005E44C8">
        <w:rPr>
          <w:rFonts w:ascii="Palatino Linotype" w:hAnsi="Palatino Linotype" w:eastAsia="Palatino Linotype" w:cs="Times New Roman"/>
          <w:color w:val="000000" w:themeColor="text1"/>
          <w:kern w:val="0"/>
          <w14:ligatures w14:val="none"/>
        </w:rPr>
        <w:t xml:space="preserve">This Resolution </w:t>
      </w:r>
      <w:r>
        <w:rPr>
          <w:rFonts w:ascii="Palatino Linotype" w:hAnsi="Palatino Linotype" w:eastAsia="Palatino Linotype" w:cs="Times New Roman"/>
          <w:color w:val="000000" w:themeColor="text1"/>
          <w:kern w:val="0"/>
          <w14:ligatures w14:val="none"/>
        </w:rPr>
        <w:t xml:space="preserve">establishes the Annual Report deadline of March </w:t>
      </w:r>
      <w:r w:rsidR="0099225A">
        <w:rPr>
          <w:rFonts w:ascii="Palatino Linotype" w:hAnsi="Palatino Linotype" w:eastAsia="Palatino Linotype" w:cs="Times New Roman"/>
          <w:color w:val="000000" w:themeColor="text1"/>
          <w:kern w:val="0"/>
          <w14:ligatures w14:val="none"/>
        </w:rPr>
        <w:t>1st</w:t>
      </w:r>
      <w:r w:rsidRPr="005E44C8">
        <w:rPr>
          <w:rFonts w:ascii="Palatino Linotype" w:hAnsi="Palatino Linotype" w:eastAsia="Palatino Linotype" w:cs="Times New Roman"/>
          <w:color w:val="000000" w:themeColor="text1"/>
          <w:kern w:val="0"/>
          <w14:ligatures w14:val="none"/>
        </w:rPr>
        <w:t xml:space="preserve"> each year, pertaining to the previous C</w:t>
      </w:r>
      <w:r w:rsidRPr="001721D3">
        <w:rPr>
          <w:rFonts w:ascii="Palatino Linotype" w:hAnsi="Palatino Linotype" w:eastAsia="Palatino Linotype" w:cs="Times New Roman"/>
          <w:color w:val="000000" w:themeColor="text1"/>
          <w:kern w:val="0"/>
          <w14:ligatures w14:val="none"/>
        </w:rPr>
        <w:t>Y</w:t>
      </w:r>
      <w:r w:rsidR="00112308">
        <w:rPr>
          <w:rFonts w:ascii="Palatino Linotype" w:hAnsi="Palatino Linotype" w:eastAsia="Palatino Linotype" w:cs="Times New Roman"/>
          <w:color w:val="000000" w:themeColor="text1"/>
          <w:kern w:val="0"/>
          <w14:ligatures w14:val="none"/>
        </w:rPr>
        <w:t>:</w:t>
      </w:r>
      <w:r>
        <w:rPr>
          <w:rFonts w:ascii="Palatino Linotype" w:hAnsi="Palatino Linotype" w:eastAsia="Palatino Linotype" w:cs="Times New Roman"/>
          <w:color w:val="000000" w:themeColor="text1"/>
          <w:kern w:val="0"/>
          <w14:ligatures w14:val="none"/>
        </w:rPr>
        <w:t xml:space="preserve"> </w:t>
      </w:r>
      <w:r w:rsidR="00D52583">
        <w:rPr>
          <w:rFonts w:ascii="Palatino Linotype" w:hAnsi="Palatino Linotype" w:eastAsia="Palatino Linotype" w:cs="Times New Roman"/>
          <w:color w:val="000000" w:themeColor="text1"/>
          <w:kern w:val="0"/>
          <w14:ligatures w14:val="none"/>
        </w:rPr>
        <w:t>SoCalGas</w:t>
      </w:r>
      <w:r w:rsidRPr="00CD37DF">
        <w:rPr>
          <w:rFonts w:ascii="Palatino Linotype" w:hAnsi="Palatino Linotype" w:eastAsia="Palatino Linotype" w:cs="Times New Roman"/>
          <w:color w:val="000000" w:themeColor="text1"/>
          <w:kern w:val="0"/>
          <w14:ligatures w14:val="none"/>
        </w:rPr>
        <w:t xml:space="preserve"> shall submit its </w:t>
      </w:r>
      <w:r w:rsidRPr="00CD37DF" w:rsidR="00D52583">
        <w:rPr>
          <w:rFonts w:ascii="Palatino Linotype" w:hAnsi="Palatino Linotype" w:eastAsia="Palatino Linotype" w:cs="Times New Roman"/>
          <w:color w:val="000000" w:themeColor="text1"/>
          <w:kern w:val="0"/>
          <w14:ligatures w14:val="none"/>
        </w:rPr>
        <w:t xml:space="preserve">Gas RD&amp;D </w:t>
      </w:r>
      <w:r w:rsidRPr="00CD37DF">
        <w:rPr>
          <w:rFonts w:ascii="Palatino Linotype" w:hAnsi="Palatino Linotype" w:eastAsia="Palatino Linotype" w:cs="Times New Roman"/>
          <w:color w:val="000000" w:themeColor="text1"/>
          <w:kern w:val="0"/>
          <w14:ligatures w14:val="none"/>
        </w:rPr>
        <w:t xml:space="preserve">Annual Report prior to holding </w:t>
      </w:r>
      <w:r w:rsidR="00D52583">
        <w:rPr>
          <w:rFonts w:ascii="Palatino Linotype" w:hAnsi="Palatino Linotype" w:eastAsia="Palatino Linotype" w:cs="Times New Roman"/>
          <w:color w:val="000000" w:themeColor="text1"/>
          <w:kern w:val="0"/>
          <w14:ligatures w14:val="none"/>
        </w:rPr>
        <w:t xml:space="preserve">its Annual </w:t>
      </w:r>
      <w:r w:rsidRPr="00CD37DF">
        <w:rPr>
          <w:rFonts w:ascii="Palatino Linotype" w:hAnsi="Palatino Linotype" w:eastAsia="Palatino Linotype" w:cs="Times New Roman"/>
          <w:color w:val="000000" w:themeColor="text1"/>
          <w:kern w:val="0"/>
          <w14:ligatures w14:val="none"/>
        </w:rPr>
        <w:t>Public Workshop</w:t>
      </w:r>
      <w:r w:rsidR="00D52583">
        <w:rPr>
          <w:rFonts w:ascii="Palatino Linotype" w:hAnsi="Palatino Linotype" w:eastAsia="Palatino Linotype" w:cs="Times New Roman"/>
          <w:color w:val="000000" w:themeColor="text1"/>
          <w:kern w:val="0"/>
          <w14:ligatures w14:val="none"/>
        </w:rPr>
        <w:t>,</w:t>
      </w:r>
      <w:r w:rsidR="00D52583">
        <w:rPr>
          <w:rStyle w:val="FootnoteReference"/>
          <w:rFonts w:ascii="Palatino Linotype" w:hAnsi="Palatino Linotype" w:eastAsia="Palatino Linotype" w:cs="Times New Roman"/>
          <w:color w:val="000000" w:themeColor="text1"/>
          <w:kern w:val="0"/>
          <w14:ligatures w14:val="none"/>
        </w:rPr>
        <w:footnoteReference w:id="151"/>
      </w:r>
      <w:r w:rsidR="00D52583">
        <w:rPr>
          <w:rFonts w:ascii="Palatino Linotype" w:hAnsi="Palatino Linotype" w:eastAsia="Palatino Linotype" w:cs="Times New Roman"/>
          <w:color w:val="000000" w:themeColor="text1"/>
          <w:kern w:val="0"/>
          <w14:ligatures w14:val="none"/>
        </w:rPr>
        <w:t xml:space="preserve"> </w:t>
      </w:r>
      <w:r w:rsidRPr="00CD37DF">
        <w:rPr>
          <w:rFonts w:ascii="Palatino Linotype" w:hAnsi="Palatino Linotype" w:eastAsia="Palatino Linotype" w:cs="Times New Roman"/>
          <w:color w:val="000000" w:themeColor="text1"/>
          <w:kern w:val="0"/>
          <w14:ligatures w14:val="none"/>
        </w:rPr>
        <w:t>each by March 1</w:t>
      </w:r>
      <w:r w:rsidR="00D52583">
        <w:rPr>
          <w:rFonts w:ascii="Palatino Linotype" w:hAnsi="Palatino Linotype" w:eastAsia="Palatino Linotype" w:cs="Times New Roman"/>
          <w:color w:val="000000" w:themeColor="text1"/>
          <w:kern w:val="0"/>
          <w14:ligatures w14:val="none"/>
        </w:rPr>
        <w:t>st</w:t>
      </w:r>
      <w:r w:rsidRPr="00CD37DF">
        <w:rPr>
          <w:rFonts w:ascii="Palatino Linotype" w:hAnsi="Palatino Linotype" w:eastAsia="Palatino Linotype" w:cs="Times New Roman"/>
          <w:color w:val="000000" w:themeColor="text1"/>
          <w:kern w:val="0"/>
          <w14:ligatures w14:val="none"/>
        </w:rPr>
        <w:t xml:space="preserve"> annually.</w:t>
      </w:r>
      <w:r w:rsidR="0054265C">
        <w:rPr>
          <w:rStyle w:val="FootnoteReference"/>
          <w:rFonts w:ascii="Palatino Linotype" w:hAnsi="Palatino Linotype" w:eastAsia="Palatino Linotype" w:cs="Times New Roman"/>
          <w:color w:val="000000" w:themeColor="text1"/>
          <w:kern w:val="0"/>
          <w14:ligatures w14:val="none"/>
        </w:rPr>
        <w:footnoteReference w:id="152"/>
      </w:r>
      <w:r w:rsidRPr="00CD37DF">
        <w:rPr>
          <w:rFonts w:ascii="Palatino Linotype" w:hAnsi="Palatino Linotype" w:eastAsia="Palatino Linotype" w:cs="Times New Roman"/>
          <w:color w:val="000000" w:themeColor="text1"/>
          <w:kern w:val="0"/>
          <w14:ligatures w14:val="none"/>
        </w:rPr>
        <w:t xml:space="preserve"> </w:t>
      </w:r>
      <w:r w:rsidR="008877C3">
        <w:rPr>
          <w:rFonts w:ascii="Palatino Linotype" w:hAnsi="Palatino Linotype" w:eastAsia="Palatino Linotype" w:cs="Times New Roman"/>
          <w:color w:val="000000" w:themeColor="text1"/>
          <w:kern w:val="0"/>
          <w14:ligatures w14:val="none"/>
        </w:rPr>
        <w:t>SoCalGas</w:t>
      </w:r>
      <w:r w:rsidRPr="00CD37DF">
        <w:rPr>
          <w:rFonts w:ascii="Palatino Linotype" w:hAnsi="Palatino Linotype" w:eastAsia="Palatino Linotype" w:cs="Times New Roman"/>
          <w:color w:val="000000" w:themeColor="text1"/>
          <w:kern w:val="0"/>
          <w14:ligatures w14:val="none"/>
        </w:rPr>
        <w:t xml:space="preserve"> shall include information on all active and recently com</w:t>
      </w:r>
      <w:r w:rsidRPr="007E7B29">
        <w:rPr>
          <w:rFonts w:ascii="Palatino Linotype" w:hAnsi="Palatino Linotype" w:eastAsia="Palatino Linotype" w:cs="Times New Roman"/>
          <w:color w:val="000000" w:themeColor="text1"/>
          <w:kern w:val="0"/>
          <w14:ligatures w14:val="none"/>
        </w:rPr>
        <w:t xml:space="preserve">pleted </w:t>
      </w:r>
      <w:r w:rsidRPr="007E7B29" w:rsidR="002122A4">
        <w:rPr>
          <w:rFonts w:ascii="Palatino Linotype" w:hAnsi="Palatino Linotype" w:eastAsia="Palatino Linotype" w:cs="Times New Roman"/>
          <w:color w:val="000000" w:themeColor="text1"/>
        </w:rPr>
        <w:t xml:space="preserve">RD&amp;D </w:t>
      </w:r>
      <w:r w:rsidRPr="007E7B29">
        <w:rPr>
          <w:rFonts w:ascii="Palatino Linotype" w:hAnsi="Palatino Linotype" w:eastAsia="Palatino Linotype" w:cs="Times New Roman"/>
          <w:color w:val="000000" w:themeColor="text1"/>
          <w:kern w:val="0"/>
          <w14:ligatures w14:val="none"/>
        </w:rPr>
        <w:t>projects.</w:t>
      </w:r>
      <w:r w:rsidRPr="007E7B29" w:rsidR="008877C3">
        <w:rPr>
          <w:rStyle w:val="FootnoteReference"/>
          <w:rFonts w:ascii="Palatino Linotype" w:hAnsi="Palatino Linotype" w:eastAsia="Palatino Linotype" w:cs="Times New Roman"/>
          <w:color w:val="000000" w:themeColor="text1"/>
          <w:kern w:val="0"/>
          <w14:ligatures w14:val="none"/>
        </w:rPr>
        <w:footnoteReference w:id="153"/>
      </w:r>
      <w:r w:rsidRPr="007E7B29" w:rsidR="008877C3">
        <w:rPr>
          <w:rFonts w:ascii="Palatino Linotype" w:hAnsi="Palatino Linotype" w:eastAsia="Palatino Linotype" w:cs="Times New Roman"/>
          <w:color w:val="000000" w:themeColor="text1"/>
          <w:kern w:val="0"/>
          <w14:ligatures w14:val="none"/>
        </w:rPr>
        <w:t xml:space="preserve"> </w:t>
      </w:r>
      <w:r w:rsidRPr="007E7B29">
        <w:rPr>
          <w:rFonts w:ascii="Palatino Linotype" w:hAnsi="Palatino Linotype" w:eastAsia="Palatino Linotype" w:cs="Times New Roman"/>
          <w:color w:val="000000" w:themeColor="text1"/>
          <w:kern w:val="0"/>
          <w14:ligatures w14:val="none"/>
        </w:rPr>
        <w:t>For clarity in reporting</w:t>
      </w:r>
      <w:r w:rsidRPr="007E7B29" w:rsidR="00D2629A">
        <w:rPr>
          <w:rFonts w:ascii="Palatino Linotype" w:hAnsi="Palatino Linotype" w:eastAsia="Palatino Linotype" w:cs="Times New Roman"/>
          <w:color w:val="000000" w:themeColor="text1"/>
          <w:kern w:val="0"/>
          <w14:ligatures w14:val="none"/>
        </w:rPr>
        <w:t>, SoCalGas</w:t>
      </w:r>
      <w:r w:rsidRPr="007E7B29">
        <w:rPr>
          <w:rFonts w:ascii="Palatino Linotype" w:hAnsi="Palatino Linotype" w:eastAsia="Palatino Linotype" w:cs="Times New Roman"/>
          <w:color w:val="000000" w:themeColor="text1"/>
          <w:kern w:val="0"/>
          <w14:ligatures w14:val="none"/>
        </w:rPr>
        <w:t xml:space="preserve"> shall</w:t>
      </w:r>
      <w:r w:rsidRPr="007E7B29" w:rsidR="00A93012">
        <w:rPr>
          <w:rFonts w:ascii="Palatino Linotype" w:hAnsi="Palatino Linotype" w:eastAsia="Palatino Linotype" w:cs="Times New Roman"/>
          <w:color w:val="000000" w:themeColor="text1"/>
          <w:kern w:val="0"/>
          <w14:ligatures w14:val="none"/>
        </w:rPr>
        <w:t xml:space="preserve"> </w:t>
      </w:r>
      <w:r w:rsidRPr="007E7B29" w:rsidR="00BA3B15">
        <w:rPr>
          <w:rFonts w:ascii="Palatino Linotype" w:hAnsi="Palatino Linotype" w:eastAsia="Palatino Linotype" w:cs="Times New Roman"/>
          <w:color w:val="000000" w:themeColor="text1"/>
        </w:rPr>
        <w:t>specify</w:t>
      </w:r>
      <w:r w:rsidRPr="007E7B29" w:rsidR="00A93012">
        <w:rPr>
          <w:rFonts w:ascii="Palatino Linotype" w:hAnsi="Palatino Linotype" w:eastAsia="Palatino Linotype" w:cs="Times New Roman"/>
          <w:color w:val="000000" w:themeColor="text1"/>
          <w:kern w:val="0"/>
          <w14:ligatures w14:val="none"/>
        </w:rPr>
        <w:t xml:space="preserve"> the GRC </w:t>
      </w:r>
      <w:r w:rsidR="00A93012">
        <w:rPr>
          <w:rFonts w:ascii="Palatino Linotype" w:hAnsi="Palatino Linotype" w:eastAsia="Palatino Linotype" w:cs="Times New Roman"/>
          <w:color w:val="000000" w:themeColor="text1"/>
          <w:kern w:val="0"/>
          <w14:ligatures w14:val="none"/>
        </w:rPr>
        <w:t xml:space="preserve">cycle, </w:t>
      </w:r>
      <w:r w:rsidRPr="00CD37DF" w:rsidR="00BB7C78">
        <w:rPr>
          <w:rFonts w:ascii="Palatino Linotype" w:hAnsi="Palatino Linotype" w:eastAsia="Palatino Linotype" w:cs="Times New Roman"/>
          <w:color w:val="000000" w:themeColor="text1"/>
          <w:kern w:val="0"/>
          <w14:ligatures w14:val="none"/>
        </w:rPr>
        <w:t>approved Investment Plan</w:t>
      </w:r>
      <w:r w:rsidR="00BB7C78">
        <w:rPr>
          <w:rFonts w:ascii="Palatino Linotype" w:hAnsi="Palatino Linotype" w:eastAsia="Palatino Linotype" w:cs="Times New Roman"/>
          <w:color w:val="000000" w:themeColor="text1"/>
          <w:kern w:val="0"/>
          <w14:ligatures w14:val="none"/>
        </w:rPr>
        <w:t>, and Initiative</w:t>
      </w:r>
      <w:r w:rsidRPr="00CD37DF" w:rsidR="00BB7C78">
        <w:rPr>
          <w:rFonts w:ascii="Palatino Linotype" w:hAnsi="Palatino Linotype" w:eastAsia="Palatino Linotype" w:cs="Times New Roman"/>
          <w:color w:val="000000" w:themeColor="text1"/>
          <w:kern w:val="0"/>
          <w14:ligatures w14:val="none"/>
        </w:rPr>
        <w:t xml:space="preserve"> associated</w:t>
      </w:r>
      <w:r w:rsidR="00BB7C78">
        <w:rPr>
          <w:rFonts w:ascii="Palatino Linotype" w:hAnsi="Palatino Linotype" w:eastAsia="Palatino Linotype" w:cs="Times New Roman"/>
          <w:color w:val="000000" w:themeColor="text1"/>
          <w:kern w:val="0"/>
          <w14:ligatures w14:val="none"/>
        </w:rPr>
        <w:t xml:space="preserve"> with each project. </w:t>
      </w:r>
      <w:r w:rsidRPr="005A2E42" w:rsidR="005A2E42">
        <w:rPr>
          <w:rFonts w:ascii="Palatino Linotype" w:hAnsi="Palatino Linotype" w:eastAsia="Palatino Linotype" w:cs="Times New Roman"/>
          <w:kern w:val="0"/>
          <w14:ligatures w14:val="none"/>
        </w:rPr>
        <w:t xml:space="preserve">To ensure public transparency and inform CPUC oversight, </w:t>
      </w:r>
      <w:r w:rsidR="00BD2B43">
        <w:rPr>
          <w:rFonts w:ascii="Palatino Linotype" w:hAnsi="Palatino Linotype" w:eastAsia="Palatino Linotype" w:cs="Times New Roman"/>
          <w:color w:val="000000" w:themeColor="text1"/>
          <w:kern w:val="0"/>
          <w14:ligatures w14:val="none"/>
        </w:rPr>
        <w:t>SoCalGas</w:t>
      </w:r>
      <w:r w:rsidRPr="007E7B6A" w:rsidR="00BD2B43">
        <w:rPr>
          <w:rFonts w:ascii="Palatino Linotype" w:hAnsi="Palatino Linotype" w:eastAsia="Palatino Linotype" w:cs="Times New Roman"/>
          <w:color w:val="000000" w:themeColor="text1"/>
          <w:kern w:val="0"/>
          <w14:ligatures w14:val="none"/>
        </w:rPr>
        <w:t xml:space="preserve"> </w:t>
      </w:r>
      <w:r w:rsidRPr="005A2E42" w:rsidR="005A2E42">
        <w:rPr>
          <w:rFonts w:ascii="Palatino Linotype" w:hAnsi="Palatino Linotype" w:eastAsia="Palatino Linotype" w:cs="Times New Roman"/>
          <w:kern w:val="0"/>
          <w14:ligatures w14:val="none"/>
        </w:rPr>
        <w:t>shall utilize a standardized template provided by Energy Division staff to include</w:t>
      </w:r>
      <w:r w:rsidR="00F01C7B">
        <w:rPr>
          <w:rFonts w:ascii="Palatino Linotype" w:hAnsi="Palatino Linotype" w:eastAsia="Palatino Linotype" w:cs="Times New Roman"/>
          <w:kern w:val="0"/>
          <w14:ligatures w14:val="none"/>
        </w:rPr>
        <w:t xml:space="preserve"> both: 1) s</w:t>
      </w:r>
      <w:r w:rsidRPr="00F01C7B" w:rsidR="00341840">
        <w:rPr>
          <w:rFonts w:ascii="Palatino Linotype" w:hAnsi="Palatino Linotype" w:eastAsia="Palatino Linotype" w:cs="Times New Roman"/>
          <w:color w:val="000000" w:themeColor="text1"/>
          <w:kern w:val="0"/>
          <w14:ligatures w14:val="none"/>
        </w:rPr>
        <w:t>ynthesized major accomplishments and contributions to Gas RD&amp;D</w:t>
      </w:r>
      <w:r w:rsidR="00F01C7B">
        <w:rPr>
          <w:rFonts w:ascii="Palatino Linotype" w:hAnsi="Palatino Linotype" w:eastAsia="Palatino Linotype" w:cs="Times New Roman"/>
          <w:color w:val="000000" w:themeColor="text1"/>
          <w:kern w:val="0"/>
          <w14:ligatures w14:val="none"/>
        </w:rPr>
        <w:t>, and 2) d</w:t>
      </w:r>
      <w:r w:rsidRPr="00F01C7B" w:rsidR="00341840">
        <w:rPr>
          <w:rFonts w:ascii="Palatino Linotype" w:hAnsi="Palatino Linotype" w:eastAsia="Palatino Linotype" w:cs="Times New Roman"/>
          <w:color w:val="000000" w:themeColor="text1"/>
          <w:kern w:val="0"/>
          <w14:ligatures w14:val="none"/>
        </w:rPr>
        <w:t>etailed information on all active and recently completed projects and realized ratepayer benefits, clearly identifying the associated approved Plans and specific Initiatives.</w:t>
      </w:r>
    </w:p>
    <w:p w:rsidRPr="001942D0" w:rsidR="005A2E42" w:rsidP="00F97978" w:rsidRDefault="005A2E42" w14:paraId="2240430D" w14:textId="77777777">
      <w:pPr>
        <w:spacing w:after="0" w:line="276" w:lineRule="auto"/>
        <w:rPr>
          <w:rFonts w:ascii="Palatino Linotype" w:hAnsi="Palatino Linotype" w:eastAsia="Palatino Linotype" w:cs="Times New Roman"/>
          <w:kern w:val="0"/>
          <w14:ligatures w14:val="none"/>
        </w:rPr>
      </w:pPr>
    </w:p>
    <w:p w:rsidRPr="00644FCA" w:rsidR="00A76F4A" w:rsidP="00F97978" w:rsidRDefault="00A76F4A" w14:paraId="3D85FD64" w14:textId="63A5DED9">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Comments</w:t>
      </w:r>
    </w:p>
    <w:p w:rsidRPr="001942D0" w:rsidR="00A76F4A" w:rsidP="00384D0A" w:rsidRDefault="00A76F4A" w14:paraId="73D79B48" w14:textId="7E4E1856">
      <w:pPr>
        <w:spacing w:after="0" w:line="276"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 Section 311(g)(2) provides that this 30-day review period and 20-day comment period may be reduced or waived upon the stipulation of all parties in the proceeding</w:t>
      </w:r>
      <w:r w:rsidR="00384D0A">
        <w:rPr>
          <w:rFonts w:ascii="Palatino Linotype" w:hAnsi="Palatino Linotype" w:eastAsia="Palatino Linotype" w:cs="Times New Roman"/>
          <w:kern w:val="0"/>
          <w14:ligatures w14:val="none"/>
        </w:rPr>
        <w:t xml:space="preserve">. </w:t>
      </w:r>
      <w:r w:rsidRPr="00384D0A" w:rsidR="00384D0A">
        <w:rPr>
          <w:rFonts w:ascii="Palatino Linotype" w:hAnsi="Palatino Linotype" w:eastAsia="Palatino Linotype" w:cs="Times New Roman"/>
          <w:kern w:val="0"/>
          <w14:ligatures w14:val="none"/>
        </w:rPr>
        <w:t xml:space="preserve">Comments must be limited to </w:t>
      </w:r>
      <w:r w:rsidR="008A6FE2">
        <w:rPr>
          <w:rFonts w:ascii="Palatino Linotype" w:hAnsi="Palatino Linotype" w:eastAsia="Palatino Linotype" w:cs="Times New Roman"/>
          <w:kern w:val="0"/>
          <w14:ligatures w14:val="none"/>
        </w:rPr>
        <w:br/>
      </w:r>
      <w:r w:rsidRPr="00384D0A" w:rsidR="00384D0A">
        <w:rPr>
          <w:rFonts w:ascii="Palatino Linotype" w:hAnsi="Palatino Linotype" w:eastAsia="Palatino Linotype" w:cs="Times New Roman"/>
          <w:kern w:val="0"/>
          <w14:ligatures w14:val="none"/>
        </w:rPr>
        <w:t>10 pages or less.</w:t>
      </w:r>
    </w:p>
    <w:p w:rsidR="00A76F4A" w:rsidP="00713FD6" w:rsidRDefault="00A76F4A" w14:paraId="2ADB9E57" w14:textId="77777777">
      <w:pPr>
        <w:keepNext/>
        <w:spacing w:after="120" w:line="276" w:lineRule="auto"/>
        <w:outlineLvl w:val="0"/>
        <w:rPr>
          <w:rFonts w:ascii="Palatino Linotype" w:hAnsi="Palatino Linotype" w:eastAsia="Palatino Linotype" w:cs="Times New Roman"/>
          <w:kern w:val="0"/>
          <w14:ligatures w14:val="none"/>
        </w:rPr>
      </w:pPr>
    </w:p>
    <w:p w:rsidRPr="00D23E96" w:rsidR="00A76F4A" w:rsidP="00713FD6" w:rsidRDefault="00A76F4A" w14:paraId="79D6F305" w14:textId="79FEB08E">
      <w:pPr>
        <w:keepNext/>
        <w:spacing w:before="120" w:after="240" w:line="276"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7E7B29" w:rsidR="00A76F4A" w:rsidP="00713FD6" w:rsidRDefault="00D23E96" w14:paraId="4636079E" w14:textId="2B30A36C">
      <w:pPr>
        <w:pStyle w:val="ListParagraph"/>
        <w:keepNext/>
        <w:numPr>
          <w:ilvl w:val="0"/>
          <w:numId w:val="11"/>
        </w:numPr>
        <w:spacing w:after="0" w:line="276" w:lineRule="auto"/>
        <w:rPr>
          <w:rFonts w:ascii="Palatino Linotype" w:hAnsi="Palatino Linotype" w:eastAsia="Palatino Linotype" w:cs="Times New Roman"/>
          <w:color w:val="000000" w:themeColor="text1"/>
          <w:kern w:val="0"/>
          <w14:ligatures w14:val="none"/>
        </w:rPr>
      </w:pPr>
      <w:r w:rsidRPr="00D23E96">
        <w:rPr>
          <w:rFonts w:ascii="Palatino Linotype" w:hAnsi="Palatino Linotype" w:eastAsia="Palatino Linotype" w:cs="Times New Roman"/>
          <w:color w:val="000000" w:themeColor="text1"/>
          <w:kern w:val="0"/>
          <w14:ligatures w14:val="none"/>
        </w:rPr>
        <w:t>Southern California Gas Company (SoCalGas)</w:t>
      </w:r>
      <w:r w:rsidRPr="00D23E96" w:rsidR="00E05F3E">
        <w:rPr>
          <w:rFonts w:ascii="Palatino Linotype" w:hAnsi="Palatino Linotype" w:eastAsia="Palatino Linotype" w:cs="Times New Roman"/>
          <w:color w:val="000000" w:themeColor="text1"/>
          <w:kern w:val="0"/>
          <w14:ligatures w14:val="none"/>
        </w:rPr>
        <w:t xml:space="preserve"> filed its </w:t>
      </w:r>
      <w:r w:rsidRPr="00D23E96">
        <w:rPr>
          <w:rFonts w:ascii="Palatino Linotype" w:hAnsi="Palatino Linotype" w:eastAsia="Palatino Linotype" w:cs="Times New Roman"/>
          <w:color w:val="000000" w:themeColor="text1"/>
          <w:kern w:val="0"/>
          <w14:ligatures w14:val="none"/>
        </w:rPr>
        <w:t xml:space="preserve">2024, 2025, 2026, and 2027 </w:t>
      </w:r>
      <w:r w:rsidRPr="00D23E96" w:rsidR="00E05F3E">
        <w:rPr>
          <w:rFonts w:ascii="Palatino Linotype" w:hAnsi="Palatino Linotype" w:eastAsia="Palatino Linotype" w:cs="Times New Roman"/>
          <w:color w:val="000000" w:themeColor="text1"/>
          <w:kern w:val="0"/>
          <w14:ligatures w14:val="none"/>
        </w:rPr>
        <w:t xml:space="preserve">Gas Research, Development, </w:t>
      </w:r>
      <w:r w:rsidRPr="00D23E96" w:rsidR="00645ABD">
        <w:rPr>
          <w:rFonts w:ascii="Palatino Linotype" w:hAnsi="Palatino Linotype" w:eastAsia="Palatino Linotype" w:cs="Times New Roman"/>
          <w:color w:val="000000" w:themeColor="text1"/>
          <w:kern w:val="0"/>
          <w14:ligatures w14:val="none"/>
        </w:rPr>
        <w:t>and Demonstration (RD&amp;D) Investment Plan</w:t>
      </w:r>
      <w:r w:rsidRPr="00D23E96">
        <w:rPr>
          <w:rFonts w:ascii="Palatino Linotype" w:hAnsi="Palatino Linotype" w:eastAsia="Palatino Linotype" w:cs="Times New Roman"/>
          <w:color w:val="000000" w:themeColor="text1"/>
          <w:kern w:val="0"/>
          <w14:ligatures w14:val="none"/>
        </w:rPr>
        <w:t>s</w:t>
      </w:r>
      <w:r w:rsidRPr="00D23E96" w:rsidR="00645ABD">
        <w:rPr>
          <w:rFonts w:ascii="Palatino Linotype" w:hAnsi="Palatino Linotype" w:eastAsia="Palatino Linotype" w:cs="Times New Roman"/>
          <w:color w:val="000000" w:themeColor="text1"/>
          <w:kern w:val="0"/>
          <w14:ligatures w14:val="none"/>
        </w:rPr>
        <w:t xml:space="preserve"> </w:t>
      </w:r>
      <w:r w:rsidRPr="007E7B29" w:rsidR="00645ABD">
        <w:rPr>
          <w:rFonts w:ascii="Palatino Linotype" w:hAnsi="Palatino Linotype" w:eastAsia="Palatino Linotype" w:cs="Times New Roman"/>
          <w:color w:val="000000" w:themeColor="text1"/>
          <w:kern w:val="0"/>
          <w14:ligatures w14:val="none"/>
        </w:rPr>
        <w:t>p</w:t>
      </w:r>
      <w:r w:rsidRPr="007E7B29" w:rsidR="002862CE">
        <w:rPr>
          <w:rFonts w:ascii="Palatino Linotype" w:hAnsi="Palatino Linotype" w:eastAsia="Palatino Linotype" w:cs="Times New Roman"/>
          <w:color w:val="000000" w:themeColor="text1"/>
          <w:kern w:val="0"/>
          <w14:ligatures w14:val="none"/>
        </w:rPr>
        <w:t>ursuant to</w:t>
      </w:r>
      <w:r w:rsidRPr="007E7B29" w:rsidR="006606CD">
        <w:rPr>
          <w:rFonts w:ascii="Palatino Linotype" w:hAnsi="Palatino Linotype" w:eastAsia="Palatino Linotype" w:cs="Times New Roman"/>
          <w:color w:val="000000" w:themeColor="text1"/>
          <w:kern w:val="0"/>
          <w14:ligatures w14:val="none"/>
        </w:rPr>
        <w:t xml:space="preserve"> </w:t>
      </w:r>
      <w:r w:rsidRPr="007E7B29">
        <w:rPr>
          <w:rFonts w:ascii="Palatino Linotype" w:hAnsi="Palatino Linotype" w:eastAsia="Palatino Linotype" w:cs="Times New Roman"/>
          <w:color w:val="000000" w:themeColor="text1"/>
          <w:kern w:val="0"/>
          <w14:ligatures w14:val="none"/>
        </w:rPr>
        <w:t>D.19-09-051 and D.24-12-074.</w:t>
      </w:r>
    </w:p>
    <w:p w:rsidRPr="00A05ECF" w:rsidR="008C01E3" w:rsidP="00477204" w:rsidRDefault="00BA7778" w14:paraId="2120DD0B" w14:textId="06383D3E">
      <w:pPr>
        <w:pStyle w:val="ListParagraph"/>
        <w:numPr>
          <w:ilvl w:val="0"/>
          <w:numId w:val="11"/>
        </w:numPr>
        <w:spacing w:after="0" w:line="276" w:lineRule="auto"/>
        <w:rPr>
          <w:rFonts w:ascii="Palatino Linotype" w:hAnsi="Palatino Linotype" w:eastAsia="Palatino Linotype" w:cs="Times New Roman"/>
          <w:color w:val="000000" w:themeColor="text1"/>
          <w:kern w:val="0"/>
          <w14:ligatures w14:val="none"/>
        </w:rPr>
      </w:pPr>
      <w:r w:rsidRPr="008C01E3">
        <w:rPr>
          <w:rFonts w:ascii="Palatino Linotype" w:hAnsi="Palatino Linotype" w:eastAsia="Palatino Linotype" w:cs="Times New Roman"/>
          <w:color w:val="000000" w:themeColor="text1"/>
          <w:kern w:val="0"/>
          <w14:ligatures w14:val="none"/>
        </w:rPr>
        <w:t xml:space="preserve">SoCalGas does </w:t>
      </w:r>
      <w:r w:rsidRPr="00A05ECF">
        <w:rPr>
          <w:rFonts w:ascii="Palatino Linotype" w:hAnsi="Palatino Linotype" w:eastAsia="Palatino Linotype" w:cs="Times New Roman"/>
          <w:color w:val="000000" w:themeColor="text1"/>
          <w:kern w:val="0"/>
          <w14:ligatures w14:val="none"/>
        </w:rPr>
        <w:t>not demonstrate compliance with</w:t>
      </w:r>
      <w:r w:rsidR="0090125E">
        <w:rPr>
          <w:rFonts w:ascii="Palatino Linotype" w:hAnsi="Palatino Linotype" w:eastAsia="Palatino Linotype" w:cs="Times New Roman"/>
          <w:color w:val="000000" w:themeColor="text1"/>
          <w:kern w:val="0"/>
          <w14:ligatures w14:val="none"/>
        </w:rPr>
        <w:t xml:space="preserve"> all</w:t>
      </w:r>
      <w:r w:rsidRPr="00A05ECF">
        <w:rPr>
          <w:rFonts w:ascii="Palatino Linotype" w:hAnsi="Palatino Linotype" w:eastAsia="Palatino Linotype" w:cs="Times New Roman"/>
          <w:color w:val="000000" w:themeColor="text1"/>
          <w:kern w:val="0"/>
          <w14:ligatures w14:val="none"/>
        </w:rPr>
        <w:t xml:space="preserve"> requirements set forth by </w:t>
      </w:r>
      <w:r w:rsidRPr="00A05ECF" w:rsidR="00B46B21">
        <w:rPr>
          <w:rFonts w:ascii="Palatino Linotype" w:hAnsi="Palatino Linotype" w:eastAsia="Palatino Linotype" w:cs="Times New Roman"/>
          <w:color w:val="000000" w:themeColor="text1"/>
          <w:kern w:val="0"/>
          <w14:ligatures w14:val="none"/>
        </w:rPr>
        <w:t>Public Utilities Code 740.1, D.19-09-051, D.24-12-074, and Commission Resolutions</w:t>
      </w:r>
      <w:r w:rsidRPr="00A05ECF">
        <w:rPr>
          <w:rFonts w:ascii="Palatino Linotype" w:hAnsi="Palatino Linotype" w:eastAsia="Palatino Linotype" w:cs="Times New Roman"/>
          <w:color w:val="000000" w:themeColor="text1"/>
          <w:kern w:val="0"/>
          <w14:ligatures w14:val="none"/>
        </w:rPr>
        <w:t xml:space="preserve"> in its proposed</w:t>
      </w:r>
      <w:r w:rsidRPr="00A05ECF" w:rsidR="008C01E3">
        <w:rPr>
          <w:rFonts w:ascii="Palatino Linotype" w:hAnsi="Palatino Linotype" w:eastAsia="Palatino Linotype" w:cs="Times New Roman"/>
          <w:color w:val="000000" w:themeColor="text1"/>
          <w:kern w:val="0"/>
          <w14:ligatures w14:val="none"/>
        </w:rPr>
        <w:t>:</w:t>
      </w:r>
      <w:r w:rsidRPr="00A05ECF">
        <w:rPr>
          <w:rFonts w:ascii="Palatino Linotype" w:hAnsi="Palatino Linotype" w:eastAsia="Palatino Linotype" w:cs="Times New Roman"/>
          <w:color w:val="000000" w:themeColor="text1"/>
          <w:kern w:val="0"/>
          <w14:ligatures w14:val="none"/>
        </w:rPr>
        <w:t xml:space="preserve"> </w:t>
      </w:r>
    </w:p>
    <w:p w:rsidRPr="00A05ECF" w:rsidR="008C01E3" w:rsidP="00477204" w:rsidRDefault="008C01E3" w14:paraId="294A3360" w14:textId="7486344F">
      <w:pPr>
        <w:pStyle w:val="ListParagraph"/>
        <w:numPr>
          <w:ilvl w:val="1"/>
          <w:numId w:val="11"/>
        </w:numPr>
        <w:spacing w:after="0" w:line="276" w:lineRule="auto"/>
        <w:rPr>
          <w:rFonts w:ascii="Palatino Linotype" w:hAnsi="Palatino Linotype" w:eastAsia="Palatino Linotype" w:cs="Times New Roman"/>
          <w:color w:val="000000" w:themeColor="text1"/>
          <w:kern w:val="0"/>
          <w14:ligatures w14:val="none"/>
        </w:rPr>
      </w:pPr>
      <w:r w:rsidRPr="00A05ECF">
        <w:rPr>
          <w:rFonts w:ascii="Palatino Linotype" w:hAnsi="Palatino Linotype" w:eastAsia="Palatino Linotype" w:cs="Times New Roman"/>
          <w:color w:val="000000" w:themeColor="text1"/>
          <w:kern w:val="0"/>
          <w14:ligatures w14:val="none"/>
        </w:rPr>
        <w:t xml:space="preserve">2024 Gas RD&amp;D Plan submitted via Tier 3 AL 6495-G-A </w:t>
      </w:r>
      <w:proofErr w:type="gramStart"/>
      <w:r w:rsidRPr="00A05ECF">
        <w:rPr>
          <w:rFonts w:ascii="Palatino Linotype" w:hAnsi="Palatino Linotype" w:eastAsia="Palatino Linotype" w:cs="Times New Roman"/>
          <w:color w:val="000000" w:themeColor="text1"/>
          <w:kern w:val="0"/>
          <w14:ligatures w14:val="none"/>
        </w:rPr>
        <w:t>where</w:t>
      </w:r>
      <w:proofErr w:type="gramEnd"/>
      <w:r w:rsidRPr="00A05ECF">
        <w:rPr>
          <w:rFonts w:ascii="Palatino Linotype" w:hAnsi="Palatino Linotype" w:eastAsia="Palatino Linotype" w:cs="Times New Roman"/>
          <w:color w:val="000000" w:themeColor="text1"/>
          <w:kern w:val="0"/>
          <w14:ligatures w14:val="none"/>
        </w:rPr>
        <w:t xml:space="preserve"> noted in Appendix G</w:t>
      </w:r>
      <w:r w:rsidRPr="00A05ECF" w:rsidR="002504DB">
        <w:rPr>
          <w:rFonts w:ascii="Palatino Linotype" w:hAnsi="Palatino Linotype" w:eastAsia="Palatino Linotype" w:cs="Times New Roman"/>
          <w:color w:val="000000" w:themeColor="text1"/>
          <w:kern w:val="0"/>
          <w14:ligatures w14:val="none"/>
        </w:rPr>
        <w:t>.</w:t>
      </w:r>
    </w:p>
    <w:p w:rsidRPr="00A05ECF" w:rsidR="008C01E3" w:rsidP="00477204" w:rsidRDefault="008C01E3" w14:paraId="3D1AC975" w14:textId="6D9BCD8C">
      <w:pPr>
        <w:pStyle w:val="ListParagraph"/>
        <w:numPr>
          <w:ilvl w:val="1"/>
          <w:numId w:val="11"/>
        </w:numPr>
        <w:spacing w:after="0" w:line="276" w:lineRule="auto"/>
        <w:rPr>
          <w:rFonts w:ascii="Palatino Linotype" w:hAnsi="Palatino Linotype" w:eastAsia="Palatino Linotype" w:cs="Times New Roman"/>
          <w:color w:val="000000" w:themeColor="text1"/>
          <w:kern w:val="0"/>
          <w14:ligatures w14:val="none"/>
        </w:rPr>
      </w:pPr>
      <w:r w:rsidRPr="00A05ECF">
        <w:rPr>
          <w:rFonts w:ascii="Palatino Linotype" w:hAnsi="Palatino Linotype" w:eastAsia="Palatino Linotype" w:cs="Times New Roman"/>
          <w:color w:val="000000" w:themeColor="text1"/>
          <w:kern w:val="0"/>
          <w14:ligatures w14:val="none"/>
        </w:rPr>
        <w:t xml:space="preserve">2025 Gas RD&amp;D Plan submitted via Tier 3 AL 6496-G-A </w:t>
      </w:r>
      <w:proofErr w:type="gramStart"/>
      <w:r w:rsidRPr="00A05ECF">
        <w:rPr>
          <w:rFonts w:ascii="Palatino Linotype" w:hAnsi="Palatino Linotype" w:eastAsia="Palatino Linotype" w:cs="Times New Roman"/>
          <w:color w:val="000000" w:themeColor="text1"/>
          <w:kern w:val="0"/>
          <w14:ligatures w14:val="none"/>
        </w:rPr>
        <w:t>where</w:t>
      </w:r>
      <w:proofErr w:type="gramEnd"/>
      <w:r w:rsidRPr="00A05ECF">
        <w:rPr>
          <w:rFonts w:ascii="Palatino Linotype" w:hAnsi="Palatino Linotype" w:eastAsia="Palatino Linotype" w:cs="Times New Roman"/>
          <w:color w:val="000000" w:themeColor="text1"/>
          <w:kern w:val="0"/>
          <w14:ligatures w14:val="none"/>
        </w:rPr>
        <w:t xml:space="preserve"> noted in Appendix H.</w:t>
      </w:r>
    </w:p>
    <w:p w:rsidRPr="00A05ECF" w:rsidR="008C01E3" w:rsidP="00477204" w:rsidRDefault="008C01E3" w14:paraId="3D13E481" w14:textId="1EA1B7F4">
      <w:pPr>
        <w:pStyle w:val="ListParagraph"/>
        <w:numPr>
          <w:ilvl w:val="1"/>
          <w:numId w:val="11"/>
        </w:numPr>
        <w:spacing w:after="0" w:line="276" w:lineRule="auto"/>
        <w:rPr>
          <w:rFonts w:ascii="Palatino Linotype" w:hAnsi="Palatino Linotype" w:eastAsia="Palatino Linotype" w:cs="Times New Roman"/>
          <w:color w:val="000000" w:themeColor="text1"/>
          <w:kern w:val="0"/>
          <w14:ligatures w14:val="none"/>
        </w:rPr>
      </w:pPr>
      <w:r w:rsidRPr="00A05ECF">
        <w:rPr>
          <w:rFonts w:ascii="Palatino Linotype" w:hAnsi="Palatino Linotype" w:eastAsia="Palatino Linotype" w:cs="Times New Roman"/>
          <w:color w:val="000000" w:themeColor="text1"/>
          <w:kern w:val="0"/>
          <w14:ligatures w14:val="none"/>
        </w:rPr>
        <w:t xml:space="preserve">2026 Gas RD&amp;D Plan submitted via Tier 3 AL 6645-G </w:t>
      </w:r>
      <w:proofErr w:type="gramStart"/>
      <w:r w:rsidRPr="00A05ECF">
        <w:rPr>
          <w:rFonts w:ascii="Palatino Linotype" w:hAnsi="Palatino Linotype" w:eastAsia="Palatino Linotype" w:cs="Times New Roman"/>
          <w:color w:val="000000" w:themeColor="text1"/>
          <w:kern w:val="0"/>
          <w14:ligatures w14:val="none"/>
        </w:rPr>
        <w:t>where</w:t>
      </w:r>
      <w:proofErr w:type="gramEnd"/>
      <w:r w:rsidRPr="00A05ECF">
        <w:rPr>
          <w:rFonts w:ascii="Palatino Linotype" w:hAnsi="Palatino Linotype" w:eastAsia="Palatino Linotype" w:cs="Times New Roman"/>
          <w:color w:val="000000" w:themeColor="text1"/>
          <w:kern w:val="0"/>
          <w14:ligatures w14:val="none"/>
        </w:rPr>
        <w:t xml:space="preserve"> noted in Appendix I.</w:t>
      </w:r>
    </w:p>
    <w:p w:rsidRPr="00A05ECF" w:rsidR="00BA7778" w:rsidP="00477204" w:rsidRDefault="00BA7778" w14:paraId="27468CDE" w14:textId="04CCBA4E">
      <w:pPr>
        <w:pStyle w:val="ListParagraph"/>
        <w:numPr>
          <w:ilvl w:val="1"/>
          <w:numId w:val="11"/>
        </w:numPr>
        <w:spacing w:after="0" w:line="276" w:lineRule="auto"/>
        <w:rPr>
          <w:rFonts w:ascii="Palatino Linotype" w:hAnsi="Palatino Linotype" w:eastAsia="Palatino Linotype" w:cs="Times New Roman"/>
          <w:color w:val="000000" w:themeColor="text1"/>
          <w:kern w:val="0"/>
          <w14:ligatures w14:val="none"/>
        </w:rPr>
      </w:pPr>
      <w:r w:rsidRPr="00A05ECF">
        <w:rPr>
          <w:rFonts w:ascii="Palatino Linotype" w:hAnsi="Palatino Linotype" w:eastAsia="Palatino Linotype" w:cs="Times New Roman"/>
          <w:color w:val="000000" w:themeColor="text1"/>
          <w:kern w:val="0"/>
          <w14:ligatures w14:val="none"/>
        </w:rPr>
        <w:t>2027 Gas RD&amp;D Plan submitted via Tier 3 AL 6</w:t>
      </w:r>
      <w:r w:rsidRPr="00A05ECF" w:rsidR="00204067">
        <w:rPr>
          <w:rFonts w:ascii="Palatino Linotype" w:hAnsi="Palatino Linotype" w:eastAsia="Palatino Linotype" w:cs="Times New Roman"/>
          <w:color w:val="000000" w:themeColor="text1"/>
          <w:kern w:val="0"/>
          <w14:ligatures w14:val="none"/>
        </w:rPr>
        <w:t>646-G</w:t>
      </w:r>
      <w:r w:rsidRPr="00A05ECF">
        <w:rPr>
          <w:rFonts w:ascii="Palatino Linotype" w:hAnsi="Palatino Linotype" w:eastAsia="Palatino Linotype" w:cs="Times New Roman"/>
          <w:color w:val="000000" w:themeColor="text1"/>
          <w:kern w:val="0"/>
          <w14:ligatures w14:val="none"/>
        </w:rPr>
        <w:t xml:space="preserve"> </w:t>
      </w:r>
      <w:proofErr w:type="gramStart"/>
      <w:r w:rsidRPr="00A05ECF">
        <w:rPr>
          <w:rFonts w:ascii="Palatino Linotype" w:hAnsi="Palatino Linotype" w:eastAsia="Palatino Linotype" w:cs="Times New Roman"/>
          <w:color w:val="000000" w:themeColor="text1"/>
          <w:kern w:val="0"/>
          <w14:ligatures w14:val="none"/>
        </w:rPr>
        <w:t>where</w:t>
      </w:r>
      <w:proofErr w:type="gramEnd"/>
      <w:r w:rsidRPr="00A05ECF">
        <w:rPr>
          <w:rFonts w:ascii="Palatino Linotype" w:hAnsi="Palatino Linotype" w:eastAsia="Palatino Linotype" w:cs="Times New Roman"/>
          <w:color w:val="000000" w:themeColor="text1"/>
          <w:kern w:val="0"/>
          <w14:ligatures w14:val="none"/>
        </w:rPr>
        <w:t xml:space="preserve"> noted in Appendix </w:t>
      </w:r>
      <w:r w:rsidRPr="00A05ECF" w:rsidR="00204067">
        <w:rPr>
          <w:rFonts w:ascii="Palatino Linotype" w:hAnsi="Palatino Linotype" w:eastAsia="Palatino Linotype" w:cs="Times New Roman"/>
          <w:color w:val="000000" w:themeColor="text1"/>
          <w:kern w:val="0"/>
          <w14:ligatures w14:val="none"/>
        </w:rPr>
        <w:t>J</w:t>
      </w:r>
      <w:r w:rsidRPr="00A05ECF" w:rsidR="008C01E3">
        <w:rPr>
          <w:rFonts w:ascii="Palatino Linotype" w:hAnsi="Palatino Linotype" w:eastAsia="Palatino Linotype" w:cs="Times New Roman"/>
          <w:color w:val="000000" w:themeColor="text1"/>
          <w:kern w:val="0"/>
          <w14:ligatures w14:val="none"/>
        </w:rPr>
        <w:t>.</w:t>
      </w:r>
    </w:p>
    <w:p w:rsidR="005C464A" w:rsidP="00477204" w:rsidRDefault="005C464A" w14:paraId="0AA761B5" w14:textId="30071944">
      <w:pPr>
        <w:pStyle w:val="ListParagraph"/>
        <w:numPr>
          <w:ilvl w:val="0"/>
          <w:numId w:val="11"/>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Pursuant to Resolution G-3601</w:t>
      </w:r>
      <w:r w:rsidR="004123A3">
        <w:rPr>
          <w:rFonts w:ascii="Palatino Linotype" w:hAnsi="Palatino Linotype" w:eastAsia="Palatino Linotype" w:cs="Times New Roman"/>
          <w:color w:val="000000" w:themeColor="text1"/>
          <w:kern w:val="0"/>
          <w14:ligatures w14:val="none"/>
        </w:rPr>
        <w:t xml:space="preserve"> at OP 6</w:t>
      </w:r>
      <w:r>
        <w:rPr>
          <w:rFonts w:ascii="Palatino Linotype" w:hAnsi="Palatino Linotype" w:eastAsia="Palatino Linotype" w:cs="Times New Roman"/>
          <w:color w:val="000000" w:themeColor="text1"/>
          <w:kern w:val="0"/>
          <w14:ligatures w14:val="none"/>
        </w:rPr>
        <w:t>, SoCalGas is required to:</w:t>
      </w:r>
    </w:p>
    <w:p w:rsidR="00E923FF" w:rsidP="005C464A" w:rsidRDefault="005C464A" w14:paraId="0EA560A5" w14:textId="43F1F1D5">
      <w:pPr>
        <w:pStyle w:val="ListParagraph"/>
        <w:numPr>
          <w:ilvl w:val="1"/>
          <w:numId w:val="11"/>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P</w:t>
      </w:r>
      <w:r w:rsidRPr="00A05ECF" w:rsidR="00E923FF">
        <w:rPr>
          <w:rFonts w:ascii="Palatino Linotype" w:hAnsi="Palatino Linotype" w:eastAsia="Palatino Linotype" w:cs="Times New Roman"/>
          <w:color w:val="000000" w:themeColor="text1"/>
          <w:kern w:val="0"/>
          <w14:ligatures w14:val="none"/>
        </w:rPr>
        <w:t>resent</w:t>
      </w:r>
      <w:r w:rsidRPr="00A05ECF" w:rsidR="003366F2">
        <w:rPr>
          <w:rFonts w:ascii="Palatino Linotype" w:hAnsi="Palatino Linotype" w:eastAsia="Palatino Linotype" w:cs="Times New Roman"/>
          <w:color w:val="000000" w:themeColor="text1"/>
          <w:kern w:val="0"/>
          <w14:ligatures w14:val="none"/>
        </w:rPr>
        <w:t xml:space="preserve"> all anticipated Initiatives in its proposed Plan to Energy Division </w:t>
      </w:r>
      <w:r w:rsidRPr="00A05ECF" w:rsidR="00E00A4A">
        <w:rPr>
          <w:rFonts w:ascii="Palatino Linotype" w:hAnsi="Palatino Linotype" w:eastAsia="Palatino Linotype" w:cs="Times New Roman"/>
          <w:color w:val="000000" w:themeColor="text1"/>
          <w:kern w:val="0"/>
          <w14:ligatures w14:val="none"/>
        </w:rPr>
        <w:t xml:space="preserve">and incorporate feedback </w:t>
      </w:r>
      <w:r w:rsidRPr="00A05ECF" w:rsidR="00602368">
        <w:rPr>
          <w:rFonts w:ascii="Palatino Linotype" w:hAnsi="Palatino Linotype" w:eastAsia="Palatino Linotype" w:cs="Times New Roman"/>
          <w:color w:val="000000" w:themeColor="text1"/>
          <w:kern w:val="0"/>
          <w14:ligatures w14:val="none"/>
        </w:rPr>
        <w:t>prior to Plan submittal.</w:t>
      </w:r>
      <w:r w:rsidR="005D124F">
        <w:rPr>
          <w:rStyle w:val="FootnoteReference"/>
          <w:rFonts w:ascii="Palatino Linotype" w:hAnsi="Palatino Linotype" w:eastAsia="Palatino Linotype" w:cs="Times New Roman"/>
          <w:color w:val="000000" w:themeColor="text1"/>
          <w:kern w:val="0"/>
          <w14:ligatures w14:val="none"/>
        </w:rPr>
        <w:footnoteReference w:id="154"/>
      </w:r>
    </w:p>
    <w:p w:rsidR="000F372C" w:rsidP="005C464A" w:rsidRDefault="005C464A" w14:paraId="4A599E1B" w14:textId="4D308810">
      <w:pPr>
        <w:pStyle w:val="ListParagraph"/>
        <w:numPr>
          <w:ilvl w:val="1"/>
          <w:numId w:val="11"/>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S</w:t>
      </w:r>
      <w:r w:rsidR="000F372C">
        <w:rPr>
          <w:rFonts w:ascii="Palatino Linotype" w:hAnsi="Palatino Linotype" w:eastAsia="Palatino Linotype" w:cs="Times New Roman"/>
          <w:color w:val="000000" w:themeColor="text1"/>
          <w:kern w:val="0"/>
          <w14:ligatures w14:val="none"/>
        </w:rPr>
        <w:t xml:space="preserve">elect </w:t>
      </w:r>
      <w:r w:rsidR="00672258">
        <w:rPr>
          <w:rFonts w:ascii="Palatino Linotype" w:hAnsi="Palatino Linotype" w:eastAsia="Palatino Linotype" w:cs="Times New Roman"/>
          <w:color w:val="000000" w:themeColor="text1"/>
          <w:kern w:val="0"/>
          <w14:ligatures w14:val="none"/>
        </w:rPr>
        <w:t xml:space="preserve">and prioritize </w:t>
      </w:r>
      <w:r w:rsidR="000F372C">
        <w:rPr>
          <w:rFonts w:ascii="Palatino Linotype" w:hAnsi="Palatino Linotype" w:eastAsia="Palatino Linotype" w:cs="Times New Roman"/>
          <w:color w:val="000000" w:themeColor="text1"/>
          <w:kern w:val="0"/>
          <w14:ligatures w14:val="none"/>
        </w:rPr>
        <w:t xml:space="preserve">metrics to measure </w:t>
      </w:r>
      <w:r w:rsidR="006D6E49">
        <w:rPr>
          <w:rFonts w:ascii="Palatino Linotype" w:hAnsi="Palatino Linotype" w:eastAsia="Palatino Linotype" w:cs="Times New Roman"/>
          <w:color w:val="000000" w:themeColor="text1"/>
          <w:kern w:val="0"/>
          <w14:ligatures w14:val="none"/>
        </w:rPr>
        <w:t xml:space="preserve">the </w:t>
      </w:r>
      <w:r w:rsidR="000F372C">
        <w:rPr>
          <w:rFonts w:ascii="Palatino Linotype" w:hAnsi="Palatino Linotype" w:eastAsia="Palatino Linotype" w:cs="Times New Roman"/>
          <w:color w:val="000000" w:themeColor="text1"/>
          <w:kern w:val="0"/>
          <w14:ligatures w14:val="none"/>
        </w:rPr>
        <w:t>impacts from ratepayer investment</w:t>
      </w:r>
      <w:r w:rsidR="00A92C7F">
        <w:rPr>
          <w:rFonts w:ascii="Palatino Linotype" w:hAnsi="Palatino Linotype" w:eastAsia="Palatino Linotype" w:cs="Times New Roman"/>
          <w:color w:val="000000" w:themeColor="text1"/>
          <w:kern w:val="0"/>
          <w14:ligatures w14:val="none"/>
        </w:rPr>
        <w:t xml:space="preserve"> that directly relate to the c</w:t>
      </w:r>
      <w:r w:rsidR="003133C3">
        <w:rPr>
          <w:rFonts w:ascii="Palatino Linotype" w:hAnsi="Palatino Linotype" w:eastAsia="Palatino Linotype" w:cs="Times New Roman"/>
          <w:color w:val="000000" w:themeColor="text1"/>
          <w:kern w:val="0"/>
          <w14:ligatures w14:val="none"/>
        </w:rPr>
        <w:t xml:space="preserve">ore purpose of </w:t>
      </w:r>
      <w:r w:rsidR="00D2198F">
        <w:rPr>
          <w:rFonts w:ascii="Palatino Linotype" w:hAnsi="Palatino Linotype" w:eastAsia="Palatino Linotype" w:cs="Times New Roman"/>
          <w:color w:val="000000" w:themeColor="text1"/>
          <w:kern w:val="0"/>
          <w14:ligatures w14:val="none"/>
        </w:rPr>
        <w:t>its proposed Initiatives</w:t>
      </w:r>
      <w:r w:rsidR="00C47AF2">
        <w:rPr>
          <w:rFonts w:ascii="Palatino Linotype" w:hAnsi="Palatino Linotype" w:eastAsia="Palatino Linotype" w:cs="Times New Roman"/>
          <w:color w:val="000000" w:themeColor="text1"/>
          <w:kern w:val="0"/>
          <w14:ligatures w14:val="none"/>
        </w:rPr>
        <w:t xml:space="preserve"> and directly impact </w:t>
      </w:r>
      <w:r w:rsidR="00453D34">
        <w:rPr>
          <w:rFonts w:ascii="Palatino Linotype" w:hAnsi="Palatino Linotype" w:eastAsia="Palatino Linotype" w:cs="Times New Roman"/>
          <w:color w:val="000000" w:themeColor="text1"/>
          <w:kern w:val="0"/>
          <w14:ligatures w14:val="none"/>
        </w:rPr>
        <w:t>customers</w:t>
      </w:r>
      <w:r w:rsidR="00C04E0C">
        <w:rPr>
          <w:rFonts w:ascii="Palatino Linotype" w:hAnsi="Palatino Linotype" w:eastAsia="Palatino Linotype" w:cs="Times New Roman"/>
          <w:color w:val="000000" w:themeColor="text1"/>
          <w:kern w:val="0"/>
          <w14:ligatures w14:val="none"/>
        </w:rPr>
        <w:t xml:space="preserve"> who support the RD&amp;D program</w:t>
      </w:r>
      <w:r w:rsidR="00D2198F">
        <w:rPr>
          <w:rFonts w:ascii="Palatino Linotype" w:hAnsi="Palatino Linotype" w:eastAsia="Palatino Linotype" w:cs="Times New Roman"/>
          <w:color w:val="000000" w:themeColor="text1"/>
          <w:kern w:val="0"/>
          <w14:ligatures w14:val="none"/>
        </w:rPr>
        <w:t>.</w:t>
      </w:r>
      <w:r>
        <w:rPr>
          <w:rStyle w:val="FootnoteReference"/>
          <w:rFonts w:ascii="Palatino Linotype" w:hAnsi="Palatino Linotype" w:eastAsia="Palatino Linotype" w:cs="Times New Roman"/>
          <w:color w:val="000000" w:themeColor="text1"/>
          <w:kern w:val="0"/>
          <w14:ligatures w14:val="none"/>
        </w:rPr>
        <w:footnoteReference w:id="155"/>
      </w:r>
    </w:p>
    <w:p w:rsidRPr="00A05ECF" w:rsidR="00312D15" w:rsidP="00477204" w:rsidRDefault="00312D15" w14:paraId="74EB2196" w14:textId="72754B7E">
      <w:pPr>
        <w:pStyle w:val="ListParagraph"/>
        <w:numPr>
          <w:ilvl w:val="0"/>
          <w:numId w:val="11"/>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lastRenderedPageBreak/>
        <w:t xml:space="preserve">Consistent with State climate and equity goals, SoCalGas shall always prioritize </w:t>
      </w:r>
      <w:r w:rsidR="00A97DB1">
        <w:rPr>
          <w:rFonts w:ascii="Palatino Linotype" w:hAnsi="Palatino Linotype" w:eastAsia="Palatino Linotype" w:cs="Times New Roman"/>
          <w:color w:val="000000" w:themeColor="text1"/>
          <w:kern w:val="0"/>
          <w14:ligatures w14:val="none"/>
        </w:rPr>
        <w:t>non-combustion</w:t>
      </w:r>
      <w:r w:rsidR="004B2FA4">
        <w:rPr>
          <w:rFonts w:ascii="Palatino Linotype" w:hAnsi="Palatino Linotype" w:eastAsia="Palatino Linotype" w:cs="Times New Roman"/>
          <w:color w:val="000000" w:themeColor="text1"/>
          <w:kern w:val="0"/>
          <w14:ligatures w14:val="none"/>
        </w:rPr>
        <w:t>-</w:t>
      </w:r>
      <w:r w:rsidR="00A97DB1">
        <w:rPr>
          <w:rFonts w:ascii="Palatino Linotype" w:hAnsi="Palatino Linotype" w:eastAsia="Palatino Linotype" w:cs="Times New Roman"/>
          <w:color w:val="000000" w:themeColor="text1"/>
          <w:kern w:val="0"/>
          <w14:ligatures w14:val="none"/>
        </w:rPr>
        <w:t xml:space="preserve"> </w:t>
      </w:r>
      <w:r w:rsidR="004B2FA4">
        <w:rPr>
          <w:rFonts w:ascii="Palatino Linotype" w:hAnsi="Palatino Linotype" w:eastAsia="Palatino Linotype" w:cs="Times New Roman"/>
          <w:color w:val="000000" w:themeColor="text1"/>
          <w:kern w:val="0"/>
          <w14:ligatures w14:val="none"/>
        </w:rPr>
        <w:t xml:space="preserve">over combustion-based RD&amp;D activities </w:t>
      </w:r>
      <w:r w:rsidR="00DA3AF6">
        <w:rPr>
          <w:rFonts w:ascii="Palatino Linotype" w:hAnsi="Palatino Linotype" w:eastAsia="Palatino Linotype" w:cs="Times New Roman"/>
          <w:color w:val="000000" w:themeColor="text1"/>
          <w:kern w:val="0"/>
          <w14:ligatures w14:val="none"/>
        </w:rPr>
        <w:t xml:space="preserve">or otherwise demonstrate </w:t>
      </w:r>
      <w:r w:rsidR="008A02F0">
        <w:rPr>
          <w:rFonts w:ascii="Palatino Linotype" w:hAnsi="Palatino Linotype" w:eastAsia="Palatino Linotype" w:cs="Times New Roman"/>
          <w:color w:val="000000" w:themeColor="text1"/>
          <w:kern w:val="0"/>
          <w14:ligatures w14:val="none"/>
        </w:rPr>
        <w:t xml:space="preserve">that </w:t>
      </w:r>
      <w:r w:rsidR="004A2BA8">
        <w:rPr>
          <w:rFonts w:ascii="Palatino Linotype" w:hAnsi="Palatino Linotype" w:eastAsia="Palatino Linotype" w:cs="Times New Roman"/>
          <w:color w:val="000000" w:themeColor="text1"/>
          <w:kern w:val="0"/>
          <w14:ligatures w14:val="none"/>
        </w:rPr>
        <w:t xml:space="preserve">combustion-based RD&amp;D activities </w:t>
      </w:r>
      <w:r w:rsidR="003248C5">
        <w:rPr>
          <w:rFonts w:ascii="Palatino Linotype" w:hAnsi="Palatino Linotype" w:eastAsia="Palatino Linotype" w:cs="Times New Roman"/>
          <w:color w:val="000000" w:themeColor="text1"/>
          <w:kern w:val="0"/>
          <w14:ligatures w14:val="none"/>
        </w:rPr>
        <w:t>provide clear ratepayer benefit.</w:t>
      </w:r>
    </w:p>
    <w:p w:rsidRPr="007E7B29" w:rsidR="00A76F4A" w:rsidP="00F97978" w:rsidRDefault="00A76F4A" w14:paraId="21CF1B88" w14:textId="77777777">
      <w:pPr>
        <w:spacing w:after="0" w:line="276" w:lineRule="auto"/>
        <w:rPr>
          <w:rFonts w:ascii="Palatino Linotype" w:hAnsi="Palatino Linotype" w:eastAsia="Palatino Linotype" w:cs="Times New Roman"/>
          <w:b/>
          <w:color w:val="000000" w:themeColor="text1"/>
          <w:kern w:val="0"/>
          <w14:ligatures w14:val="none"/>
        </w:rPr>
      </w:pPr>
    </w:p>
    <w:p w:rsidRPr="007E7B29" w:rsidR="00A76F4A" w:rsidP="00F97978" w:rsidRDefault="00A76F4A" w14:paraId="215FEFCC" w14:textId="4900AB08">
      <w:pPr>
        <w:keepNext/>
        <w:spacing w:before="120" w:after="240" w:line="276" w:lineRule="auto"/>
        <w:outlineLvl w:val="0"/>
        <w:rPr>
          <w:rFonts w:ascii="Palatino Linotype" w:hAnsi="Palatino Linotype" w:eastAsia="Palatino Linotype" w:cs="Times New Roman"/>
          <w:b/>
          <w:caps/>
          <w:color w:val="000000" w:themeColor="text1"/>
          <w:kern w:val="28"/>
          <w:u w:val="single"/>
          <w14:ligatures w14:val="none"/>
        </w:rPr>
      </w:pPr>
      <w:r w:rsidRPr="007E7B29">
        <w:rPr>
          <w:rFonts w:ascii="Palatino Linotype" w:hAnsi="Palatino Linotype" w:eastAsia="Palatino Linotype" w:cs="Times New Roman"/>
          <w:b/>
          <w:caps/>
          <w:color w:val="000000" w:themeColor="text1"/>
          <w:kern w:val="28"/>
          <w:u w:val="single"/>
          <w14:ligatures w14:val="none"/>
        </w:rPr>
        <w:t>Therefore</w:t>
      </w:r>
      <w:r w:rsidRPr="007E7B29" w:rsidR="006E3061">
        <w:rPr>
          <w:rFonts w:ascii="Palatino Linotype" w:hAnsi="Palatino Linotype" w:eastAsia="Palatino Linotype" w:cs="Times New Roman"/>
          <w:b/>
          <w:caps/>
          <w:color w:val="000000" w:themeColor="text1"/>
          <w:kern w:val="28"/>
          <w:u w:val="single"/>
          <w14:ligatures w14:val="none"/>
        </w:rPr>
        <w:t>,</w:t>
      </w:r>
      <w:r w:rsidRPr="007E7B29">
        <w:rPr>
          <w:rFonts w:ascii="Palatino Linotype" w:hAnsi="Palatino Linotype" w:eastAsia="Palatino Linotype" w:cs="Times New Roman"/>
          <w:b/>
          <w:caps/>
          <w:color w:val="000000" w:themeColor="text1"/>
          <w:kern w:val="28"/>
          <w:u w:val="single"/>
          <w14:ligatures w14:val="none"/>
        </w:rPr>
        <w:t xml:space="preserve"> it is ordered that:</w:t>
      </w:r>
    </w:p>
    <w:p w:rsidRPr="00A05ECF" w:rsidR="00EF6045" w:rsidP="00477204" w:rsidRDefault="00AD0F31" w14:paraId="55C2BA65" w14:textId="6CB55052">
      <w:pPr>
        <w:pStyle w:val="10spHanging05"/>
        <w:numPr>
          <w:ilvl w:val="0"/>
          <w:numId w:val="12"/>
        </w:numPr>
        <w:spacing w:after="0" w:line="276" w:lineRule="auto"/>
        <w:rPr>
          <w:rFonts w:ascii="Palatino Linotype" w:hAnsi="Palatino Linotype"/>
          <w:color w:val="000000" w:themeColor="text1"/>
        </w:rPr>
      </w:pPr>
      <w:r w:rsidRPr="007E7B29">
        <w:rPr>
          <w:rFonts w:ascii="Palatino Linotype" w:hAnsi="Palatino Linotype"/>
          <w:color w:val="000000" w:themeColor="text1"/>
        </w:rPr>
        <w:t xml:space="preserve">SoCalGas’ Advice Letter </w:t>
      </w:r>
      <w:r w:rsidRPr="007E7B29">
        <w:rPr>
          <w:rFonts w:ascii="Palatino Linotype" w:hAnsi="Palatino Linotype" w:eastAsia="Palatino Linotype"/>
          <w:color w:val="000000" w:themeColor="text1"/>
        </w:rPr>
        <w:t>6495-G-A</w:t>
      </w:r>
      <w:r w:rsidRPr="007E7B29">
        <w:rPr>
          <w:rFonts w:ascii="Palatino Linotype" w:hAnsi="Palatino Linotype"/>
          <w:color w:val="000000" w:themeColor="text1"/>
        </w:rPr>
        <w:t xml:space="preserve"> </w:t>
      </w:r>
      <w:proofErr w:type="gramStart"/>
      <w:r w:rsidRPr="007E7B29">
        <w:rPr>
          <w:rFonts w:ascii="Palatino Linotype" w:hAnsi="Palatino Linotype"/>
          <w:color w:val="000000" w:themeColor="text1"/>
        </w:rPr>
        <w:t>proposing</w:t>
      </w:r>
      <w:proofErr w:type="gramEnd"/>
      <w:r w:rsidRPr="007E7B29">
        <w:rPr>
          <w:rFonts w:ascii="Palatino Linotype" w:hAnsi="Palatino Linotype"/>
          <w:color w:val="000000" w:themeColor="text1"/>
        </w:rPr>
        <w:t xml:space="preserve"> for SoCalGas to record up to </w:t>
      </w:r>
      <w:r w:rsidRPr="007E7B29" w:rsidR="00806318">
        <w:rPr>
          <w:rFonts w:ascii="Palatino Linotype" w:hAnsi="Palatino Linotype"/>
          <w:color w:val="000000" w:themeColor="text1"/>
        </w:rPr>
        <w:t xml:space="preserve">$17,853,000 </w:t>
      </w:r>
      <w:r w:rsidRPr="007E7B29">
        <w:rPr>
          <w:rFonts w:ascii="Palatino Linotype" w:hAnsi="Palatino Linotype"/>
          <w:color w:val="000000" w:themeColor="text1"/>
        </w:rPr>
        <w:t xml:space="preserve">in Gas RD&amp;D expenses to implement its 2024 Plan is approved </w:t>
      </w:r>
      <w:r w:rsidRPr="007E7B29" w:rsidR="003B0D55">
        <w:rPr>
          <w:rFonts w:ascii="Palatino Linotype" w:hAnsi="Palatino Linotype"/>
          <w:color w:val="000000" w:themeColor="text1"/>
        </w:rPr>
        <w:t xml:space="preserve">in part. </w:t>
      </w:r>
      <w:r w:rsidRPr="007E7B29" w:rsidR="002B5ADD">
        <w:rPr>
          <w:rFonts w:ascii="Palatino Linotype" w:hAnsi="Palatino Linotype"/>
          <w:color w:val="000000" w:themeColor="text1"/>
        </w:rPr>
        <w:t xml:space="preserve">The Commission’s authorization of SoCalGas’ 2024 Gas RD&amp;D Plan budget requires SoCalGas to submit a revised 2024 Plan via Tier 2 AL within </w:t>
      </w:r>
      <w:r w:rsidRPr="007E7B29" w:rsidR="00F77D7C">
        <w:rPr>
          <w:rFonts w:ascii="Palatino Linotype" w:hAnsi="Palatino Linotype"/>
          <w:color w:val="000000" w:themeColor="text1"/>
        </w:rPr>
        <w:t>6</w:t>
      </w:r>
      <w:r w:rsidRPr="007E7B29" w:rsidR="002B5ADD">
        <w:rPr>
          <w:rFonts w:ascii="Palatino Linotype" w:hAnsi="Palatino Linotype"/>
          <w:color w:val="000000" w:themeColor="text1"/>
        </w:rPr>
        <w:t>0 days addressing the identified compliance issues requiring modifications.</w:t>
      </w:r>
      <w:r w:rsidRPr="007E7B29" w:rsidR="002B5ADD">
        <w:rPr>
          <w:rStyle w:val="FootnoteReference"/>
          <w:rFonts w:ascii="Palatino Linotype" w:hAnsi="Palatino Linotype"/>
          <w:color w:val="000000" w:themeColor="text1"/>
        </w:rPr>
        <w:footnoteReference w:id="156"/>
      </w:r>
      <w:r w:rsidRPr="007E7B29" w:rsidR="002B5ADD">
        <w:rPr>
          <w:rFonts w:ascii="Palatino Linotype" w:hAnsi="Palatino Linotype"/>
          <w:color w:val="000000" w:themeColor="text1"/>
        </w:rPr>
        <w:t xml:space="preserve"> SoCalGas shall include in this Tier 2 AL: 1) a clean version of its updated 2024 Plan; 2) a track-change version of its original 2024 Plan; and 3) a table describing these modifications</w:t>
      </w:r>
      <w:r w:rsidRPr="00A05ECF" w:rsidR="002B5ADD">
        <w:rPr>
          <w:rFonts w:ascii="Palatino Linotype" w:hAnsi="Palatino Linotype"/>
          <w:color w:val="000000" w:themeColor="text1"/>
        </w:rPr>
        <w:t>.</w:t>
      </w:r>
      <w:r w:rsidRPr="00A05ECF" w:rsidR="002504DB">
        <w:rPr>
          <w:rFonts w:ascii="Palatino Linotype" w:hAnsi="Palatino Linotype"/>
          <w:color w:val="000000" w:themeColor="text1"/>
        </w:rPr>
        <w:t xml:space="preserve"> SoCalGas shall:</w:t>
      </w:r>
    </w:p>
    <w:p w:rsidRPr="00A05ECF" w:rsidR="002504DB" w:rsidP="00477204" w:rsidRDefault="002504DB" w14:paraId="285EC8A9" w14:textId="60C250FD">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A05ECF">
        <w:rPr>
          <w:rFonts w:ascii="Palatino Linotype" w:hAnsi="Palatino Linotype" w:eastAsia="Palatino Linotype" w:cs="Times New Roman"/>
          <w:color w:val="000000" w:themeColor="text1"/>
          <w:kern w:val="0"/>
          <w14:ligatures w14:val="none"/>
        </w:rPr>
        <w:t>Discuss the submittal of its 2023 Gas RD&amp;D Annual Report in its 2024 Gas RD&amp;D Annual Plan</w:t>
      </w:r>
      <w:r w:rsidR="007054D8">
        <w:rPr>
          <w:rFonts w:ascii="Palatino Linotype" w:hAnsi="Palatino Linotype" w:eastAsia="Palatino Linotype" w:cs="Times New Roman"/>
          <w:color w:val="000000" w:themeColor="text1"/>
          <w:kern w:val="0"/>
          <w14:ligatures w14:val="none"/>
        </w:rPr>
        <w:t xml:space="preserve">, </w:t>
      </w:r>
      <w:r w:rsidRPr="007054D8" w:rsidR="007054D8">
        <w:rPr>
          <w:rFonts w:ascii="Palatino Linotype" w:hAnsi="Palatino Linotype" w:eastAsia="Palatino Linotype" w:cs="Times New Roman"/>
          <w:color w:val="000000" w:themeColor="text1"/>
          <w:kern w:val="0"/>
          <w14:ligatures w14:val="none"/>
        </w:rPr>
        <w:t>given its 2024 Gas RD&amp;D Annual Report submittal is correlated with its 2025 Gas RD&amp;D Annual Plan.</w:t>
      </w:r>
    </w:p>
    <w:p w:rsidRPr="00A05ECF" w:rsidR="002504DB" w:rsidP="00477204" w:rsidRDefault="000762D4" w14:paraId="5744CDD1" w14:textId="640316B4">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A05ECF">
        <w:rPr>
          <w:rFonts w:ascii="Palatino Linotype" w:hAnsi="Palatino Linotype" w:eastAsia="Palatino Linotype" w:cs="Times New Roman"/>
          <w:color w:val="000000" w:themeColor="text1"/>
          <w:kern w:val="0"/>
          <w14:ligatures w14:val="none"/>
        </w:rPr>
        <w:t xml:space="preserve">Reallocate </w:t>
      </w:r>
      <w:r w:rsidRPr="00A05ECF" w:rsidR="002D4614">
        <w:rPr>
          <w:rFonts w:ascii="Palatino Linotype" w:hAnsi="Palatino Linotype" w:eastAsia="Palatino Linotype" w:cs="Times New Roman"/>
          <w:color w:val="000000" w:themeColor="text1"/>
          <w:kern w:val="0"/>
          <w14:ligatures w14:val="none"/>
        </w:rPr>
        <w:t xml:space="preserve">proposed </w:t>
      </w:r>
      <w:r w:rsidRPr="00A05ECF">
        <w:rPr>
          <w:rFonts w:ascii="Palatino Linotype" w:hAnsi="Palatino Linotype" w:eastAsia="Palatino Linotype" w:cs="Times New Roman"/>
          <w:color w:val="000000" w:themeColor="text1"/>
          <w:kern w:val="0"/>
          <w14:ligatures w14:val="none"/>
        </w:rPr>
        <w:t xml:space="preserve">funds for </w:t>
      </w:r>
      <w:r w:rsidRPr="00A05ECF" w:rsidR="002D4614">
        <w:rPr>
          <w:rFonts w:ascii="Palatino Linotype" w:hAnsi="Palatino Linotype" w:eastAsia="Palatino Linotype" w:cs="Times New Roman"/>
          <w:color w:val="000000" w:themeColor="text1"/>
          <w:kern w:val="0"/>
          <w14:ligatures w14:val="none"/>
        </w:rPr>
        <w:t xml:space="preserve">both new and further funding for </w:t>
      </w:r>
      <w:r w:rsidRPr="00A05ECF">
        <w:rPr>
          <w:rFonts w:ascii="Palatino Linotype" w:hAnsi="Palatino Linotype" w:eastAsia="Palatino Linotype" w:cs="Times New Roman"/>
          <w:color w:val="000000" w:themeColor="text1"/>
          <w:kern w:val="0"/>
          <w14:ligatures w14:val="none"/>
        </w:rPr>
        <w:t>hydrogen</w:t>
      </w:r>
      <w:r w:rsidRPr="00A05ECF" w:rsidR="002D4614">
        <w:rPr>
          <w:rFonts w:ascii="Palatino Linotype" w:hAnsi="Palatino Linotype" w:eastAsia="Palatino Linotype" w:cs="Times New Roman"/>
          <w:color w:val="000000" w:themeColor="text1"/>
          <w:kern w:val="0"/>
          <w14:ligatures w14:val="none"/>
        </w:rPr>
        <w:t>-related</w:t>
      </w:r>
      <w:r w:rsidRPr="00A05ECF">
        <w:rPr>
          <w:rFonts w:ascii="Palatino Linotype" w:hAnsi="Palatino Linotype" w:eastAsia="Palatino Linotype" w:cs="Times New Roman"/>
          <w:color w:val="000000" w:themeColor="text1"/>
          <w:kern w:val="0"/>
          <w14:ligatures w14:val="none"/>
        </w:rPr>
        <w:t xml:space="preserve"> projects for eligible purposes as it does not demonstrate </w:t>
      </w:r>
      <w:r w:rsidRPr="00A05ECF" w:rsidR="002504DB">
        <w:rPr>
          <w:rFonts w:ascii="Palatino Linotype" w:hAnsi="Palatino Linotype" w:eastAsia="Palatino Linotype" w:cs="Times New Roman"/>
          <w:color w:val="000000" w:themeColor="text1"/>
          <w:kern w:val="0"/>
          <w14:ligatures w14:val="none"/>
        </w:rPr>
        <w:t xml:space="preserve">alignment with CPUC proceedings and </w:t>
      </w:r>
      <w:r w:rsidR="006C13D2">
        <w:rPr>
          <w:rFonts w:ascii="Palatino Linotype" w:hAnsi="Palatino Linotype" w:eastAsia="Palatino Linotype" w:cs="Times New Roman"/>
          <w:color w:val="000000" w:themeColor="text1"/>
          <w:kern w:val="0"/>
          <w14:ligatures w14:val="none"/>
        </w:rPr>
        <w:t xml:space="preserve">clear </w:t>
      </w:r>
      <w:r w:rsidRPr="00A05ECF" w:rsidR="002504DB">
        <w:rPr>
          <w:rFonts w:ascii="Palatino Linotype" w:hAnsi="Palatino Linotype" w:eastAsia="Palatino Linotype" w:cs="Times New Roman"/>
          <w:color w:val="000000" w:themeColor="text1"/>
          <w:kern w:val="0"/>
          <w14:ligatures w14:val="none"/>
        </w:rPr>
        <w:t>ratepayer benefit</w:t>
      </w:r>
      <w:r w:rsidRPr="00A05ECF" w:rsidR="002D4614">
        <w:rPr>
          <w:rFonts w:ascii="Palatino Linotype" w:hAnsi="Palatino Linotype" w:eastAsia="Palatino Linotype" w:cs="Times New Roman"/>
          <w:color w:val="000000" w:themeColor="text1"/>
          <w:kern w:val="0"/>
          <w14:ligatures w14:val="none"/>
        </w:rPr>
        <w:t>.</w:t>
      </w:r>
    </w:p>
    <w:p w:rsidRPr="003F2BAA" w:rsidR="004F38E1" w:rsidP="003F2BAA" w:rsidRDefault="007B1B9B" w14:paraId="750F04AE" w14:textId="4696D036">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Provide further detail on</w:t>
      </w:r>
      <w:r w:rsidRPr="003F2BAA" w:rsidR="004F38E1">
        <w:rPr>
          <w:rFonts w:ascii="Palatino Linotype" w:hAnsi="Palatino Linotype" w:eastAsia="Palatino Linotype" w:cs="Times New Roman"/>
          <w:color w:val="000000" w:themeColor="text1"/>
          <w:kern w:val="0"/>
          <w14:ligatures w14:val="none"/>
        </w:rPr>
        <w:t xml:space="preserve"> the </w:t>
      </w:r>
      <w:r w:rsidRPr="003F2BAA" w:rsidR="002D4614">
        <w:rPr>
          <w:rFonts w:ascii="Palatino Linotype" w:hAnsi="Palatino Linotype" w:eastAsia="Palatino Linotype" w:cs="Times New Roman"/>
          <w:color w:val="000000" w:themeColor="text1"/>
          <w:kern w:val="0"/>
          <w14:ligatures w14:val="none"/>
        </w:rPr>
        <w:t xml:space="preserve">“Integrating carbon management </w:t>
      </w:r>
      <w:r w:rsidRPr="003F2BAA" w:rsidR="00F05482">
        <w:rPr>
          <w:rFonts w:ascii="Palatino Linotype" w:hAnsi="Palatino Linotype" w:eastAsia="Palatino Linotype" w:cs="Times New Roman"/>
          <w:color w:val="000000" w:themeColor="text1"/>
          <w:kern w:val="0"/>
          <w14:ligatures w14:val="none"/>
        </w:rPr>
        <w:t>solutions</w:t>
      </w:r>
      <w:r w:rsidRPr="003F2BAA" w:rsidR="002D4614">
        <w:rPr>
          <w:rFonts w:ascii="Palatino Linotype" w:hAnsi="Palatino Linotype" w:eastAsia="Palatino Linotype" w:cs="Times New Roman"/>
          <w:color w:val="000000" w:themeColor="text1"/>
          <w:kern w:val="0"/>
          <w14:ligatures w14:val="none"/>
        </w:rPr>
        <w:t xml:space="preserve">” Research Topic </w:t>
      </w:r>
      <w:r w:rsidR="00630335">
        <w:rPr>
          <w:rFonts w:ascii="Palatino Linotype" w:hAnsi="Palatino Linotype" w:eastAsia="Palatino Linotype" w:cs="Times New Roman"/>
          <w:color w:val="000000" w:themeColor="text1"/>
          <w:kern w:val="0"/>
          <w14:ligatures w14:val="none"/>
        </w:rPr>
        <w:t>under</w:t>
      </w:r>
      <w:r w:rsidRPr="003F2BAA" w:rsidR="002D4614">
        <w:rPr>
          <w:rFonts w:ascii="Palatino Linotype" w:hAnsi="Palatino Linotype" w:eastAsia="Palatino Linotype" w:cs="Times New Roman"/>
          <w:color w:val="000000" w:themeColor="text1"/>
          <w:kern w:val="0"/>
          <w14:ligatures w14:val="none"/>
        </w:rPr>
        <w:t xml:space="preserve"> its </w:t>
      </w:r>
      <w:r w:rsidRPr="003F2BAA" w:rsidR="002D4614">
        <w:rPr>
          <w:rFonts w:ascii="Palatino Linotype" w:hAnsi="Palatino Linotype" w:eastAsia="Palatino Linotype" w:cs="Times New Roman"/>
          <w:i/>
          <w:iCs/>
          <w:color w:val="000000" w:themeColor="text1"/>
          <w:kern w:val="0"/>
          <w14:ligatures w14:val="none"/>
        </w:rPr>
        <w:t>Energy Reliability &amp; Resilience</w:t>
      </w:r>
      <w:r w:rsidRPr="003F2BAA" w:rsidR="002D4614">
        <w:rPr>
          <w:rFonts w:ascii="Palatino Linotype" w:hAnsi="Palatino Linotype" w:eastAsia="Palatino Linotype" w:cs="Times New Roman"/>
          <w:color w:val="000000" w:themeColor="text1"/>
          <w:kern w:val="0"/>
          <w14:ligatures w14:val="none"/>
        </w:rPr>
        <w:t xml:space="preserve"> Initiative as </w:t>
      </w:r>
      <w:r w:rsidR="00FB257D">
        <w:rPr>
          <w:rFonts w:ascii="Palatino Linotype" w:hAnsi="Palatino Linotype" w:eastAsia="Palatino Linotype" w:cs="Times New Roman"/>
          <w:color w:val="000000" w:themeColor="text1"/>
          <w:kern w:val="0"/>
          <w14:ligatures w14:val="none"/>
        </w:rPr>
        <w:t>described herein.</w:t>
      </w:r>
    </w:p>
    <w:p w:rsidR="0017536B" w:rsidP="00477204" w:rsidRDefault="0017536B" w14:paraId="3F49EAB6" w14:textId="7DB2D372">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E</w:t>
      </w:r>
      <w:r w:rsidRPr="0017536B">
        <w:rPr>
          <w:rFonts w:ascii="Palatino Linotype" w:hAnsi="Palatino Linotype" w:eastAsia="Palatino Linotype" w:cs="Times New Roman"/>
          <w:color w:val="000000" w:themeColor="text1"/>
          <w:kern w:val="0"/>
          <w14:ligatures w14:val="none"/>
        </w:rPr>
        <w:t xml:space="preserve">mbed in the descriptions of each proposed Initiative incorporation strategies associated </w:t>
      </w:r>
      <w:r w:rsidR="00C722F5">
        <w:rPr>
          <w:rFonts w:ascii="Palatino Linotype" w:hAnsi="Palatino Linotype" w:eastAsia="Palatino Linotype" w:cs="Times New Roman"/>
          <w:color w:val="000000" w:themeColor="text1"/>
          <w:kern w:val="0"/>
          <w14:ligatures w14:val="none"/>
        </w:rPr>
        <w:t xml:space="preserve">with </w:t>
      </w:r>
      <w:r w:rsidRPr="0017536B">
        <w:rPr>
          <w:rFonts w:ascii="Palatino Linotype" w:hAnsi="Palatino Linotype" w:eastAsia="Palatino Linotype" w:cs="Times New Roman"/>
          <w:color w:val="000000" w:themeColor="text1"/>
          <w:kern w:val="0"/>
          <w14:ligatures w14:val="none"/>
        </w:rPr>
        <w:t>all stakeholder feedback or otherwise explain why it did not incorporate the input</w:t>
      </w:r>
      <w:r>
        <w:rPr>
          <w:rFonts w:ascii="Palatino Linotype" w:hAnsi="Palatino Linotype" w:eastAsia="Palatino Linotype" w:cs="Times New Roman"/>
          <w:color w:val="000000" w:themeColor="text1"/>
          <w:kern w:val="0"/>
          <w14:ligatures w14:val="none"/>
        </w:rPr>
        <w:t>.</w:t>
      </w:r>
    </w:p>
    <w:p w:rsidR="002504DB" w:rsidP="00477204" w:rsidRDefault="002504DB" w14:paraId="7D214B40" w14:textId="6529D6FA">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7E7B29">
        <w:rPr>
          <w:rFonts w:ascii="Palatino Linotype" w:hAnsi="Palatino Linotype" w:eastAsia="Palatino Linotype" w:cs="Times New Roman"/>
          <w:color w:val="000000" w:themeColor="text1"/>
          <w:kern w:val="0"/>
          <w14:ligatures w14:val="none"/>
        </w:rPr>
        <w:t>Demonstrat</w:t>
      </w:r>
      <w:r>
        <w:rPr>
          <w:rFonts w:ascii="Palatino Linotype" w:hAnsi="Palatino Linotype" w:eastAsia="Palatino Linotype" w:cs="Times New Roman"/>
          <w:color w:val="000000" w:themeColor="text1"/>
          <w:kern w:val="0"/>
          <w14:ligatures w14:val="none"/>
        </w:rPr>
        <w:t>e</w:t>
      </w:r>
      <w:r w:rsidRPr="007E7B29">
        <w:rPr>
          <w:rFonts w:ascii="Palatino Linotype" w:hAnsi="Palatino Linotype" w:eastAsia="Palatino Linotype" w:cs="Times New Roman"/>
          <w:color w:val="000000" w:themeColor="text1"/>
          <w:kern w:val="0"/>
          <w14:ligatures w14:val="none"/>
        </w:rPr>
        <w:t xml:space="preserve"> that its </w:t>
      </w:r>
      <w:r w:rsidRPr="007E7B29">
        <w:rPr>
          <w:rFonts w:ascii="Palatino Linotype" w:hAnsi="Palatino Linotype" w:eastAsia="Palatino Linotype" w:cs="Times New Roman"/>
          <w:i/>
          <w:iCs/>
          <w:color w:val="000000" w:themeColor="text1"/>
          <w:kern w:val="0"/>
          <w14:ligatures w14:val="none"/>
        </w:rPr>
        <w:t>System Design &amp; Materials</w:t>
      </w:r>
      <w:r w:rsidRPr="007E7B29">
        <w:rPr>
          <w:rFonts w:ascii="Palatino Linotype" w:hAnsi="Palatino Linotype" w:eastAsia="Palatino Linotype" w:cs="Times New Roman"/>
          <w:color w:val="000000" w:themeColor="text1"/>
          <w:kern w:val="0"/>
          <w14:ligatures w14:val="none"/>
        </w:rPr>
        <w:t xml:space="preserve"> Initiative will involve activities that are complementary </w:t>
      </w:r>
      <w:proofErr w:type="gramStart"/>
      <w:r w:rsidRPr="007E7B29">
        <w:rPr>
          <w:rFonts w:ascii="Palatino Linotype" w:hAnsi="Palatino Linotype" w:eastAsia="Palatino Linotype" w:cs="Times New Roman"/>
          <w:color w:val="000000" w:themeColor="text1"/>
          <w:kern w:val="0"/>
          <w14:ligatures w14:val="none"/>
        </w:rPr>
        <w:t>to</w:t>
      </w:r>
      <w:proofErr w:type="gramEnd"/>
      <w:r w:rsidRPr="007E7B29">
        <w:rPr>
          <w:rFonts w:ascii="Palatino Linotype" w:hAnsi="Palatino Linotype" w:eastAsia="Palatino Linotype" w:cs="Times New Roman"/>
          <w:color w:val="000000" w:themeColor="text1"/>
          <w:kern w:val="0"/>
          <w14:ligatures w14:val="none"/>
        </w:rPr>
        <w:t xml:space="preserve"> rather than duplicative of the CEC’s </w:t>
      </w:r>
      <w:r w:rsidRPr="007E7B29">
        <w:rPr>
          <w:rFonts w:ascii="Palatino Linotype" w:hAnsi="Palatino Linotype" w:eastAsia="Palatino Linotype" w:cs="Times New Roman"/>
          <w:i/>
          <w:iCs/>
          <w:color w:val="000000" w:themeColor="text1"/>
          <w:kern w:val="0"/>
          <w14:ligatures w14:val="none"/>
        </w:rPr>
        <w:t>Fuel-Flexible Distributed Power Generation</w:t>
      </w:r>
      <w:r w:rsidRPr="007E7B29">
        <w:rPr>
          <w:rFonts w:ascii="Palatino Linotype" w:hAnsi="Palatino Linotype" w:eastAsia="Palatino Linotype" w:cs="Times New Roman"/>
          <w:color w:val="000000" w:themeColor="text1"/>
          <w:kern w:val="0"/>
          <w14:ligatures w14:val="none"/>
        </w:rPr>
        <w:t xml:space="preserve"> Initiative in its FY 2024-2025 Gas RD&amp;D Plan.</w:t>
      </w:r>
    </w:p>
    <w:p w:rsidRPr="00E11F65" w:rsidR="00806318" w:rsidP="00477204" w:rsidRDefault="00806318" w14:paraId="1A0B2D48" w14:textId="15BABC1D">
      <w:pPr>
        <w:pStyle w:val="10spHanging05"/>
        <w:numPr>
          <w:ilvl w:val="0"/>
          <w:numId w:val="12"/>
        </w:numPr>
        <w:spacing w:after="0" w:line="276" w:lineRule="auto"/>
        <w:rPr>
          <w:rFonts w:ascii="Palatino Linotype" w:hAnsi="Palatino Linotype"/>
          <w:color w:val="000000" w:themeColor="text1"/>
        </w:rPr>
      </w:pPr>
      <w:r w:rsidRPr="007E7B29">
        <w:rPr>
          <w:rFonts w:ascii="Palatino Linotype" w:hAnsi="Palatino Linotype"/>
          <w:color w:val="000000" w:themeColor="text1"/>
        </w:rPr>
        <w:lastRenderedPageBreak/>
        <w:t xml:space="preserve">SoCalGas’ Advice Letter </w:t>
      </w:r>
      <w:r w:rsidRPr="007E7B29">
        <w:rPr>
          <w:rFonts w:ascii="Palatino Linotype" w:hAnsi="Palatino Linotype" w:eastAsia="Palatino Linotype"/>
          <w:color w:val="000000" w:themeColor="text1"/>
        </w:rPr>
        <w:t>6496-G-A</w:t>
      </w:r>
      <w:r w:rsidRPr="007E7B29">
        <w:rPr>
          <w:rFonts w:ascii="Palatino Linotype" w:hAnsi="Palatino Linotype"/>
          <w:color w:val="000000" w:themeColor="text1"/>
        </w:rPr>
        <w:t xml:space="preserve"> proposing for SoCalGas to record up to </w:t>
      </w:r>
      <w:r w:rsidRPr="007E7B29" w:rsidR="00AA432C">
        <w:rPr>
          <w:rFonts w:ascii="Palatino Linotype" w:hAnsi="Palatino Linotype"/>
          <w:color w:val="000000" w:themeColor="text1"/>
        </w:rPr>
        <w:t xml:space="preserve">$18,389,000 </w:t>
      </w:r>
      <w:r w:rsidRPr="007E7B29">
        <w:rPr>
          <w:rFonts w:ascii="Palatino Linotype" w:hAnsi="Palatino Linotype"/>
          <w:color w:val="000000" w:themeColor="text1"/>
        </w:rPr>
        <w:t>in Gas RD&amp;D expenses to implement its 202</w:t>
      </w:r>
      <w:r w:rsidRPr="007E7B29" w:rsidR="00B54413">
        <w:rPr>
          <w:rFonts w:ascii="Palatino Linotype" w:hAnsi="Palatino Linotype"/>
          <w:color w:val="000000" w:themeColor="text1"/>
        </w:rPr>
        <w:t>5</w:t>
      </w:r>
      <w:r w:rsidRPr="007E7B29">
        <w:rPr>
          <w:rFonts w:ascii="Palatino Linotype" w:hAnsi="Palatino Linotype"/>
          <w:color w:val="000000" w:themeColor="text1"/>
        </w:rPr>
        <w:t xml:space="preserve"> Plan is approved </w:t>
      </w:r>
      <w:r w:rsidRPr="007E7B29" w:rsidR="00F77D7C">
        <w:rPr>
          <w:rFonts w:ascii="Palatino Linotype" w:hAnsi="Palatino Linotype"/>
          <w:color w:val="000000" w:themeColor="text1"/>
        </w:rPr>
        <w:t>in part</w:t>
      </w:r>
      <w:r w:rsidRPr="007E7B29">
        <w:rPr>
          <w:rFonts w:ascii="Palatino Linotype" w:hAnsi="Palatino Linotype"/>
          <w:color w:val="000000" w:themeColor="text1"/>
        </w:rPr>
        <w:t>.</w:t>
      </w:r>
      <w:r w:rsidRPr="007E7B29" w:rsidR="00E03D49">
        <w:rPr>
          <w:rFonts w:ascii="Palatino Linotype" w:hAnsi="Palatino Linotype"/>
          <w:color w:val="000000" w:themeColor="text1"/>
        </w:rPr>
        <w:t xml:space="preserve"> The Commission’s authorization of SoCalGas’ 2025 Gas RD&amp;D Plan budget requires SoCalGas to submit a revised 202</w:t>
      </w:r>
      <w:r w:rsidRPr="007E7B29" w:rsidR="7D96EFC9">
        <w:rPr>
          <w:rFonts w:ascii="Palatino Linotype" w:hAnsi="Palatino Linotype"/>
          <w:color w:val="000000" w:themeColor="text1"/>
        </w:rPr>
        <w:t>5</w:t>
      </w:r>
      <w:r w:rsidRPr="007E7B29" w:rsidR="00E03D49">
        <w:rPr>
          <w:rFonts w:ascii="Palatino Linotype" w:hAnsi="Palatino Linotype"/>
          <w:color w:val="000000" w:themeColor="text1"/>
        </w:rPr>
        <w:t xml:space="preserve"> Plan via Tier 2 AL within </w:t>
      </w:r>
      <w:r w:rsidRPr="007E7B29" w:rsidR="00F77D7C">
        <w:rPr>
          <w:rFonts w:ascii="Palatino Linotype" w:hAnsi="Palatino Linotype"/>
          <w:color w:val="000000" w:themeColor="text1"/>
        </w:rPr>
        <w:t>6</w:t>
      </w:r>
      <w:r w:rsidRPr="007E7B29" w:rsidR="00E03D49">
        <w:rPr>
          <w:rFonts w:ascii="Palatino Linotype" w:hAnsi="Palatino Linotype"/>
          <w:color w:val="000000" w:themeColor="text1"/>
        </w:rPr>
        <w:t xml:space="preserve">0 days addressing the </w:t>
      </w:r>
      <w:r w:rsidRPr="00E11F65" w:rsidR="00E03D49">
        <w:rPr>
          <w:rFonts w:ascii="Palatino Linotype" w:hAnsi="Palatino Linotype"/>
          <w:color w:val="000000" w:themeColor="text1"/>
        </w:rPr>
        <w:t>identified compliance issues requiring modifications.</w:t>
      </w:r>
      <w:r w:rsidRPr="00E11F65" w:rsidR="00E03D49">
        <w:rPr>
          <w:rStyle w:val="FootnoteReference"/>
          <w:rFonts w:ascii="Palatino Linotype" w:hAnsi="Palatino Linotype"/>
          <w:color w:val="000000" w:themeColor="text1"/>
        </w:rPr>
        <w:footnoteReference w:id="157"/>
      </w:r>
      <w:r w:rsidRPr="00E11F65" w:rsidR="00E03D49">
        <w:rPr>
          <w:rFonts w:ascii="Palatino Linotype" w:hAnsi="Palatino Linotype"/>
          <w:color w:val="000000" w:themeColor="text1"/>
        </w:rPr>
        <w:t xml:space="preserve"> SoCalGas shall include in this Tier 2 AL: 1) a clean version of its updated 2025 Plan; 2) a track-change version of its original 2025 Plan; and 3) a table describing these modifications.</w:t>
      </w:r>
      <w:r w:rsidRPr="00E11F65" w:rsidR="00830439">
        <w:rPr>
          <w:rFonts w:ascii="Palatino Linotype" w:hAnsi="Palatino Linotype"/>
          <w:color w:val="000000" w:themeColor="text1"/>
        </w:rPr>
        <w:t xml:space="preserve"> SoCalGas shall:</w:t>
      </w:r>
    </w:p>
    <w:p w:rsidRPr="00E11F65" w:rsidR="00007CE7" w:rsidP="00477204" w:rsidRDefault="00007CE7" w14:paraId="64069D61" w14:textId="1616D55A">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 xml:space="preserve">Reallocate proposed funds for both new and further funding for hydrogen-related projects for eligible purposes as it does not demonstrate alignment with CPUC proceedings and </w:t>
      </w:r>
      <w:r w:rsidR="006C13D2">
        <w:rPr>
          <w:rFonts w:ascii="Palatino Linotype" w:hAnsi="Palatino Linotype" w:eastAsia="Palatino Linotype" w:cs="Times New Roman"/>
          <w:color w:val="000000" w:themeColor="text1"/>
          <w:kern w:val="0"/>
          <w14:ligatures w14:val="none"/>
        </w:rPr>
        <w:t xml:space="preserve">clear </w:t>
      </w:r>
      <w:r w:rsidRPr="00E11F65">
        <w:rPr>
          <w:rFonts w:ascii="Palatino Linotype" w:hAnsi="Palatino Linotype" w:eastAsia="Palatino Linotype" w:cs="Times New Roman"/>
          <w:color w:val="000000" w:themeColor="text1"/>
          <w:kern w:val="0"/>
          <w14:ligatures w14:val="none"/>
        </w:rPr>
        <w:t>ratepayer benefit.</w:t>
      </w:r>
    </w:p>
    <w:p w:rsidRPr="003F2BAA" w:rsidR="0074238F" w:rsidP="0074238F" w:rsidRDefault="0074238F" w14:paraId="3D737137" w14:textId="6101BFFD">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Provide further detail on</w:t>
      </w:r>
      <w:r w:rsidRPr="003F2BAA">
        <w:rPr>
          <w:rFonts w:ascii="Palatino Linotype" w:hAnsi="Palatino Linotype" w:eastAsia="Palatino Linotype" w:cs="Times New Roman"/>
          <w:color w:val="000000" w:themeColor="text1"/>
          <w:kern w:val="0"/>
          <w14:ligatures w14:val="none"/>
        </w:rPr>
        <w:t xml:space="preserve"> the “Integrating carbon management solutions” Research Topic </w:t>
      </w:r>
      <w:r>
        <w:rPr>
          <w:rFonts w:ascii="Palatino Linotype" w:hAnsi="Palatino Linotype" w:eastAsia="Palatino Linotype" w:cs="Times New Roman"/>
          <w:color w:val="000000" w:themeColor="text1"/>
          <w:kern w:val="0"/>
          <w14:ligatures w14:val="none"/>
        </w:rPr>
        <w:t>under</w:t>
      </w:r>
      <w:r w:rsidRPr="003F2BAA">
        <w:rPr>
          <w:rFonts w:ascii="Palatino Linotype" w:hAnsi="Palatino Linotype" w:eastAsia="Palatino Linotype" w:cs="Times New Roman"/>
          <w:color w:val="000000" w:themeColor="text1"/>
          <w:kern w:val="0"/>
          <w14:ligatures w14:val="none"/>
        </w:rPr>
        <w:t xml:space="preserve"> its </w:t>
      </w:r>
      <w:r w:rsidRPr="003F2BAA">
        <w:rPr>
          <w:rFonts w:ascii="Palatino Linotype" w:hAnsi="Palatino Linotype" w:eastAsia="Palatino Linotype" w:cs="Times New Roman"/>
          <w:i/>
          <w:iCs/>
          <w:color w:val="000000" w:themeColor="text1"/>
          <w:kern w:val="0"/>
          <w14:ligatures w14:val="none"/>
        </w:rPr>
        <w:t>Energy Reliability &amp; Resilience</w:t>
      </w:r>
      <w:r w:rsidRPr="003F2BAA">
        <w:rPr>
          <w:rFonts w:ascii="Palatino Linotype" w:hAnsi="Palatino Linotype" w:eastAsia="Palatino Linotype" w:cs="Times New Roman"/>
          <w:color w:val="000000" w:themeColor="text1"/>
          <w:kern w:val="0"/>
          <w14:ligatures w14:val="none"/>
        </w:rPr>
        <w:t xml:space="preserve"> Initiative as </w:t>
      </w:r>
      <w:r>
        <w:rPr>
          <w:rFonts w:ascii="Palatino Linotype" w:hAnsi="Palatino Linotype" w:eastAsia="Palatino Linotype" w:cs="Times New Roman"/>
          <w:color w:val="000000" w:themeColor="text1"/>
          <w:kern w:val="0"/>
          <w14:ligatures w14:val="none"/>
        </w:rPr>
        <w:t>described herein.</w:t>
      </w:r>
    </w:p>
    <w:p w:rsidRPr="00E11F65" w:rsidR="00007CE7" w:rsidP="00477204" w:rsidRDefault="00007CE7" w14:paraId="57963FA6" w14:textId="63F56DBF">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 xml:space="preserve">Embed in the descriptions of each proposed Initiative incorporation strategies </w:t>
      </w:r>
      <w:r w:rsidRPr="00E11F65" w:rsidR="00C722F5">
        <w:rPr>
          <w:rFonts w:ascii="Palatino Linotype" w:hAnsi="Palatino Linotype" w:eastAsia="Palatino Linotype" w:cs="Times New Roman"/>
          <w:color w:val="000000" w:themeColor="text1"/>
          <w:kern w:val="0"/>
          <w14:ligatures w14:val="none"/>
        </w:rPr>
        <w:t xml:space="preserve">associated </w:t>
      </w:r>
      <w:r w:rsidR="00C722F5">
        <w:rPr>
          <w:rFonts w:ascii="Palatino Linotype" w:hAnsi="Palatino Linotype" w:eastAsia="Palatino Linotype" w:cs="Times New Roman"/>
          <w:color w:val="000000" w:themeColor="text1"/>
          <w:kern w:val="0"/>
          <w14:ligatures w14:val="none"/>
        </w:rPr>
        <w:t>with</w:t>
      </w:r>
      <w:r w:rsidRPr="00E11F65">
        <w:rPr>
          <w:rFonts w:ascii="Palatino Linotype" w:hAnsi="Palatino Linotype" w:eastAsia="Palatino Linotype" w:cs="Times New Roman"/>
          <w:color w:val="000000" w:themeColor="text1"/>
          <w:kern w:val="0"/>
          <w14:ligatures w14:val="none"/>
        </w:rPr>
        <w:t xml:space="preserve"> all stakeholder feedback or otherwise explain why it did not incorporate the input.</w:t>
      </w:r>
    </w:p>
    <w:p w:rsidRPr="00E11F65" w:rsidR="002504DB" w:rsidP="00477204" w:rsidRDefault="00830439" w14:paraId="77066996" w14:textId="37E761DB">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7E7B29">
        <w:rPr>
          <w:rFonts w:ascii="Palatino Linotype" w:hAnsi="Palatino Linotype" w:eastAsia="Palatino Linotype" w:cs="Times New Roman"/>
          <w:color w:val="000000" w:themeColor="text1"/>
          <w:kern w:val="0"/>
          <w14:ligatures w14:val="none"/>
        </w:rPr>
        <w:t>Demonstrat</w:t>
      </w:r>
      <w:r>
        <w:rPr>
          <w:rFonts w:ascii="Palatino Linotype" w:hAnsi="Palatino Linotype" w:eastAsia="Palatino Linotype" w:cs="Times New Roman"/>
          <w:color w:val="000000" w:themeColor="text1"/>
          <w:kern w:val="0"/>
          <w14:ligatures w14:val="none"/>
        </w:rPr>
        <w:t>e</w:t>
      </w:r>
      <w:r w:rsidRPr="007E7B29">
        <w:rPr>
          <w:rFonts w:ascii="Palatino Linotype" w:hAnsi="Palatino Linotype" w:eastAsia="Palatino Linotype" w:cs="Times New Roman"/>
          <w:color w:val="000000" w:themeColor="text1"/>
          <w:kern w:val="0"/>
          <w14:ligatures w14:val="none"/>
        </w:rPr>
        <w:t xml:space="preserve"> that its </w:t>
      </w:r>
      <w:r w:rsidRPr="007E7B29">
        <w:rPr>
          <w:rFonts w:ascii="Palatino Linotype" w:hAnsi="Palatino Linotype" w:eastAsia="Palatino Linotype" w:cs="Times New Roman"/>
          <w:i/>
          <w:iCs/>
          <w:color w:val="000000" w:themeColor="text1"/>
          <w:kern w:val="0"/>
          <w14:ligatures w14:val="none"/>
        </w:rPr>
        <w:t>System Design &amp; Materials</w:t>
      </w:r>
      <w:r w:rsidRPr="007E7B29">
        <w:rPr>
          <w:rFonts w:ascii="Palatino Linotype" w:hAnsi="Palatino Linotype" w:eastAsia="Palatino Linotype" w:cs="Times New Roman"/>
          <w:color w:val="000000" w:themeColor="text1"/>
          <w:kern w:val="0"/>
          <w14:ligatures w14:val="none"/>
        </w:rPr>
        <w:t xml:space="preserve"> Initiative will involve activities that are complementary </w:t>
      </w:r>
      <w:proofErr w:type="gramStart"/>
      <w:r w:rsidRPr="007E7B29">
        <w:rPr>
          <w:rFonts w:ascii="Palatino Linotype" w:hAnsi="Palatino Linotype" w:eastAsia="Palatino Linotype" w:cs="Times New Roman"/>
          <w:color w:val="000000" w:themeColor="text1"/>
          <w:kern w:val="0"/>
          <w14:ligatures w14:val="none"/>
        </w:rPr>
        <w:t>to</w:t>
      </w:r>
      <w:proofErr w:type="gramEnd"/>
      <w:r w:rsidRPr="007E7B29">
        <w:rPr>
          <w:rFonts w:ascii="Palatino Linotype" w:hAnsi="Palatino Linotype" w:eastAsia="Palatino Linotype" w:cs="Times New Roman"/>
          <w:color w:val="000000" w:themeColor="text1"/>
          <w:kern w:val="0"/>
          <w14:ligatures w14:val="none"/>
        </w:rPr>
        <w:t xml:space="preserve"> rather than duplicative of the CEC’s </w:t>
      </w:r>
      <w:r w:rsidRPr="007E7B29">
        <w:rPr>
          <w:rFonts w:ascii="Palatino Linotype" w:hAnsi="Palatino Linotype" w:eastAsia="Palatino Linotype" w:cs="Times New Roman"/>
          <w:i/>
          <w:iCs/>
          <w:color w:val="000000" w:themeColor="text1"/>
          <w:kern w:val="0"/>
          <w14:ligatures w14:val="none"/>
        </w:rPr>
        <w:t>Fuel-</w:t>
      </w:r>
      <w:r w:rsidRPr="00E11F65">
        <w:rPr>
          <w:rFonts w:ascii="Palatino Linotype" w:hAnsi="Palatino Linotype" w:eastAsia="Palatino Linotype" w:cs="Times New Roman"/>
          <w:i/>
          <w:iCs/>
          <w:color w:val="000000" w:themeColor="text1"/>
          <w:kern w:val="0"/>
          <w14:ligatures w14:val="none"/>
        </w:rPr>
        <w:t>Flexible Distributed Power Generation</w:t>
      </w:r>
      <w:r w:rsidRPr="00E11F65">
        <w:rPr>
          <w:rFonts w:ascii="Palatino Linotype" w:hAnsi="Palatino Linotype" w:eastAsia="Palatino Linotype" w:cs="Times New Roman"/>
          <w:color w:val="000000" w:themeColor="text1"/>
          <w:kern w:val="0"/>
          <w14:ligatures w14:val="none"/>
        </w:rPr>
        <w:t xml:space="preserve"> Initiative in its FY 2024-2025 Gas RD&amp;D Plan.</w:t>
      </w:r>
    </w:p>
    <w:p w:rsidRPr="00E11F65" w:rsidR="00C477A1" w:rsidP="00477204" w:rsidRDefault="007830C6" w14:paraId="05FC32C2" w14:textId="7ABEB8C9">
      <w:pPr>
        <w:pStyle w:val="10spHanging05"/>
        <w:numPr>
          <w:ilvl w:val="0"/>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 xml:space="preserve">In its revised 2024 and 2025 Gas RD&amp;D Plans, </w:t>
      </w:r>
      <w:r w:rsidRPr="00E11F65" w:rsidR="00C477A1">
        <w:rPr>
          <w:rFonts w:ascii="Palatino Linotype" w:hAnsi="Palatino Linotype"/>
          <w:color w:val="000000" w:themeColor="text1"/>
        </w:rPr>
        <w:t xml:space="preserve">SoCalGas shall make the following revisions to provide greater clarity to align with requirements: </w:t>
      </w:r>
    </w:p>
    <w:p w:rsidRPr="00E11F65" w:rsidR="0070346B" w:rsidP="00477204" w:rsidRDefault="0070346B" w14:paraId="0702D4E9" w14:textId="7F35004B">
      <w:pPr>
        <w:pStyle w:val="10spHanging05"/>
        <w:numPr>
          <w:ilvl w:val="1"/>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 xml:space="preserve">Review its Plans </w:t>
      </w:r>
      <w:r w:rsidRPr="00761E43" w:rsidR="00761E43">
        <w:rPr>
          <w:rFonts w:ascii="Palatino Linotype" w:hAnsi="Palatino Linotype"/>
          <w:color w:val="000000" w:themeColor="text1"/>
        </w:rPr>
        <w:t>for elements of Initiatives that primarily support compliance with existing requirements/regulations or ongoing operations and maintenance activities and rescope as necessary to demonstrate ratepayer funds are used for innovative RD&amp;D and produce impacts that would not otherwise be expected to occur</w:t>
      </w:r>
      <w:r w:rsidR="00761E43">
        <w:rPr>
          <w:rFonts w:ascii="Palatino Linotype" w:hAnsi="Palatino Linotype"/>
          <w:color w:val="000000" w:themeColor="text1"/>
        </w:rPr>
        <w:t>.</w:t>
      </w:r>
    </w:p>
    <w:p w:rsidRPr="00E11F65" w:rsidR="0070346B" w:rsidP="00477204" w:rsidRDefault="0070346B" w14:paraId="5082D173" w14:textId="3C1983D5">
      <w:pPr>
        <w:pStyle w:val="10spHanging05"/>
        <w:numPr>
          <w:ilvl w:val="1"/>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Indicate the program area across the product development cycle</w:t>
      </w:r>
      <w:r w:rsidR="00ED2941">
        <w:rPr>
          <w:rFonts w:ascii="Palatino Linotype" w:hAnsi="Palatino Linotype"/>
          <w:color w:val="000000" w:themeColor="text1"/>
        </w:rPr>
        <w:t>,</w:t>
      </w:r>
      <w:r w:rsidRPr="00E11F65">
        <w:rPr>
          <w:rFonts w:ascii="Palatino Linotype" w:hAnsi="Palatino Linotype"/>
          <w:color w:val="000000" w:themeColor="text1"/>
        </w:rPr>
        <w:t xml:space="preserve"> detailed in Appendix D of this Resolution</w:t>
      </w:r>
      <w:r w:rsidR="00ED2941">
        <w:rPr>
          <w:rFonts w:ascii="Palatino Linotype" w:hAnsi="Palatino Linotype"/>
          <w:color w:val="000000" w:themeColor="text1"/>
        </w:rPr>
        <w:t>,</w:t>
      </w:r>
      <w:r w:rsidRPr="00E11F65">
        <w:rPr>
          <w:rFonts w:ascii="Palatino Linotype" w:hAnsi="Palatino Linotype"/>
          <w:color w:val="000000" w:themeColor="text1"/>
        </w:rPr>
        <w:t xml:space="preserve"> associated with each listed Research Topics for further clarity on anticipated outputs from Initiatives. </w:t>
      </w:r>
    </w:p>
    <w:p w:rsidRPr="00E11F65" w:rsidR="0070346B" w:rsidP="00477204" w:rsidRDefault="0070346B" w14:paraId="289A5D65" w14:textId="5553BC94">
      <w:pPr>
        <w:pStyle w:val="10spHanging05"/>
        <w:numPr>
          <w:ilvl w:val="1"/>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lastRenderedPageBreak/>
        <w:t xml:space="preserve">Identify which of the proposed future project areas are anticipated to be funded through consortia.   </w:t>
      </w:r>
    </w:p>
    <w:p w:rsidRPr="00E11F65" w:rsidR="00C477A1" w:rsidP="00477204" w:rsidRDefault="0070346B" w14:paraId="052BBFC9" w14:textId="26935EEB">
      <w:pPr>
        <w:pStyle w:val="10spHanging05"/>
        <w:numPr>
          <w:ilvl w:val="1"/>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 xml:space="preserve">Prioritize zero-emission over low-emission technologies wherever possible, particularly under its </w:t>
      </w:r>
      <w:r w:rsidRPr="00E11F65">
        <w:rPr>
          <w:rFonts w:ascii="Palatino Linotype" w:hAnsi="Palatino Linotype"/>
          <w:i/>
          <w:iCs/>
          <w:color w:val="000000" w:themeColor="text1"/>
        </w:rPr>
        <w:t>Low-Carbon Fuel Technologies</w:t>
      </w:r>
      <w:r w:rsidRPr="00E11F65">
        <w:rPr>
          <w:rFonts w:ascii="Palatino Linotype" w:hAnsi="Palatino Linotype"/>
          <w:color w:val="000000" w:themeColor="text1"/>
        </w:rPr>
        <w:t xml:space="preserve"> and </w:t>
      </w:r>
      <w:r w:rsidRPr="00E11F65">
        <w:rPr>
          <w:rFonts w:ascii="Palatino Linotype" w:hAnsi="Palatino Linotype"/>
          <w:i/>
          <w:iCs/>
          <w:color w:val="000000" w:themeColor="text1"/>
        </w:rPr>
        <w:t>Energy Reliability &amp; Resilience</w:t>
      </w:r>
      <w:r w:rsidRPr="00E11F65">
        <w:rPr>
          <w:rFonts w:ascii="Palatino Linotype" w:hAnsi="Palatino Linotype"/>
          <w:color w:val="000000" w:themeColor="text1"/>
        </w:rPr>
        <w:t xml:space="preserve"> Initiatives.</w:t>
      </w:r>
      <w:r w:rsidRPr="00E11F65" w:rsidR="0060078E">
        <w:rPr>
          <w:rFonts w:ascii="Palatino Linotype" w:hAnsi="Palatino Linotype"/>
          <w:color w:val="000000" w:themeColor="text1"/>
        </w:rPr>
        <w:t xml:space="preserve"> </w:t>
      </w:r>
      <w:r w:rsidRPr="00E11F65" w:rsidR="0060078E">
        <w:rPr>
          <w:rFonts w:ascii="Palatino Linotype" w:hAnsi="Palatino Linotype" w:eastAsia="Palatino Linotype" w:cs="Palatino Linotype"/>
          <w:color w:val="000000" w:themeColor="text1"/>
        </w:rPr>
        <w:t>Otherwise, explain why zero-emission research is not possible.</w:t>
      </w:r>
    </w:p>
    <w:p w:rsidRPr="00E11F65" w:rsidR="00806318" w:rsidP="00477204" w:rsidRDefault="00806318" w14:paraId="355BB3BD" w14:textId="754F5587">
      <w:pPr>
        <w:pStyle w:val="10spHanging05"/>
        <w:numPr>
          <w:ilvl w:val="0"/>
          <w:numId w:val="12"/>
        </w:numPr>
        <w:spacing w:after="0" w:line="276" w:lineRule="auto"/>
        <w:rPr>
          <w:rFonts w:ascii="Palatino Linotype" w:hAnsi="Palatino Linotype"/>
          <w:color w:val="000000" w:themeColor="text1"/>
        </w:rPr>
      </w:pPr>
      <w:r w:rsidRPr="007E7B29">
        <w:rPr>
          <w:rFonts w:ascii="Palatino Linotype" w:hAnsi="Palatino Linotype"/>
          <w:color w:val="000000" w:themeColor="text1"/>
        </w:rPr>
        <w:t xml:space="preserve">SoCalGas’ Advice Letter </w:t>
      </w:r>
      <w:r w:rsidRPr="007E7B29">
        <w:rPr>
          <w:rFonts w:ascii="Palatino Linotype" w:hAnsi="Palatino Linotype" w:eastAsia="Palatino Linotype"/>
          <w:color w:val="000000" w:themeColor="text1"/>
        </w:rPr>
        <w:t>6</w:t>
      </w:r>
      <w:r w:rsidRPr="007E7B29" w:rsidR="00B54413">
        <w:rPr>
          <w:rFonts w:ascii="Palatino Linotype" w:hAnsi="Palatino Linotype" w:eastAsia="Palatino Linotype"/>
          <w:color w:val="000000" w:themeColor="text1"/>
        </w:rPr>
        <w:t>645-G</w:t>
      </w:r>
      <w:r w:rsidRPr="007E7B29">
        <w:rPr>
          <w:rFonts w:ascii="Palatino Linotype" w:hAnsi="Palatino Linotype"/>
          <w:color w:val="000000" w:themeColor="text1"/>
        </w:rPr>
        <w:t xml:space="preserve"> </w:t>
      </w:r>
      <w:proofErr w:type="gramStart"/>
      <w:r w:rsidRPr="007E7B29">
        <w:rPr>
          <w:rFonts w:ascii="Palatino Linotype" w:hAnsi="Palatino Linotype"/>
          <w:color w:val="000000" w:themeColor="text1"/>
        </w:rPr>
        <w:t>proposing</w:t>
      </w:r>
      <w:proofErr w:type="gramEnd"/>
      <w:r w:rsidRPr="007E7B29">
        <w:rPr>
          <w:rFonts w:ascii="Palatino Linotype" w:hAnsi="Palatino Linotype"/>
          <w:color w:val="000000" w:themeColor="text1"/>
        </w:rPr>
        <w:t xml:space="preserve"> for SoCalGas to record up to $</w:t>
      </w:r>
      <w:r w:rsidRPr="007E7B29" w:rsidR="00594396">
        <w:rPr>
          <w:rFonts w:ascii="Palatino Linotype" w:hAnsi="Palatino Linotype"/>
          <w:color w:val="000000" w:themeColor="text1"/>
        </w:rPr>
        <w:t xml:space="preserve">18,940,000 </w:t>
      </w:r>
      <w:r w:rsidRPr="007E7B29">
        <w:rPr>
          <w:rFonts w:ascii="Palatino Linotype" w:hAnsi="Palatino Linotype"/>
          <w:color w:val="000000" w:themeColor="text1"/>
        </w:rPr>
        <w:t xml:space="preserve">in Gas RD&amp;D </w:t>
      </w:r>
      <w:r w:rsidRPr="00E11F65">
        <w:rPr>
          <w:rFonts w:ascii="Palatino Linotype" w:hAnsi="Palatino Linotype"/>
          <w:color w:val="000000" w:themeColor="text1"/>
        </w:rPr>
        <w:t>expenses to implement its 202</w:t>
      </w:r>
      <w:r w:rsidRPr="00E11F65" w:rsidR="00B54413">
        <w:rPr>
          <w:rFonts w:ascii="Palatino Linotype" w:hAnsi="Palatino Linotype"/>
          <w:color w:val="000000" w:themeColor="text1"/>
        </w:rPr>
        <w:t>6</w:t>
      </w:r>
      <w:r w:rsidRPr="00E11F65">
        <w:rPr>
          <w:rFonts w:ascii="Palatino Linotype" w:hAnsi="Palatino Linotype"/>
          <w:color w:val="000000" w:themeColor="text1"/>
        </w:rPr>
        <w:t xml:space="preserve"> Plan is approved </w:t>
      </w:r>
      <w:r w:rsidRPr="00E11F65" w:rsidR="008E40A9">
        <w:rPr>
          <w:rFonts w:ascii="Palatino Linotype" w:hAnsi="Palatino Linotype"/>
          <w:color w:val="000000" w:themeColor="text1"/>
        </w:rPr>
        <w:t>in part</w:t>
      </w:r>
      <w:r w:rsidRPr="00E11F65" w:rsidR="00E03D49">
        <w:rPr>
          <w:rFonts w:ascii="Palatino Linotype" w:hAnsi="Palatino Linotype"/>
          <w:color w:val="000000" w:themeColor="text1"/>
        </w:rPr>
        <w:t>. The Commission’s authorization of SoCalGas’ 2026 Gas RD&amp;D Plan budget requires SoCalGas to submit a revised 202</w:t>
      </w:r>
      <w:r w:rsidRPr="00E11F65" w:rsidR="627B1315">
        <w:rPr>
          <w:rFonts w:ascii="Palatino Linotype" w:hAnsi="Palatino Linotype"/>
          <w:color w:val="000000" w:themeColor="text1"/>
        </w:rPr>
        <w:t>6</w:t>
      </w:r>
      <w:r w:rsidRPr="00E11F65" w:rsidR="00E03D49">
        <w:rPr>
          <w:rFonts w:ascii="Palatino Linotype" w:hAnsi="Palatino Linotype"/>
          <w:color w:val="000000" w:themeColor="text1"/>
        </w:rPr>
        <w:t xml:space="preserve"> Plan via Tier 2 AL within </w:t>
      </w:r>
      <w:r w:rsidRPr="00E11F65" w:rsidR="00F77D7C">
        <w:rPr>
          <w:rFonts w:ascii="Palatino Linotype" w:hAnsi="Palatino Linotype"/>
          <w:color w:val="000000" w:themeColor="text1"/>
        </w:rPr>
        <w:t>6</w:t>
      </w:r>
      <w:r w:rsidRPr="00E11F65" w:rsidR="00E03D49">
        <w:rPr>
          <w:rFonts w:ascii="Palatino Linotype" w:hAnsi="Palatino Linotype"/>
          <w:color w:val="000000" w:themeColor="text1"/>
        </w:rPr>
        <w:t xml:space="preserve">0 days </w:t>
      </w:r>
      <w:r w:rsidRPr="00E11F65" w:rsidR="002504DB">
        <w:rPr>
          <w:rFonts w:ascii="Palatino Linotype" w:hAnsi="Palatino Linotype"/>
          <w:color w:val="000000" w:themeColor="text1"/>
        </w:rPr>
        <w:t>addressing the identified compliance issues requiring modifications</w:t>
      </w:r>
      <w:r w:rsidRPr="00E11F65" w:rsidR="00E03D49">
        <w:rPr>
          <w:rFonts w:ascii="Palatino Linotype" w:hAnsi="Palatino Linotype"/>
          <w:color w:val="000000" w:themeColor="text1"/>
        </w:rPr>
        <w:t>.</w:t>
      </w:r>
      <w:r w:rsidRPr="00E11F65" w:rsidR="00E03D49">
        <w:rPr>
          <w:rStyle w:val="FootnoteReference"/>
          <w:rFonts w:ascii="Palatino Linotype" w:hAnsi="Palatino Linotype"/>
          <w:color w:val="000000" w:themeColor="text1"/>
        </w:rPr>
        <w:footnoteReference w:id="158"/>
      </w:r>
      <w:r w:rsidRPr="00E11F65" w:rsidR="00E03D49">
        <w:rPr>
          <w:rFonts w:ascii="Palatino Linotype" w:hAnsi="Palatino Linotype"/>
          <w:color w:val="000000" w:themeColor="text1"/>
        </w:rPr>
        <w:t xml:space="preserve"> SoCalGas shall include in this Tier 2 AL: 1) a clean version of its updated 2026 Plan; 2) a track-change version of its original 2026 Plan; and 3) a table describing these modifications.</w:t>
      </w:r>
      <w:r w:rsidRPr="00E11F65" w:rsidR="002504DB">
        <w:rPr>
          <w:rFonts w:ascii="Palatino Linotype" w:hAnsi="Palatino Linotype"/>
          <w:color w:val="000000" w:themeColor="text1"/>
        </w:rPr>
        <w:t xml:space="preserve"> SoCalGas shall:</w:t>
      </w:r>
    </w:p>
    <w:p w:rsidRPr="003F2BAA" w:rsidR="0074238F" w:rsidP="0074238F" w:rsidRDefault="0074238F" w14:paraId="746C82E9" w14:textId="496B1E94">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Provide further detail on</w:t>
      </w:r>
      <w:r w:rsidRPr="003F2BAA">
        <w:rPr>
          <w:rFonts w:ascii="Palatino Linotype" w:hAnsi="Palatino Linotype" w:eastAsia="Palatino Linotype" w:cs="Times New Roman"/>
          <w:color w:val="000000" w:themeColor="text1"/>
          <w:kern w:val="0"/>
          <w14:ligatures w14:val="none"/>
        </w:rPr>
        <w:t xml:space="preserve"> the </w:t>
      </w:r>
      <w:r w:rsidRPr="00E11F65">
        <w:rPr>
          <w:rFonts w:ascii="Palatino Linotype" w:hAnsi="Palatino Linotype" w:eastAsia="Palatino Linotype" w:cs="Times New Roman"/>
          <w:color w:val="000000" w:themeColor="text1"/>
          <w:kern w:val="0"/>
          <w14:ligatures w14:val="none"/>
        </w:rPr>
        <w:t xml:space="preserve">“Carbon Management Integration” </w:t>
      </w:r>
      <w:r w:rsidRPr="003F2BAA">
        <w:rPr>
          <w:rFonts w:ascii="Palatino Linotype" w:hAnsi="Palatino Linotype" w:eastAsia="Palatino Linotype" w:cs="Times New Roman"/>
          <w:color w:val="000000" w:themeColor="text1"/>
          <w:kern w:val="0"/>
          <w14:ligatures w14:val="none"/>
        </w:rPr>
        <w:t xml:space="preserve">Research Topic </w:t>
      </w:r>
      <w:r>
        <w:rPr>
          <w:rFonts w:ascii="Palatino Linotype" w:hAnsi="Palatino Linotype" w:eastAsia="Palatino Linotype" w:cs="Times New Roman"/>
          <w:color w:val="000000" w:themeColor="text1"/>
          <w:kern w:val="0"/>
          <w14:ligatures w14:val="none"/>
        </w:rPr>
        <w:t>under</w:t>
      </w:r>
      <w:r w:rsidRPr="003F2BAA">
        <w:rPr>
          <w:rFonts w:ascii="Palatino Linotype" w:hAnsi="Palatino Linotype" w:eastAsia="Palatino Linotype" w:cs="Times New Roman"/>
          <w:color w:val="000000" w:themeColor="text1"/>
          <w:kern w:val="0"/>
          <w14:ligatures w14:val="none"/>
        </w:rPr>
        <w:t xml:space="preserve"> its </w:t>
      </w:r>
      <w:r w:rsidRPr="003F2BAA">
        <w:rPr>
          <w:rFonts w:ascii="Palatino Linotype" w:hAnsi="Palatino Linotype" w:eastAsia="Palatino Linotype" w:cs="Times New Roman"/>
          <w:i/>
          <w:iCs/>
          <w:color w:val="000000" w:themeColor="text1"/>
          <w:kern w:val="0"/>
          <w14:ligatures w14:val="none"/>
        </w:rPr>
        <w:t>Energy Reliability &amp; Resilience</w:t>
      </w:r>
      <w:r w:rsidRPr="003F2BAA">
        <w:rPr>
          <w:rFonts w:ascii="Palatino Linotype" w:hAnsi="Palatino Linotype" w:eastAsia="Palatino Linotype" w:cs="Times New Roman"/>
          <w:color w:val="000000" w:themeColor="text1"/>
          <w:kern w:val="0"/>
          <w14:ligatures w14:val="none"/>
        </w:rPr>
        <w:t xml:space="preserve"> Initiative as </w:t>
      </w:r>
      <w:r>
        <w:rPr>
          <w:rFonts w:ascii="Palatino Linotype" w:hAnsi="Palatino Linotype" w:eastAsia="Palatino Linotype" w:cs="Times New Roman"/>
          <w:color w:val="000000" w:themeColor="text1"/>
          <w:kern w:val="0"/>
          <w14:ligatures w14:val="none"/>
        </w:rPr>
        <w:t>described herein.</w:t>
      </w:r>
    </w:p>
    <w:p w:rsidRPr="00E11F65" w:rsidR="008E40A9" w:rsidP="00477204" w:rsidRDefault="002504DB" w14:paraId="71E6EAF5" w14:textId="7F1060DC">
      <w:pPr>
        <w:pStyle w:val="ListParagraph"/>
        <w:numPr>
          <w:ilvl w:val="1"/>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E</w:t>
      </w:r>
      <w:r w:rsidRPr="00E11F65" w:rsidR="008E40A9">
        <w:rPr>
          <w:rFonts w:ascii="Palatino Linotype" w:hAnsi="Palatino Linotype" w:eastAsia="Palatino Linotype" w:cs="Times New Roman"/>
          <w:color w:val="000000" w:themeColor="text1"/>
          <w:kern w:val="0"/>
          <w14:ligatures w14:val="none"/>
        </w:rPr>
        <w:t>mbed in the descriptions of each proposed Initiative for transparency:  </w:t>
      </w:r>
    </w:p>
    <w:p w:rsidRPr="00E11F65" w:rsidR="008E40A9" w:rsidP="00477204" w:rsidRDefault="008E40A9" w14:paraId="42D09B76" w14:textId="77777777">
      <w:pPr>
        <w:pStyle w:val="ListParagraph"/>
        <w:numPr>
          <w:ilvl w:val="2"/>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Incorporation strategies associated with all:  </w:t>
      </w:r>
    </w:p>
    <w:p w:rsidRPr="00E11F65" w:rsidR="008E40A9" w:rsidP="00477204" w:rsidRDefault="008E40A9" w14:paraId="57E8CB6B"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Stakeholder feedback, and  </w:t>
      </w:r>
    </w:p>
    <w:p w:rsidRPr="00E11F65" w:rsidR="008E40A9" w:rsidP="00477204" w:rsidRDefault="008E40A9" w14:paraId="18D0A1A3" w14:textId="3E391273">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 xml:space="preserve">Energy Division </w:t>
      </w:r>
      <w:r w:rsidRPr="00EC47BA" w:rsidR="00EC47BA">
        <w:rPr>
          <w:rFonts w:ascii="Palatino Linotype" w:hAnsi="Palatino Linotype" w:eastAsia="Palatino Linotype" w:cs="Times New Roman"/>
          <w:color w:val="000000" w:themeColor="text1"/>
          <w:kern w:val="0"/>
          <w14:ligatures w14:val="none"/>
        </w:rPr>
        <w:t>staff consultation feedback reflecting alignment with CPUC proceedings and ratepayer benefit</w:t>
      </w:r>
      <w:r w:rsidRPr="00E11F65">
        <w:rPr>
          <w:rFonts w:ascii="Palatino Linotype" w:hAnsi="Palatino Linotype" w:eastAsia="Palatino Linotype" w:cs="Times New Roman"/>
          <w:color w:val="000000" w:themeColor="text1"/>
          <w:kern w:val="0"/>
          <w14:ligatures w14:val="none"/>
        </w:rPr>
        <w:t>, including:  </w:t>
      </w:r>
    </w:p>
    <w:p w:rsidRPr="00E11F65" w:rsidR="008E40A9" w:rsidP="00477204" w:rsidRDefault="008E40A9" w14:paraId="16D5B4EC" w14:textId="77777777">
      <w:pPr>
        <w:pStyle w:val="ListParagraph"/>
        <w:numPr>
          <w:ilvl w:val="4"/>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Environment &amp; Safety</w:t>
      </w:r>
      <w:r w:rsidRPr="00E11F65">
        <w:rPr>
          <w:rFonts w:ascii="Palatino Linotype" w:hAnsi="Palatino Linotype" w:eastAsia="Palatino Linotype" w:cs="Times New Roman"/>
          <w:color w:val="000000" w:themeColor="text1"/>
          <w:kern w:val="0"/>
          <w14:ligatures w14:val="none"/>
        </w:rPr>
        <w:t>: SoCalGas must demonstrate that it will account for the full costs associated with AI/ML applications when assessing impacts, including increased energy consumption, cloud services, data storage, and processing requirements, and that human decision-making authority will be retained. </w:t>
      </w:r>
    </w:p>
    <w:p w:rsidRPr="00E11F65" w:rsidR="008E40A9" w:rsidP="00477204" w:rsidRDefault="008E40A9" w14:paraId="1F8A78E2" w14:textId="77777777">
      <w:pPr>
        <w:pStyle w:val="ListParagraph"/>
        <w:numPr>
          <w:ilvl w:val="4"/>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Building &amp; Facility Systems</w:t>
      </w:r>
      <w:r w:rsidRPr="00E11F65">
        <w:rPr>
          <w:rFonts w:ascii="Palatino Linotype" w:hAnsi="Palatino Linotype" w:eastAsia="Palatino Linotype" w:cs="Times New Roman"/>
          <w:color w:val="000000" w:themeColor="text1"/>
          <w:kern w:val="0"/>
          <w14:ligatures w14:val="none"/>
        </w:rPr>
        <w:t>: SoCalGas must demonstrate that this Initiative supports reducing the size of the gas system. </w:t>
      </w:r>
    </w:p>
    <w:p w:rsidRPr="00E11F65" w:rsidR="008E40A9" w:rsidP="00477204" w:rsidRDefault="008E40A9" w14:paraId="1E4C43F4" w14:textId="77777777">
      <w:pPr>
        <w:pStyle w:val="ListParagraph"/>
        <w:numPr>
          <w:ilvl w:val="2"/>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lastRenderedPageBreak/>
        <w:t>Detail differentiating similar RD&amp;D led by other Gas RD&amp;D administrators and conducted in other programs, particularly:  </w:t>
      </w:r>
    </w:p>
    <w:p w:rsidRPr="00E11F65" w:rsidR="008E40A9" w:rsidP="00477204" w:rsidRDefault="008E40A9" w14:paraId="6ED7B6EA"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Environmental &amp; Safety</w:t>
      </w:r>
      <w:r w:rsidRPr="00E11F65">
        <w:rPr>
          <w:rFonts w:ascii="Palatino Linotype" w:hAnsi="Palatino Linotype" w:eastAsia="Palatino Linotype" w:cs="Times New Roman"/>
          <w:color w:val="000000" w:themeColor="text1"/>
          <w:kern w:val="0"/>
          <w14:ligatures w14:val="none"/>
        </w:rPr>
        <w:t xml:space="preserve"> from PG&amp;E RD&amp;D involving AI/ML and LiDAR, including specific examples of how system conditions differ to justify parallel validation. </w:t>
      </w:r>
    </w:p>
    <w:p w:rsidRPr="00E11F65" w:rsidR="008E40A9" w:rsidP="00477204" w:rsidRDefault="008E40A9" w14:paraId="64910F97"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Community Impact &amp; Energy Conservation</w:t>
      </w:r>
      <w:r w:rsidRPr="00E11F65">
        <w:rPr>
          <w:rFonts w:ascii="Palatino Linotype" w:hAnsi="Palatino Linotype" w:eastAsia="Palatino Linotype" w:cs="Times New Roman"/>
          <w:color w:val="000000" w:themeColor="text1"/>
          <w:kern w:val="0"/>
          <w14:ligatures w14:val="none"/>
        </w:rPr>
        <w:t xml:space="preserve"> from PG&amp;E RD&amp;D involving AI/ML and LiDAR in addition to PG&amp;E and CEC RD&amp;D involving methane monitoring. </w:t>
      </w:r>
    </w:p>
    <w:p w:rsidRPr="00E11F65" w:rsidR="008E40A9" w:rsidP="00477204" w:rsidRDefault="008E40A9" w14:paraId="2C0FF2F1"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Low-Carbon Fuel Technologies</w:t>
      </w:r>
      <w:r w:rsidRPr="00E11F65">
        <w:rPr>
          <w:rFonts w:ascii="Palatino Linotype" w:hAnsi="Palatino Linotype" w:eastAsia="Palatino Linotype" w:cs="Times New Roman"/>
          <w:color w:val="000000" w:themeColor="text1"/>
          <w:kern w:val="0"/>
          <w14:ligatures w14:val="none"/>
        </w:rPr>
        <w:t xml:space="preserve"> from PG&amp;E’s </w:t>
      </w:r>
      <w:r w:rsidRPr="00E11F65">
        <w:rPr>
          <w:rFonts w:ascii="Palatino Linotype" w:hAnsi="Palatino Linotype" w:eastAsia="Palatino Linotype" w:cs="Times New Roman"/>
          <w:i/>
          <w:iCs/>
          <w:color w:val="000000" w:themeColor="text1"/>
          <w:kern w:val="0"/>
          <w14:ligatures w14:val="none"/>
        </w:rPr>
        <w:t>Clean Fuels Integration</w:t>
      </w:r>
      <w:r w:rsidRPr="00E11F65">
        <w:rPr>
          <w:rFonts w:ascii="Palatino Linotype" w:hAnsi="Palatino Linotype" w:eastAsia="Palatino Linotype" w:cs="Times New Roman"/>
          <w:color w:val="000000" w:themeColor="text1"/>
          <w:kern w:val="0"/>
          <w14:ligatures w14:val="none"/>
        </w:rPr>
        <w:t xml:space="preserve"> Initiative in its 2026 Plan.</w:t>
      </w:r>
    </w:p>
    <w:p w:rsidRPr="00E11F65" w:rsidR="008E40A9" w:rsidP="00477204" w:rsidRDefault="008E40A9" w14:paraId="7AE7CE48"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Energy Reliability &amp; Resilience</w:t>
      </w:r>
      <w:r w:rsidRPr="00E11F65">
        <w:rPr>
          <w:rFonts w:ascii="Palatino Linotype" w:hAnsi="Palatino Linotype" w:eastAsia="Palatino Linotype" w:cs="Times New Roman"/>
          <w:color w:val="000000" w:themeColor="text1"/>
          <w:kern w:val="0"/>
          <w14:ligatures w14:val="none"/>
        </w:rPr>
        <w:t xml:space="preserve"> from the CEC’s EPIC and Gas RD&amp;D Initiatives and projects related to cost-effective industrial decarbonization in addition to the CEC’s </w:t>
      </w:r>
      <w:r w:rsidRPr="00E11F65">
        <w:rPr>
          <w:rFonts w:ascii="Palatino Linotype" w:hAnsi="Palatino Linotype" w:eastAsia="Palatino Linotype" w:cs="Times New Roman"/>
          <w:i/>
          <w:iCs/>
          <w:color w:val="000000" w:themeColor="text1"/>
          <w:kern w:val="0"/>
          <w14:ligatures w14:val="none"/>
        </w:rPr>
        <w:t xml:space="preserve">Fuel-Flexible Distributed Power Generation </w:t>
      </w:r>
      <w:r w:rsidRPr="00E11F65">
        <w:rPr>
          <w:rFonts w:ascii="Palatino Linotype" w:hAnsi="Palatino Linotype" w:eastAsia="Palatino Linotype" w:cs="Times New Roman"/>
          <w:color w:val="000000" w:themeColor="text1"/>
          <w:kern w:val="0"/>
          <w14:ligatures w14:val="none"/>
        </w:rPr>
        <w:t>Initiative in its proposed FY 2024-2025 Plan.</w:t>
      </w:r>
    </w:p>
    <w:p w:rsidRPr="00E11F65" w:rsidR="008E40A9" w:rsidP="00477204" w:rsidRDefault="008E40A9" w14:paraId="29E18BFB"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Building &amp; Facility Systems</w:t>
      </w:r>
      <w:r w:rsidRPr="00E11F65">
        <w:rPr>
          <w:rFonts w:ascii="Palatino Linotype" w:hAnsi="Palatino Linotype" w:eastAsia="Palatino Linotype" w:cs="Times New Roman"/>
          <w:color w:val="000000" w:themeColor="text1"/>
          <w:kern w:val="0"/>
          <w14:ligatures w14:val="none"/>
        </w:rPr>
        <w:t xml:space="preserve"> from building decarbonization and energy efficiency efforts and RD&amp;D activities involving thermal energy storage across Gas RD&amp;D, EPIC, and other programs. </w:t>
      </w:r>
    </w:p>
    <w:p w:rsidRPr="00E11F65" w:rsidR="008E40A9" w:rsidP="00477204" w:rsidRDefault="002504DB" w14:paraId="69A5E9F5" w14:textId="50DF3488">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P</w:t>
      </w:r>
      <w:r w:rsidRPr="00E11F65" w:rsidR="008E40A9">
        <w:rPr>
          <w:rFonts w:ascii="Palatino Linotype" w:hAnsi="Palatino Linotype" w:eastAsia="Palatino Linotype" w:cs="Times New Roman"/>
          <w:color w:val="000000" w:themeColor="text1"/>
          <w:kern w:val="0"/>
          <w14:ligatures w14:val="none"/>
        </w:rPr>
        <w:t>rovide further detail on how SoCalGas explored compensation strategies for its ESJ advisory panel.</w:t>
      </w:r>
    </w:p>
    <w:p w:rsidRPr="00E11F65" w:rsidR="004D3520" w:rsidP="00477204" w:rsidRDefault="00806318" w14:paraId="6233401D" w14:textId="3AC801CD">
      <w:pPr>
        <w:pStyle w:val="10spHanging05"/>
        <w:numPr>
          <w:ilvl w:val="0"/>
          <w:numId w:val="12"/>
        </w:numPr>
        <w:spacing w:after="0" w:line="276" w:lineRule="auto"/>
        <w:rPr>
          <w:rFonts w:ascii="Palatino Linotype" w:hAnsi="Palatino Linotype"/>
          <w:color w:val="000000" w:themeColor="text1"/>
        </w:rPr>
      </w:pPr>
      <w:r w:rsidRPr="007E7B29">
        <w:rPr>
          <w:rFonts w:ascii="Palatino Linotype" w:hAnsi="Palatino Linotype"/>
          <w:color w:val="000000" w:themeColor="text1"/>
        </w:rPr>
        <w:t xml:space="preserve">SoCalGas’ Advice Letter </w:t>
      </w:r>
      <w:r w:rsidRPr="007E7B29">
        <w:rPr>
          <w:rFonts w:ascii="Palatino Linotype" w:hAnsi="Palatino Linotype" w:eastAsia="Palatino Linotype"/>
          <w:color w:val="000000" w:themeColor="text1"/>
        </w:rPr>
        <w:t>6</w:t>
      </w:r>
      <w:r w:rsidRPr="007E7B29" w:rsidR="00B54413">
        <w:rPr>
          <w:rFonts w:ascii="Palatino Linotype" w:hAnsi="Palatino Linotype" w:eastAsia="Palatino Linotype"/>
          <w:color w:val="000000" w:themeColor="text1"/>
        </w:rPr>
        <w:t>646-G</w:t>
      </w:r>
      <w:r w:rsidRPr="007E7B29">
        <w:rPr>
          <w:rFonts w:ascii="Palatino Linotype" w:hAnsi="Palatino Linotype"/>
          <w:color w:val="000000" w:themeColor="text1"/>
        </w:rPr>
        <w:t xml:space="preserve"> proposing for SoCalGas to record up to $</w:t>
      </w:r>
      <w:r w:rsidRPr="007E7B29" w:rsidR="004D3520">
        <w:rPr>
          <w:rFonts w:ascii="Palatino Linotype" w:hAnsi="Palatino Linotype"/>
          <w:color w:val="000000" w:themeColor="text1"/>
        </w:rPr>
        <w:t xml:space="preserve">19,508,100 </w:t>
      </w:r>
      <w:r w:rsidRPr="007E7B29">
        <w:rPr>
          <w:rFonts w:ascii="Palatino Linotype" w:hAnsi="Palatino Linotype"/>
          <w:color w:val="000000" w:themeColor="text1"/>
        </w:rPr>
        <w:t>in Gas RD&amp;D expenses to implement its 202</w:t>
      </w:r>
      <w:r w:rsidRPr="007E7B29" w:rsidR="00B54413">
        <w:rPr>
          <w:rFonts w:ascii="Palatino Linotype" w:hAnsi="Palatino Linotype"/>
          <w:color w:val="000000" w:themeColor="text1"/>
        </w:rPr>
        <w:t>7</w:t>
      </w:r>
      <w:r w:rsidRPr="007E7B29">
        <w:rPr>
          <w:rFonts w:ascii="Palatino Linotype" w:hAnsi="Palatino Linotype"/>
          <w:color w:val="000000" w:themeColor="text1"/>
        </w:rPr>
        <w:t xml:space="preserve"> Plan is approved </w:t>
      </w:r>
      <w:r w:rsidRPr="007E7B29" w:rsidR="00FE5DF4">
        <w:rPr>
          <w:rFonts w:ascii="Palatino Linotype" w:hAnsi="Palatino Linotype"/>
          <w:color w:val="000000" w:themeColor="text1"/>
        </w:rPr>
        <w:t>in part</w:t>
      </w:r>
      <w:r w:rsidRPr="007E7B29" w:rsidR="00E03D49">
        <w:rPr>
          <w:rFonts w:ascii="Palatino Linotype" w:hAnsi="Palatino Linotype"/>
          <w:color w:val="000000" w:themeColor="text1"/>
        </w:rPr>
        <w:t>. The Commission’s authorization of SoCalGas’ 2027 Gas RD&amp;D Plan budget requires SoCalGas to submit a revised 202</w:t>
      </w:r>
      <w:r w:rsidRPr="007E7B29" w:rsidR="277ED0A2">
        <w:rPr>
          <w:rFonts w:ascii="Palatino Linotype" w:hAnsi="Palatino Linotype"/>
          <w:color w:val="000000" w:themeColor="text1"/>
        </w:rPr>
        <w:t>7</w:t>
      </w:r>
      <w:r w:rsidRPr="007E7B29" w:rsidR="00E03D49">
        <w:rPr>
          <w:rFonts w:ascii="Palatino Linotype" w:hAnsi="Palatino Linotype"/>
          <w:color w:val="000000" w:themeColor="text1"/>
        </w:rPr>
        <w:t xml:space="preserve"> Plan via Tier 2 AL within </w:t>
      </w:r>
      <w:r w:rsidRPr="007E7B29" w:rsidR="00FE5DF4">
        <w:rPr>
          <w:rFonts w:ascii="Palatino Linotype" w:hAnsi="Palatino Linotype"/>
          <w:color w:val="000000" w:themeColor="text1"/>
        </w:rPr>
        <w:t>6</w:t>
      </w:r>
      <w:r w:rsidRPr="007E7B29" w:rsidR="00E03D49">
        <w:rPr>
          <w:rFonts w:ascii="Palatino Linotype" w:hAnsi="Palatino Linotype"/>
          <w:color w:val="000000" w:themeColor="text1"/>
        </w:rPr>
        <w:t>0 days addressing the identified compliance issues requiring modifications.</w:t>
      </w:r>
      <w:r w:rsidRPr="007E7B29" w:rsidR="00E03D49">
        <w:rPr>
          <w:rStyle w:val="FootnoteReference"/>
          <w:rFonts w:ascii="Palatino Linotype" w:hAnsi="Palatino Linotype"/>
          <w:color w:val="000000" w:themeColor="text1"/>
        </w:rPr>
        <w:footnoteReference w:id="159"/>
      </w:r>
      <w:r w:rsidRPr="007E7B29" w:rsidR="00E03D49">
        <w:rPr>
          <w:rFonts w:ascii="Palatino Linotype" w:hAnsi="Palatino Linotype"/>
          <w:color w:val="000000" w:themeColor="text1"/>
        </w:rPr>
        <w:t xml:space="preserve"> SoCalGas shall include in this Tier 2 AL: 1) a clean version of its updated 2027 Plan; 2) a track-change </w:t>
      </w:r>
      <w:r w:rsidRPr="00E11F65" w:rsidR="00E03D49">
        <w:rPr>
          <w:rFonts w:ascii="Palatino Linotype" w:hAnsi="Palatino Linotype"/>
          <w:color w:val="000000" w:themeColor="text1"/>
        </w:rPr>
        <w:t>version of its original 2027 Plan; and 3) a table describing these modifications.</w:t>
      </w:r>
      <w:r w:rsidRPr="00E11F65" w:rsidR="00DA727E">
        <w:rPr>
          <w:rFonts w:ascii="Palatino Linotype" w:hAnsi="Palatino Linotype"/>
          <w:color w:val="000000" w:themeColor="text1"/>
        </w:rPr>
        <w:t xml:space="preserve"> SoCalGas shall:</w:t>
      </w:r>
    </w:p>
    <w:p w:rsidRPr="003F2BAA" w:rsidR="004031E5" w:rsidP="004031E5" w:rsidRDefault="004031E5" w14:paraId="1C46AF07" w14:textId="72313E56">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Pr>
          <w:rFonts w:ascii="Palatino Linotype" w:hAnsi="Palatino Linotype" w:eastAsia="Palatino Linotype" w:cs="Times New Roman"/>
          <w:color w:val="000000" w:themeColor="text1"/>
          <w:kern w:val="0"/>
          <w14:ligatures w14:val="none"/>
        </w:rPr>
        <w:t>Provide further detail on</w:t>
      </w:r>
      <w:r w:rsidRPr="003F2BAA">
        <w:rPr>
          <w:rFonts w:ascii="Palatino Linotype" w:hAnsi="Palatino Linotype" w:eastAsia="Palatino Linotype" w:cs="Times New Roman"/>
          <w:color w:val="000000" w:themeColor="text1"/>
          <w:kern w:val="0"/>
          <w14:ligatures w14:val="none"/>
        </w:rPr>
        <w:t xml:space="preserve"> the </w:t>
      </w:r>
      <w:r w:rsidRPr="00E11F65">
        <w:rPr>
          <w:rFonts w:ascii="Palatino Linotype" w:hAnsi="Palatino Linotype" w:eastAsia="Palatino Linotype" w:cs="Times New Roman"/>
          <w:color w:val="000000" w:themeColor="text1"/>
          <w:kern w:val="0"/>
          <w14:ligatures w14:val="none"/>
        </w:rPr>
        <w:t xml:space="preserve">“Carbon Management Integration” </w:t>
      </w:r>
      <w:r w:rsidRPr="003F2BAA">
        <w:rPr>
          <w:rFonts w:ascii="Palatino Linotype" w:hAnsi="Palatino Linotype" w:eastAsia="Palatino Linotype" w:cs="Times New Roman"/>
          <w:color w:val="000000" w:themeColor="text1"/>
          <w:kern w:val="0"/>
          <w14:ligatures w14:val="none"/>
        </w:rPr>
        <w:t xml:space="preserve">Research Topic </w:t>
      </w:r>
      <w:r>
        <w:rPr>
          <w:rFonts w:ascii="Palatino Linotype" w:hAnsi="Palatino Linotype" w:eastAsia="Palatino Linotype" w:cs="Times New Roman"/>
          <w:color w:val="000000" w:themeColor="text1"/>
          <w:kern w:val="0"/>
          <w14:ligatures w14:val="none"/>
        </w:rPr>
        <w:t>under</w:t>
      </w:r>
      <w:r w:rsidRPr="003F2BAA">
        <w:rPr>
          <w:rFonts w:ascii="Palatino Linotype" w:hAnsi="Palatino Linotype" w:eastAsia="Palatino Linotype" w:cs="Times New Roman"/>
          <w:color w:val="000000" w:themeColor="text1"/>
          <w:kern w:val="0"/>
          <w14:ligatures w14:val="none"/>
        </w:rPr>
        <w:t xml:space="preserve"> its </w:t>
      </w:r>
      <w:r w:rsidRPr="003F2BAA">
        <w:rPr>
          <w:rFonts w:ascii="Palatino Linotype" w:hAnsi="Palatino Linotype" w:eastAsia="Palatino Linotype" w:cs="Times New Roman"/>
          <w:i/>
          <w:iCs/>
          <w:color w:val="000000" w:themeColor="text1"/>
          <w:kern w:val="0"/>
          <w14:ligatures w14:val="none"/>
        </w:rPr>
        <w:t>Energy Reliability &amp; Resilience</w:t>
      </w:r>
      <w:r w:rsidRPr="003F2BAA">
        <w:rPr>
          <w:rFonts w:ascii="Palatino Linotype" w:hAnsi="Palatino Linotype" w:eastAsia="Palatino Linotype" w:cs="Times New Roman"/>
          <w:color w:val="000000" w:themeColor="text1"/>
          <w:kern w:val="0"/>
          <w14:ligatures w14:val="none"/>
        </w:rPr>
        <w:t xml:space="preserve"> Initiative as </w:t>
      </w:r>
      <w:r>
        <w:rPr>
          <w:rFonts w:ascii="Palatino Linotype" w:hAnsi="Palatino Linotype" w:eastAsia="Palatino Linotype" w:cs="Times New Roman"/>
          <w:color w:val="000000" w:themeColor="text1"/>
          <w:kern w:val="0"/>
          <w14:ligatures w14:val="none"/>
        </w:rPr>
        <w:t>described herein.</w:t>
      </w:r>
    </w:p>
    <w:p w:rsidRPr="00E11F65" w:rsidR="00DA727E" w:rsidP="00477204" w:rsidRDefault="00DA727E" w14:paraId="1FF5FF35" w14:textId="19C0674B">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lastRenderedPageBreak/>
        <w:t xml:space="preserve">Reallocate proposed funds for the “Optimized H2S Removal Strategies for Low-Cost Operations and Materials Preservation” project under the </w:t>
      </w:r>
      <w:r w:rsidRPr="00E11F65">
        <w:rPr>
          <w:rFonts w:ascii="Palatino Linotype" w:hAnsi="Palatino Linotype" w:eastAsia="Palatino Linotype" w:cs="Times New Roman"/>
          <w:i/>
          <w:iCs/>
          <w:color w:val="000000" w:themeColor="text1"/>
          <w:kern w:val="0"/>
          <w14:ligatures w14:val="none"/>
        </w:rPr>
        <w:t>RNG Infrastructure Optimization</w:t>
      </w:r>
      <w:r w:rsidRPr="00E11F65">
        <w:rPr>
          <w:rFonts w:ascii="Palatino Linotype" w:hAnsi="Palatino Linotype" w:eastAsia="Palatino Linotype" w:cs="Times New Roman"/>
          <w:color w:val="000000" w:themeColor="text1"/>
          <w:kern w:val="0"/>
          <w14:ligatures w14:val="none"/>
        </w:rPr>
        <w:t xml:space="preserve"> Initiative for eligible purposes as it does not demonstrate alignment with CPUC proceedings and ratepayer benefit.</w:t>
      </w:r>
    </w:p>
    <w:p w:rsidRPr="00E11F65" w:rsidR="00830439" w:rsidP="00477204" w:rsidRDefault="00830439" w14:paraId="1D8690A7" w14:textId="77777777">
      <w:pPr>
        <w:pStyle w:val="ListParagraph"/>
        <w:numPr>
          <w:ilvl w:val="1"/>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Embed in the descriptions of each proposed Initiative for transparency:  </w:t>
      </w:r>
    </w:p>
    <w:p w:rsidRPr="00E11F65" w:rsidR="00830439" w:rsidP="00477204" w:rsidRDefault="00830439" w14:paraId="4E6811C9" w14:textId="77777777">
      <w:pPr>
        <w:pStyle w:val="ListParagraph"/>
        <w:numPr>
          <w:ilvl w:val="2"/>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Incorporation strategies associated with all:  </w:t>
      </w:r>
    </w:p>
    <w:p w:rsidRPr="00E11F65" w:rsidR="00830439" w:rsidP="00477204" w:rsidRDefault="00830439" w14:paraId="097F31ED"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Stakeholder feedback, and  </w:t>
      </w:r>
    </w:p>
    <w:p w:rsidRPr="00E11F65" w:rsidR="00830439" w:rsidP="00477204" w:rsidRDefault="00830439" w14:paraId="6FAB05C5" w14:textId="3E37DFCA">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 xml:space="preserve">Energy Division </w:t>
      </w:r>
      <w:r w:rsidRPr="00EC47BA" w:rsidR="00EC47BA">
        <w:rPr>
          <w:rFonts w:ascii="Palatino Linotype" w:hAnsi="Palatino Linotype" w:eastAsia="Palatino Linotype" w:cs="Times New Roman"/>
          <w:color w:val="000000" w:themeColor="text1"/>
          <w:kern w:val="0"/>
          <w14:ligatures w14:val="none"/>
        </w:rPr>
        <w:t>staff consultation feedback reflecting alignment with CPUC proceedings and ratepayer benefit</w:t>
      </w:r>
      <w:r w:rsidRPr="00E11F65">
        <w:rPr>
          <w:rFonts w:ascii="Palatino Linotype" w:hAnsi="Palatino Linotype" w:eastAsia="Palatino Linotype" w:cs="Times New Roman"/>
          <w:color w:val="000000" w:themeColor="text1"/>
          <w:kern w:val="0"/>
          <w14:ligatures w14:val="none"/>
        </w:rPr>
        <w:t>, including:  </w:t>
      </w:r>
    </w:p>
    <w:p w:rsidRPr="00E11F65" w:rsidR="00830439" w:rsidP="00477204" w:rsidRDefault="00830439" w14:paraId="0F094B02" w14:textId="77777777">
      <w:pPr>
        <w:pStyle w:val="ListParagraph"/>
        <w:numPr>
          <w:ilvl w:val="4"/>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Environment &amp; Safety</w:t>
      </w:r>
      <w:r w:rsidRPr="00E11F65">
        <w:rPr>
          <w:rFonts w:ascii="Palatino Linotype" w:hAnsi="Palatino Linotype" w:eastAsia="Palatino Linotype" w:cs="Times New Roman"/>
          <w:color w:val="000000" w:themeColor="text1"/>
          <w:kern w:val="0"/>
          <w14:ligatures w14:val="none"/>
        </w:rPr>
        <w:t>: SoCalGas must demonstrate that it will account for the full costs associated with AI/ML applications when assessing impacts, including increased energy consumption, cloud services, data storage, and processing requirements, and that human decision-making authority will be retained. </w:t>
      </w:r>
    </w:p>
    <w:p w:rsidRPr="00E11F65" w:rsidR="00830439" w:rsidP="00477204" w:rsidRDefault="00830439" w14:paraId="728F49B1" w14:textId="77777777">
      <w:pPr>
        <w:pStyle w:val="ListParagraph"/>
        <w:numPr>
          <w:ilvl w:val="4"/>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Building &amp; Facility Systems</w:t>
      </w:r>
      <w:r w:rsidRPr="00E11F65">
        <w:rPr>
          <w:rFonts w:ascii="Palatino Linotype" w:hAnsi="Palatino Linotype" w:eastAsia="Palatino Linotype" w:cs="Times New Roman"/>
          <w:color w:val="000000" w:themeColor="text1"/>
          <w:kern w:val="0"/>
          <w14:ligatures w14:val="none"/>
        </w:rPr>
        <w:t>: SoCalGas must demonstrate that this Initiative supports reducing the size of the gas system. </w:t>
      </w:r>
    </w:p>
    <w:p w:rsidRPr="00E11F65" w:rsidR="00830439" w:rsidP="00477204" w:rsidRDefault="00830439" w14:paraId="7E0AED74" w14:textId="77777777">
      <w:pPr>
        <w:pStyle w:val="ListParagraph"/>
        <w:numPr>
          <w:ilvl w:val="2"/>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Detail differentiating similar RD&amp;D led by other Gas RD&amp;D administrators and conducted in other programs, particularly:  </w:t>
      </w:r>
    </w:p>
    <w:p w:rsidRPr="00E11F65" w:rsidR="00830439" w:rsidP="00477204" w:rsidRDefault="00830439" w14:paraId="0444798C"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Environmental &amp; Safety</w:t>
      </w:r>
      <w:r w:rsidRPr="00E11F65">
        <w:rPr>
          <w:rFonts w:ascii="Palatino Linotype" w:hAnsi="Palatino Linotype" w:eastAsia="Palatino Linotype" w:cs="Times New Roman"/>
          <w:color w:val="000000" w:themeColor="text1"/>
          <w:kern w:val="0"/>
          <w14:ligatures w14:val="none"/>
        </w:rPr>
        <w:t xml:space="preserve"> from PG&amp;E RD&amp;D involving AI/ML and LiDAR, including specific examples of how system conditions differ to justify parallel validation. </w:t>
      </w:r>
    </w:p>
    <w:p w:rsidRPr="00E11F65" w:rsidR="00830439" w:rsidP="00477204" w:rsidRDefault="00830439" w14:paraId="51F7B3D2"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Community Impact &amp; Energy Conservation</w:t>
      </w:r>
      <w:r w:rsidRPr="00E11F65">
        <w:rPr>
          <w:rFonts w:ascii="Palatino Linotype" w:hAnsi="Palatino Linotype" w:eastAsia="Palatino Linotype" w:cs="Times New Roman"/>
          <w:color w:val="000000" w:themeColor="text1"/>
          <w:kern w:val="0"/>
          <w14:ligatures w14:val="none"/>
        </w:rPr>
        <w:t xml:space="preserve"> from PG&amp;E RD&amp;D involving AI/ML and LiDAR in addition to PG&amp;E and CEC RD&amp;D involving methane monitoring. </w:t>
      </w:r>
    </w:p>
    <w:p w:rsidRPr="00E11F65" w:rsidR="00830439" w:rsidP="00477204" w:rsidRDefault="00830439" w14:paraId="26BA4F77"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Low-Carbon Fuel Technologies</w:t>
      </w:r>
      <w:r w:rsidRPr="00E11F65">
        <w:rPr>
          <w:rFonts w:ascii="Palatino Linotype" w:hAnsi="Palatino Linotype" w:eastAsia="Palatino Linotype" w:cs="Times New Roman"/>
          <w:color w:val="000000" w:themeColor="text1"/>
          <w:kern w:val="0"/>
          <w14:ligatures w14:val="none"/>
        </w:rPr>
        <w:t xml:space="preserve"> from PG&amp;E’s </w:t>
      </w:r>
      <w:r w:rsidRPr="00E11F65">
        <w:rPr>
          <w:rFonts w:ascii="Palatino Linotype" w:hAnsi="Palatino Linotype" w:eastAsia="Palatino Linotype" w:cs="Times New Roman"/>
          <w:i/>
          <w:iCs/>
          <w:color w:val="000000" w:themeColor="text1"/>
          <w:kern w:val="0"/>
          <w14:ligatures w14:val="none"/>
        </w:rPr>
        <w:t>Clean Fuels Integration</w:t>
      </w:r>
      <w:r w:rsidRPr="00E11F65">
        <w:rPr>
          <w:rFonts w:ascii="Palatino Linotype" w:hAnsi="Palatino Linotype" w:eastAsia="Palatino Linotype" w:cs="Times New Roman"/>
          <w:color w:val="000000" w:themeColor="text1"/>
          <w:kern w:val="0"/>
          <w14:ligatures w14:val="none"/>
        </w:rPr>
        <w:t xml:space="preserve"> Initiative in its 2026 Plan.</w:t>
      </w:r>
    </w:p>
    <w:p w:rsidRPr="00E11F65" w:rsidR="00830439" w:rsidP="00477204" w:rsidRDefault="00830439" w14:paraId="54874958"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Energy Reliability &amp; Resilience</w:t>
      </w:r>
      <w:r w:rsidRPr="00E11F65">
        <w:rPr>
          <w:rFonts w:ascii="Palatino Linotype" w:hAnsi="Palatino Linotype" w:eastAsia="Palatino Linotype" w:cs="Times New Roman"/>
          <w:color w:val="000000" w:themeColor="text1"/>
          <w:kern w:val="0"/>
          <w14:ligatures w14:val="none"/>
        </w:rPr>
        <w:t xml:space="preserve"> from the CEC’s EPIC and Gas RD&amp;D Initiatives and projects related to cost-effective industrial decarbonization in addition to the CEC’s </w:t>
      </w:r>
      <w:r w:rsidRPr="00E11F65">
        <w:rPr>
          <w:rFonts w:ascii="Palatino Linotype" w:hAnsi="Palatino Linotype" w:eastAsia="Palatino Linotype" w:cs="Times New Roman"/>
          <w:i/>
          <w:iCs/>
          <w:color w:val="000000" w:themeColor="text1"/>
          <w:kern w:val="0"/>
          <w14:ligatures w14:val="none"/>
        </w:rPr>
        <w:t>Fuel-</w:t>
      </w:r>
      <w:r w:rsidRPr="00E11F65">
        <w:rPr>
          <w:rFonts w:ascii="Palatino Linotype" w:hAnsi="Palatino Linotype" w:eastAsia="Palatino Linotype" w:cs="Times New Roman"/>
          <w:i/>
          <w:iCs/>
          <w:color w:val="000000" w:themeColor="text1"/>
          <w:kern w:val="0"/>
          <w14:ligatures w14:val="none"/>
        </w:rPr>
        <w:lastRenderedPageBreak/>
        <w:t xml:space="preserve">Flexible Distributed Power Generation </w:t>
      </w:r>
      <w:r w:rsidRPr="00E11F65">
        <w:rPr>
          <w:rFonts w:ascii="Palatino Linotype" w:hAnsi="Palatino Linotype" w:eastAsia="Palatino Linotype" w:cs="Times New Roman"/>
          <w:color w:val="000000" w:themeColor="text1"/>
          <w:kern w:val="0"/>
          <w14:ligatures w14:val="none"/>
        </w:rPr>
        <w:t>Initiative in its proposed FY 2024-2025 Plan.</w:t>
      </w:r>
    </w:p>
    <w:p w:rsidRPr="00E11F65" w:rsidR="00830439" w:rsidP="00477204" w:rsidRDefault="00830439" w14:paraId="651588E3" w14:textId="77777777">
      <w:pPr>
        <w:pStyle w:val="ListParagraph"/>
        <w:numPr>
          <w:ilvl w:val="3"/>
          <w:numId w:val="12"/>
        </w:numPr>
        <w:spacing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i/>
          <w:iCs/>
          <w:color w:val="000000" w:themeColor="text1"/>
          <w:kern w:val="0"/>
          <w14:ligatures w14:val="none"/>
        </w:rPr>
        <w:t>Building &amp; Facility Systems</w:t>
      </w:r>
      <w:r w:rsidRPr="00E11F65">
        <w:rPr>
          <w:rFonts w:ascii="Palatino Linotype" w:hAnsi="Palatino Linotype" w:eastAsia="Palatino Linotype" w:cs="Times New Roman"/>
          <w:color w:val="000000" w:themeColor="text1"/>
          <w:kern w:val="0"/>
          <w14:ligatures w14:val="none"/>
        </w:rPr>
        <w:t xml:space="preserve"> from building decarbonization and energy efficiency efforts and RD&amp;D activities involving thermal energy storage across Gas RD&amp;D, EPIC, and other programs. </w:t>
      </w:r>
    </w:p>
    <w:p w:rsidRPr="00E11F65" w:rsidR="00830439" w:rsidP="00477204" w:rsidRDefault="00830439" w14:paraId="3CB42CEE" w14:textId="0975BCA1">
      <w:pPr>
        <w:pStyle w:val="ListParagraph"/>
        <w:numPr>
          <w:ilvl w:val="1"/>
          <w:numId w:val="12"/>
        </w:numPr>
        <w:spacing w:after="0" w:line="276" w:lineRule="auto"/>
        <w:rPr>
          <w:rFonts w:ascii="Palatino Linotype" w:hAnsi="Palatino Linotype" w:eastAsia="Palatino Linotype" w:cs="Times New Roman"/>
          <w:color w:val="000000" w:themeColor="text1"/>
          <w:kern w:val="0"/>
          <w14:ligatures w14:val="none"/>
        </w:rPr>
      </w:pPr>
      <w:r w:rsidRPr="00E11F65">
        <w:rPr>
          <w:rFonts w:ascii="Palatino Linotype" w:hAnsi="Palatino Linotype" w:eastAsia="Palatino Linotype" w:cs="Times New Roman"/>
          <w:color w:val="000000" w:themeColor="text1"/>
          <w:kern w:val="0"/>
          <w14:ligatures w14:val="none"/>
        </w:rPr>
        <w:t>Provide further detail on how SoCalGas explored compensation strategies for its ESJ advisory panel.</w:t>
      </w:r>
    </w:p>
    <w:p w:rsidRPr="00E11F65" w:rsidR="00C95AD8" w:rsidP="00477204" w:rsidRDefault="00C95AD8" w14:paraId="66E065E1" w14:textId="6982EF62">
      <w:pPr>
        <w:pStyle w:val="10spHanging05"/>
        <w:numPr>
          <w:ilvl w:val="0"/>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 xml:space="preserve">In its revised 2026 and 2027 Gas RD&amp;D Plans, SoCalGas shall make the following revisions to provide greater clarity to align with requirements: </w:t>
      </w:r>
    </w:p>
    <w:p w:rsidRPr="00E11F65" w:rsidR="006A78CF" w:rsidP="00477204" w:rsidRDefault="006A78CF" w14:paraId="4FFEA0F9" w14:textId="545D4D39">
      <w:pPr>
        <w:pStyle w:val="10spHanging05"/>
        <w:numPr>
          <w:ilvl w:val="1"/>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Indicate the program area across the product development cycle</w:t>
      </w:r>
      <w:r w:rsidR="00ED2941">
        <w:rPr>
          <w:rFonts w:ascii="Palatino Linotype" w:hAnsi="Palatino Linotype"/>
          <w:color w:val="000000" w:themeColor="text1"/>
        </w:rPr>
        <w:t>,</w:t>
      </w:r>
      <w:r w:rsidRPr="00E11F65">
        <w:rPr>
          <w:rFonts w:ascii="Palatino Linotype" w:hAnsi="Palatino Linotype"/>
          <w:color w:val="000000" w:themeColor="text1"/>
        </w:rPr>
        <w:t xml:space="preserve"> detailed in Appendix D of this Resolution</w:t>
      </w:r>
      <w:r w:rsidR="00ED2941">
        <w:rPr>
          <w:rFonts w:ascii="Palatino Linotype" w:hAnsi="Palatino Linotype"/>
          <w:color w:val="000000" w:themeColor="text1"/>
        </w:rPr>
        <w:t>,</w:t>
      </w:r>
      <w:r w:rsidRPr="00E11F65">
        <w:rPr>
          <w:rFonts w:ascii="Palatino Linotype" w:hAnsi="Palatino Linotype"/>
          <w:color w:val="000000" w:themeColor="text1"/>
        </w:rPr>
        <w:t xml:space="preserve"> associated with each listed Research Topics for further clarity on anticipated outputs from Initiatives. </w:t>
      </w:r>
    </w:p>
    <w:p w:rsidRPr="00E11F65" w:rsidR="006A78CF" w:rsidP="00477204" w:rsidRDefault="006A78CF" w14:paraId="1B3144EB" w14:textId="0B5D8400">
      <w:pPr>
        <w:pStyle w:val="10spHanging05"/>
        <w:numPr>
          <w:ilvl w:val="1"/>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 xml:space="preserve">Identify which of the proposed future project areas are anticipated to be funded through consortia.   </w:t>
      </w:r>
    </w:p>
    <w:p w:rsidRPr="00E11F65" w:rsidR="00DA727E" w:rsidP="00477204" w:rsidRDefault="006A78CF" w14:paraId="16885816" w14:textId="511636B3">
      <w:pPr>
        <w:pStyle w:val="10spHanging05"/>
        <w:numPr>
          <w:ilvl w:val="1"/>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 xml:space="preserve">Prioritize zero-emission systems as opposed to low-emission systems under its </w:t>
      </w:r>
      <w:r w:rsidRPr="00E11F65">
        <w:rPr>
          <w:rFonts w:ascii="Palatino Linotype" w:hAnsi="Palatino Linotype"/>
          <w:i/>
          <w:iCs/>
          <w:color w:val="000000" w:themeColor="text1"/>
        </w:rPr>
        <w:t>Low-Carbon Fuel Technologies</w:t>
      </w:r>
      <w:r w:rsidRPr="00E11F65">
        <w:rPr>
          <w:rFonts w:ascii="Palatino Linotype" w:hAnsi="Palatino Linotype"/>
          <w:color w:val="000000" w:themeColor="text1"/>
        </w:rPr>
        <w:t xml:space="preserve"> Initiative and eliminating as opposed to reducing flaring from some biogas production facilities under its </w:t>
      </w:r>
      <w:r w:rsidRPr="00E11F65">
        <w:rPr>
          <w:rFonts w:ascii="Palatino Linotype" w:hAnsi="Palatino Linotype"/>
          <w:i/>
          <w:iCs/>
          <w:color w:val="000000" w:themeColor="text1"/>
        </w:rPr>
        <w:t xml:space="preserve">RNG Infrastructure Optimization </w:t>
      </w:r>
      <w:r w:rsidRPr="00E11F65">
        <w:rPr>
          <w:rFonts w:ascii="Palatino Linotype" w:hAnsi="Palatino Linotype"/>
          <w:color w:val="000000" w:themeColor="text1"/>
        </w:rPr>
        <w:t>Initiative wherever possible.</w:t>
      </w:r>
      <w:r w:rsidR="004C5471">
        <w:rPr>
          <w:rFonts w:ascii="Palatino Linotype" w:hAnsi="Palatino Linotype"/>
          <w:color w:val="000000" w:themeColor="text1"/>
        </w:rPr>
        <w:t xml:space="preserve"> </w:t>
      </w:r>
      <w:r w:rsidRPr="00E11F65" w:rsidR="004C5471">
        <w:rPr>
          <w:rFonts w:ascii="Palatino Linotype" w:hAnsi="Palatino Linotype" w:eastAsia="Palatino Linotype" w:cs="Palatino Linotype"/>
          <w:color w:val="000000" w:themeColor="text1"/>
        </w:rPr>
        <w:t>Otherwise, explain why zero-emission research is not possible.</w:t>
      </w:r>
    </w:p>
    <w:p w:rsidRPr="00E11F65" w:rsidR="001A3BE4" w:rsidP="00477204" w:rsidRDefault="001A3BE4" w14:paraId="1113E188" w14:textId="1BEF38EE">
      <w:pPr>
        <w:pStyle w:val="10spHanging05"/>
        <w:numPr>
          <w:ilvl w:val="0"/>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To demonstrate continued compliance with and fulfillment of requirements, SoCalGas shall provide further detail upon project implementation in project final reports and its Annual Reports to demonstrate how results are measured and utilized in alignment with State goals, clearly articulate impact analyses resulting from the described methods, and describe lessons learned.</w:t>
      </w:r>
    </w:p>
    <w:p w:rsidRPr="00E11F65" w:rsidR="000D3C9A" w:rsidP="00477204" w:rsidRDefault="000D3C9A" w14:paraId="2843AA56" w14:textId="6FA600A5">
      <w:pPr>
        <w:pStyle w:val="10spHanging05"/>
        <w:numPr>
          <w:ilvl w:val="0"/>
          <w:numId w:val="12"/>
        </w:numPr>
        <w:spacing w:after="0" w:line="276" w:lineRule="auto"/>
        <w:rPr>
          <w:rFonts w:ascii="Palatino Linotype" w:hAnsi="Palatino Linotype"/>
          <w:color w:val="000000" w:themeColor="text1"/>
        </w:rPr>
      </w:pPr>
      <w:r w:rsidRPr="00E11F65">
        <w:rPr>
          <w:rFonts w:ascii="Palatino Linotype" w:hAnsi="Palatino Linotype"/>
          <w:color w:val="000000" w:themeColor="text1"/>
        </w:rPr>
        <w:t>As discussed in this Resolution, SoCalGas shall seek out and consider input from ESJ communities in its strategic planning as well as in assessing and demonstrating benefits to these communities from biomethane and RNG-related RD&amp;D activities. SoCalGas should summarize the concerns of communities and describe how these concerns are addressed in Annual Plans and correlated Annual Reports.</w:t>
      </w:r>
    </w:p>
    <w:p w:rsidRPr="007E7B29" w:rsidR="006542C2" w:rsidP="00477204" w:rsidRDefault="001868FB" w14:paraId="05E73873" w14:textId="6E5BF230">
      <w:pPr>
        <w:pStyle w:val="10spHanging05"/>
        <w:numPr>
          <w:ilvl w:val="0"/>
          <w:numId w:val="12"/>
        </w:numPr>
        <w:spacing w:after="0" w:line="276" w:lineRule="auto"/>
        <w:rPr>
          <w:rFonts w:ascii="Palatino Linotype" w:hAnsi="Palatino Linotype"/>
          <w:color w:val="000000" w:themeColor="text1"/>
        </w:rPr>
      </w:pPr>
      <w:r w:rsidRPr="007E7B29">
        <w:rPr>
          <w:rFonts w:ascii="Palatino Linotype" w:hAnsi="Palatino Linotype"/>
          <w:color w:val="000000" w:themeColor="text1"/>
        </w:rPr>
        <w:t xml:space="preserve">The Commission denies </w:t>
      </w:r>
      <w:r w:rsidRPr="007E7B29" w:rsidR="00BD1688">
        <w:rPr>
          <w:rFonts w:ascii="Palatino Linotype" w:hAnsi="Palatino Linotype"/>
          <w:color w:val="000000" w:themeColor="text1"/>
          <w:szCs w:val="24"/>
        </w:rPr>
        <w:t>SoCalGas’</w:t>
      </w:r>
      <w:r w:rsidRPr="007E7B29">
        <w:rPr>
          <w:rFonts w:ascii="Palatino Linotype" w:hAnsi="Palatino Linotype"/>
          <w:color w:val="000000" w:themeColor="text1"/>
        </w:rPr>
        <w:t xml:space="preserve"> proposed budget allocations in its 202</w:t>
      </w:r>
      <w:r w:rsidRPr="007E7B29" w:rsidR="00645155">
        <w:rPr>
          <w:rFonts w:ascii="Palatino Linotype" w:hAnsi="Palatino Linotype"/>
          <w:color w:val="000000" w:themeColor="text1"/>
        </w:rPr>
        <w:t>4</w:t>
      </w:r>
      <w:r w:rsidRPr="007E7B29">
        <w:rPr>
          <w:rFonts w:ascii="Palatino Linotype" w:hAnsi="Palatino Linotype"/>
          <w:color w:val="000000" w:themeColor="text1"/>
        </w:rPr>
        <w:t xml:space="preserve"> Plan of $</w:t>
      </w:r>
      <w:r w:rsidRPr="007E7B29" w:rsidR="00BD1688">
        <w:rPr>
          <w:rFonts w:ascii="Palatino Linotype" w:hAnsi="Palatino Linotype" w:eastAsia="Palatino Linotype"/>
          <w:bCs/>
          <w:color w:val="000000" w:themeColor="text1"/>
          <w:szCs w:val="24"/>
        </w:rPr>
        <w:t>675,000</w:t>
      </w:r>
      <w:r w:rsidRPr="007E7B29">
        <w:rPr>
          <w:rFonts w:ascii="Palatino Linotype" w:hAnsi="Palatino Linotype"/>
          <w:color w:val="000000" w:themeColor="text1"/>
        </w:rPr>
        <w:t xml:space="preserve"> for its proportional share of a Gas RD&amp;D Program Evaluation and </w:t>
      </w:r>
      <w:r w:rsidRPr="007E7B29" w:rsidR="00645155">
        <w:rPr>
          <w:rFonts w:ascii="Palatino Linotype" w:hAnsi="Palatino Linotype"/>
          <w:color w:val="000000" w:themeColor="text1"/>
        </w:rPr>
        <w:t>$</w:t>
      </w:r>
      <w:r w:rsidRPr="007E7B29" w:rsidR="00645155">
        <w:rPr>
          <w:rFonts w:ascii="Palatino Linotype" w:hAnsi="Palatino Linotype" w:eastAsia="Palatino Linotype"/>
          <w:bCs/>
          <w:color w:val="000000" w:themeColor="text1"/>
          <w:szCs w:val="24"/>
        </w:rPr>
        <w:t xml:space="preserve">129,938 </w:t>
      </w:r>
      <w:r w:rsidRPr="007E7B29">
        <w:rPr>
          <w:rFonts w:ascii="Palatino Linotype" w:hAnsi="Palatino Linotype"/>
          <w:color w:val="000000" w:themeColor="text1"/>
        </w:rPr>
        <w:t xml:space="preserve">for its proportional share of developing a comprehensive Gas RD&amp;D </w:t>
      </w:r>
      <w:r w:rsidRPr="007E7B29">
        <w:rPr>
          <w:rFonts w:ascii="Palatino Linotype" w:hAnsi="Palatino Linotype"/>
          <w:color w:val="000000" w:themeColor="text1"/>
        </w:rPr>
        <w:lastRenderedPageBreak/>
        <w:t xml:space="preserve">Database. </w:t>
      </w:r>
      <w:r w:rsidRPr="007E7B29" w:rsidR="006542C2">
        <w:rPr>
          <w:rFonts w:ascii="Palatino Linotype" w:hAnsi="Palatino Linotype"/>
          <w:color w:val="000000" w:themeColor="text1"/>
        </w:rPr>
        <w:t>T</w:t>
      </w:r>
      <w:r w:rsidRPr="007E7B29">
        <w:rPr>
          <w:rFonts w:ascii="Palatino Linotype" w:hAnsi="Palatino Linotype"/>
          <w:color w:val="000000" w:themeColor="text1"/>
        </w:rPr>
        <w:t>he Commission will</w:t>
      </w:r>
      <w:r w:rsidRPr="007E7B29" w:rsidR="006542C2">
        <w:rPr>
          <w:rFonts w:ascii="Palatino Linotype" w:hAnsi="Palatino Linotype"/>
          <w:color w:val="000000" w:themeColor="text1"/>
        </w:rPr>
        <w:t>, instead,</w:t>
      </w:r>
      <w:r w:rsidRPr="007E7B29">
        <w:rPr>
          <w:rFonts w:ascii="Palatino Linotype" w:hAnsi="Palatino Linotype"/>
          <w:color w:val="000000" w:themeColor="text1"/>
        </w:rPr>
        <w:t xml:space="preserve"> determine a process to establish holistic oversight across all Gas RD&amp;D administrators for efficiency and effectiveness in the allocation of funds, conducting the evaluation, and developing the database.</w:t>
      </w:r>
    </w:p>
    <w:p w:rsidRPr="007E7B29" w:rsidR="00BC2DBF" w:rsidP="00477204" w:rsidRDefault="00BC2DBF" w14:paraId="27E4B557" w14:textId="719C8BB3">
      <w:pPr>
        <w:pStyle w:val="10spHanging05"/>
        <w:numPr>
          <w:ilvl w:val="0"/>
          <w:numId w:val="12"/>
        </w:numPr>
        <w:spacing w:after="0" w:line="276" w:lineRule="auto"/>
        <w:rPr>
          <w:rFonts w:ascii="Palatino Linotype" w:hAnsi="Palatino Linotype"/>
          <w:color w:val="000000" w:themeColor="text1"/>
        </w:rPr>
      </w:pPr>
      <w:r w:rsidRPr="007E7B29">
        <w:rPr>
          <w:rFonts w:ascii="Palatino Linotype" w:hAnsi="Palatino Linotype"/>
          <w:color w:val="000000" w:themeColor="text1"/>
        </w:rPr>
        <w:t xml:space="preserve">Unspent Gas RD&amp;D funds shall be returned to ratepayers at the end of the GRC D.24-12-074 funding cycle. Funds explicitly approved via Resolution which SoCalGas has committed, contracted out, or otherwise encumbered shall not be returned at the close of the GRC cycle to allow for the completion of work in progress. If contracts are terminated after the </w:t>
      </w:r>
      <w:proofErr w:type="gramStart"/>
      <w:r w:rsidRPr="007E7B29">
        <w:rPr>
          <w:rFonts w:ascii="Palatino Linotype" w:hAnsi="Palatino Linotype"/>
          <w:color w:val="000000" w:themeColor="text1"/>
        </w:rPr>
        <w:t>close</w:t>
      </w:r>
      <w:proofErr w:type="gramEnd"/>
      <w:r w:rsidRPr="007E7B29">
        <w:rPr>
          <w:rFonts w:ascii="Palatino Linotype" w:hAnsi="Palatino Linotype"/>
          <w:color w:val="000000" w:themeColor="text1"/>
        </w:rPr>
        <w:t xml:space="preserve"> of the GRC cycle, uncommitted or disencumbered funds shall be returned to ratepayers. PG&amp;E may spend its</w:t>
      </w:r>
      <w:r w:rsidRPr="007E7B29" w:rsidR="00006195">
        <w:rPr>
          <w:rFonts w:ascii="Palatino Linotype" w:hAnsi="Palatino Linotype"/>
          <w:color w:val="000000" w:themeColor="text1"/>
        </w:rPr>
        <w:t xml:space="preserve"> approved Plan funding in the following calendar years according to these terms.</w:t>
      </w:r>
      <w:r w:rsidRPr="007E7B29" w:rsidR="00A4086D">
        <w:rPr>
          <w:rStyle w:val="FootnoteReference"/>
          <w:rFonts w:ascii="Palatino Linotype" w:hAnsi="Palatino Linotype"/>
          <w:color w:val="000000" w:themeColor="text1"/>
        </w:rPr>
        <w:footnoteReference w:id="160"/>
      </w:r>
    </w:p>
    <w:p w:rsidRPr="001942D0" w:rsidR="00A76F4A" w:rsidP="00F97978" w:rsidRDefault="00A76F4A" w14:paraId="2F730BE1" w14:textId="77777777">
      <w:pPr>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1942D0" w:rsidR="00A76F4A" w:rsidP="00F97978" w:rsidRDefault="00A76F4A" w14:paraId="6B9B735A" w14:textId="77777777">
      <w:pPr>
        <w:keepNext/>
        <w:tabs>
          <w:tab w:val="left" w:pos="720"/>
          <w:tab w:val="left" w:pos="1296"/>
          <w:tab w:val="left" w:pos="2016"/>
          <w:tab w:val="left" w:pos="2736"/>
          <w:tab w:val="left" w:pos="3456"/>
          <w:tab w:val="left" w:pos="4176"/>
          <w:tab w:val="left" w:pos="5760"/>
        </w:tabs>
        <w:spacing w:before="240" w:after="0" w:line="276"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00F97978" w:rsidRDefault="00A76F4A" w14:paraId="45A541E0"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76F4A" w:rsidP="00F97978" w:rsidRDefault="00A76F4A" w14:paraId="6FDD03B7"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76F4A" w:rsidP="00F97978" w:rsidRDefault="00A76F4A" w14:paraId="0CE47F6A"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CD2149" w:rsidR="00A76F4A" w:rsidP="00F97978" w:rsidRDefault="00A76F4A" w14:paraId="34F8C9C5" w14:textId="5CD04D46">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808080" w:themeColor="background1" w:themeShade="80"/>
          <w:kern w:val="0"/>
          <w14:ligatures w14:val="none"/>
        </w:rPr>
      </w:pP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Pr>
          <w:rFonts w:ascii="Palatino Linotype" w:hAnsi="Palatino Linotype" w:eastAsia="Palatino Linotype" w:cs="Times New Roman"/>
          <w:kern w:val="0"/>
          <w14:ligatures w14:val="none"/>
        </w:rPr>
        <w:tab/>
      </w:r>
      <w:r w:rsidRPr="00CD2149" w:rsidR="00CD2149">
        <w:rPr>
          <w:rFonts w:ascii="Palatino Linotype" w:hAnsi="Palatino Linotype" w:eastAsia="Palatino Linotype" w:cs="Times New Roman"/>
          <w:color w:val="808080" w:themeColor="background1" w:themeShade="80"/>
          <w:kern w:val="0"/>
          <w14:ligatures w14:val="none"/>
        </w:rPr>
        <w:t>[</w:t>
      </w:r>
      <w:r w:rsidRPr="00CD2149">
        <w:rPr>
          <w:rFonts w:ascii="Palatino Linotype" w:hAnsi="Palatino Linotype" w:eastAsia="Palatino Linotype" w:cs="Times New Roman"/>
          <w:color w:val="808080" w:themeColor="background1" w:themeShade="80"/>
          <w:kern w:val="0"/>
          <w14:ligatures w14:val="none"/>
        </w:rPr>
        <w:t xml:space="preserve">Commissioner Signature blocks to be added </w:t>
      </w:r>
    </w:p>
    <w:p w:rsidRPr="00CD2149" w:rsidR="00A76F4A" w:rsidP="00F97978" w:rsidRDefault="00A76F4A" w14:paraId="47615040" w14:textId="0942464E">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color w:val="808080" w:themeColor="background1" w:themeShade="80"/>
          <w:kern w:val="0"/>
          <w14:ligatures w14:val="none"/>
        </w:rPr>
      </w:pPr>
      <w:r w:rsidRPr="00CD2149">
        <w:rPr>
          <w:rFonts w:ascii="Palatino Linotype" w:hAnsi="Palatino Linotype" w:eastAsia="Palatino Linotype" w:cs="Times New Roman"/>
          <w:color w:val="808080" w:themeColor="background1" w:themeShade="80"/>
          <w:kern w:val="0"/>
          <w14:ligatures w14:val="none"/>
        </w:rPr>
        <w:tab/>
      </w:r>
      <w:r w:rsidRPr="00CD2149">
        <w:rPr>
          <w:rFonts w:ascii="Palatino Linotype" w:hAnsi="Palatino Linotype" w:eastAsia="Palatino Linotype" w:cs="Times New Roman"/>
          <w:color w:val="808080" w:themeColor="background1" w:themeShade="80"/>
          <w:kern w:val="0"/>
          <w14:ligatures w14:val="none"/>
        </w:rPr>
        <w:tab/>
      </w:r>
      <w:r w:rsidRPr="00CD2149">
        <w:rPr>
          <w:rFonts w:ascii="Palatino Linotype" w:hAnsi="Palatino Linotype" w:eastAsia="Palatino Linotype" w:cs="Times New Roman"/>
          <w:color w:val="808080" w:themeColor="background1" w:themeShade="80"/>
          <w:kern w:val="0"/>
          <w14:ligatures w14:val="none"/>
        </w:rPr>
        <w:tab/>
      </w:r>
      <w:r w:rsidRPr="00CD2149">
        <w:rPr>
          <w:rFonts w:ascii="Palatino Linotype" w:hAnsi="Palatino Linotype" w:eastAsia="Palatino Linotype" w:cs="Times New Roman"/>
          <w:color w:val="808080" w:themeColor="background1" w:themeShade="80"/>
          <w:kern w:val="0"/>
          <w14:ligatures w14:val="none"/>
        </w:rPr>
        <w:tab/>
      </w:r>
      <w:r w:rsidRPr="00CD2149">
        <w:rPr>
          <w:rFonts w:ascii="Palatino Linotype" w:hAnsi="Palatino Linotype" w:eastAsia="Palatino Linotype" w:cs="Times New Roman"/>
          <w:color w:val="808080" w:themeColor="background1" w:themeShade="80"/>
          <w:kern w:val="0"/>
          <w14:ligatures w14:val="none"/>
        </w:rPr>
        <w:tab/>
      </w:r>
      <w:r w:rsidRPr="00CD2149">
        <w:rPr>
          <w:rFonts w:ascii="Palatino Linotype" w:hAnsi="Palatino Linotype" w:eastAsia="Palatino Linotype" w:cs="Times New Roman"/>
          <w:color w:val="808080" w:themeColor="background1" w:themeShade="80"/>
          <w:kern w:val="0"/>
          <w14:ligatures w14:val="none"/>
        </w:rPr>
        <w:tab/>
        <w:t>upon adoption of the resolution</w:t>
      </w:r>
      <w:r w:rsidRPr="00CD2149" w:rsidR="00CD2149">
        <w:rPr>
          <w:rFonts w:ascii="Palatino Linotype" w:hAnsi="Palatino Linotype" w:eastAsia="Palatino Linotype" w:cs="Times New Roman"/>
          <w:color w:val="808080" w:themeColor="background1" w:themeShade="80"/>
          <w:kern w:val="0"/>
          <w14:ligatures w14:val="none"/>
        </w:rPr>
        <w:t>.]</w:t>
      </w:r>
      <w:r w:rsidRPr="00CD2149">
        <w:rPr>
          <w:rFonts w:ascii="Palatino Linotype" w:hAnsi="Palatino Linotype" w:eastAsia="Palatino Linotype" w:cs="Times New Roman"/>
          <w:color w:val="808080" w:themeColor="background1" w:themeShade="80"/>
          <w:kern w:val="0"/>
          <w14:ligatures w14:val="none"/>
        </w:rPr>
        <w:t xml:space="preserve"> </w:t>
      </w:r>
    </w:p>
    <w:p w:rsidR="00A76F4A" w:rsidP="00F97978" w:rsidRDefault="00A76F4A" w14:paraId="7B507E3D"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76F4A" w:rsidP="00F97978" w:rsidRDefault="00A76F4A" w14:paraId="5A07E5F1"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A76F4A" w:rsidP="00F97978" w:rsidRDefault="00A76F4A" w14:paraId="7C0D2B15"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51493D" w:rsidR="00A76F4A" w:rsidP="00F97978" w:rsidRDefault="00A76F4A" w14:paraId="203AD159" w14:textId="11031095">
      <w:pPr>
        <w:pStyle w:val="10sp0"/>
        <w:spacing w:after="480" w:line="276" w:lineRule="auto"/>
        <w:rPr>
          <w:rFonts w:ascii="Palatino Linotype" w:hAnsi="Palatino Linotype"/>
        </w:rPr>
      </w:pPr>
      <w:r>
        <w:rPr>
          <w:rFonts w:ascii="Palatino Linotype" w:hAnsi="Palatino Linotype"/>
        </w:rPr>
        <w:t>T</w:t>
      </w:r>
      <w:r w:rsidRPr="0051493D">
        <w:rPr>
          <w:rFonts w:ascii="Palatino Linotype" w:hAnsi="Palatino Linotype"/>
        </w:rPr>
        <w:t xml:space="preserve">he foregoing resolution was duly introduced, passed and adopted at a conference of the Public Utilities Commission of the State of California held on </w:t>
      </w:r>
      <w:r w:rsidRPr="007E0F6F">
        <w:rPr>
          <w:rFonts w:ascii="Palatino Linotype" w:hAnsi="Palatino Linotype"/>
        </w:rPr>
        <w:t>[</w:t>
      </w:r>
      <w:r w:rsidRPr="007E0F6F">
        <w:rPr>
          <w:rFonts w:ascii="Palatino Linotype" w:hAnsi="Palatino Linotype"/>
          <w:color w:val="808080" w:themeColor="background1" w:themeShade="80"/>
        </w:rPr>
        <w:t>DATE</w:t>
      </w:r>
      <w:r w:rsidRPr="007E0F6F">
        <w:rPr>
          <w:rFonts w:ascii="Palatino Linotype" w:hAnsi="Palatino Linotype"/>
        </w:rPr>
        <w:t>];</w:t>
      </w:r>
      <w:r w:rsidRPr="0051493D">
        <w:rPr>
          <w:rFonts w:ascii="Palatino Linotype" w:hAnsi="Palatino Linotype"/>
        </w:rPr>
        <w:t xml:space="preserve"> the following Commissioners voting favorably thereon:</w:t>
      </w:r>
    </w:p>
    <w:p w:rsidRPr="001942D0" w:rsidR="00A76F4A" w:rsidP="00F97978" w:rsidRDefault="00A76F4A" w14:paraId="0B7DFB9B"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Pr="001942D0" w:rsidR="00A76F4A" w:rsidP="00F97978" w:rsidRDefault="00A76F4A" w14:paraId="7B2A2C97" w14:textId="77777777">
      <w:pPr>
        <w:keepNext/>
        <w:tabs>
          <w:tab w:val="left" w:pos="720"/>
          <w:tab w:val="left" w:pos="1296"/>
          <w:tab w:val="left" w:pos="2016"/>
          <w:tab w:val="left" w:pos="2736"/>
          <w:tab w:val="left" w:pos="3456"/>
          <w:tab w:val="left" w:pos="4176"/>
          <w:tab w:val="left" w:pos="5760"/>
        </w:tabs>
        <w:spacing w:after="0" w:line="276" w:lineRule="auto"/>
        <w:rPr>
          <w:rFonts w:ascii="Palatino Linotype" w:hAnsi="Palatino Linotype" w:eastAsia="Palatino Linotype" w:cs="Times New Roman"/>
          <w:kern w:val="0"/>
          <w14:ligatures w14:val="none"/>
        </w:rPr>
      </w:pPr>
    </w:p>
    <w:p w:rsidR="0067302F" w:rsidP="00F97978" w:rsidRDefault="00A76F4A" w14:paraId="08584358" w14:textId="77777777">
      <w:pPr>
        <w:keepNext/>
        <w:spacing w:after="0" w:line="276" w:lineRule="auto"/>
        <w:rPr>
          <w:rFonts w:ascii="Palatino Linotype" w:hAnsi="Palatino Linotype" w:eastAsia="Palatino Linotype" w:cs="Times New Roman"/>
        </w:rPr>
      </w:pPr>
      <w:r w:rsidRPr="00921E87">
        <w:rPr>
          <w:rFonts w:ascii="Palatino Linotype" w:hAnsi="Palatino Linotype" w:eastAsia="Palatino Linotype" w:cs="Times New Roman"/>
        </w:rPr>
        <w:t xml:space="preserve">Dated </w:t>
      </w:r>
      <w:r>
        <w:rPr>
          <w:rFonts w:ascii="Palatino Linotype" w:hAnsi="Palatino Linotype" w:eastAsia="Palatino Linotype" w:cs="Times New Roman"/>
          <w:u w:val="single"/>
        </w:rPr>
        <w:t xml:space="preserve">                                                                 </w:t>
      </w:r>
      <w:proofErr w:type="gramStart"/>
      <w:r>
        <w:rPr>
          <w:rFonts w:ascii="Palatino Linotype" w:hAnsi="Palatino Linotype" w:eastAsia="Palatino Linotype" w:cs="Times New Roman"/>
          <w:u w:val="single"/>
        </w:rPr>
        <w:t xml:space="preserve">  </w:t>
      </w:r>
      <w:r w:rsidRPr="00921E87">
        <w:rPr>
          <w:rFonts w:ascii="Palatino Linotype" w:hAnsi="Palatino Linotype" w:eastAsia="Palatino Linotype" w:cs="Times New Roman"/>
        </w:rPr>
        <w:t>,</w:t>
      </w:r>
      <w:proofErr w:type="gramEnd"/>
      <w:r w:rsidRPr="00921E87">
        <w:rPr>
          <w:rFonts w:ascii="Palatino Linotype" w:hAnsi="Palatino Linotype" w:eastAsia="Palatino Linotype" w:cs="Times New Roman"/>
        </w:rPr>
        <w:t xml:space="preserve"> at </w:t>
      </w:r>
      <w:r w:rsidR="007F2768">
        <w:rPr>
          <w:rFonts w:ascii="Palatino Linotype" w:hAnsi="Palatino Linotype" w:eastAsia="Palatino Linotype" w:cs="Times New Roman"/>
        </w:rPr>
        <w:t>[</w:t>
      </w:r>
      <w:r w:rsidRPr="007F2768">
        <w:rPr>
          <w:rFonts w:ascii="Palatino Linotype" w:hAnsi="Palatino Linotype" w:eastAsia="Palatino Linotype" w:cs="Times New Roman"/>
          <w:color w:val="808080" w:themeColor="background1" w:themeShade="80"/>
        </w:rPr>
        <w:t>Voting meeting location</w:t>
      </w:r>
      <w:r w:rsidR="007F2768">
        <w:rPr>
          <w:rFonts w:ascii="Palatino Linotype" w:hAnsi="Palatino Linotype" w:eastAsia="Palatino Linotype" w:cs="Times New Roman"/>
        </w:rPr>
        <w:t>]</w:t>
      </w:r>
      <w:r w:rsidRPr="00921E87">
        <w:rPr>
          <w:rFonts w:ascii="Palatino Linotype" w:hAnsi="Palatino Linotype" w:eastAsia="Palatino Linotype" w:cs="Times New Roman"/>
        </w:rPr>
        <w:t>, California</w:t>
      </w:r>
      <w:r>
        <w:rPr>
          <w:rFonts w:ascii="Palatino Linotype" w:hAnsi="Palatino Linotype" w:eastAsia="Palatino Linotype" w:cs="Times New Roman"/>
        </w:rPr>
        <w:tab/>
      </w:r>
    </w:p>
    <w:p w:rsidR="00C51599" w:rsidP="00F97978" w:rsidRDefault="00C51599" w14:paraId="236F597D" w14:textId="77777777">
      <w:pPr>
        <w:keepNext/>
        <w:spacing w:after="0" w:line="276" w:lineRule="auto"/>
        <w:rPr>
          <w:rFonts w:ascii="Palatino Linotype" w:hAnsi="Palatino Linotype" w:eastAsia="Palatino Linotype" w:cs="Times New Roman"/>
        </w:rPr>
      </w:pPr>
    </w:p>
    <w:p w:rsidR="008D66AE" w:rsidP="00F97978" w:rsidRDefault="008D66AE" w14:paraId="263A0EDA" w14:textId="77777777">
      <w:pPr>
        <w:keepNext/>
        <w:spacing w:after="0" w:line="276" w:lineRule="auto"/>
        <w:rPr>
          <w:rFonts w:ascii="Palatino Linotype" w:hAnsi="Palatino Linotype" w:eastAsia="Palatino Linotype" w:cs="Times New Roman"/>
        </w:rPr>
        <w:sectPr w:rsidR="008D66AE"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rsidR="008D66AE" w:rsidP="00B628BB" w:rsidRDefault="008D66AE" w14:paraId="719A4F09" w14:textId="77777777">
      <w:pPr>
        <w:rPr>
          <w:rFonts w:ascii="Palatino Linotype" w:hAnsi="Palatino Linotype"/>
          <w:b/>
          <w:bCs/>
          <w:color w:val="000000" w:themeColor="text1"/>
        </w:rPr>
      </w:pPr>
    </w:p>
    <w:p w:rsidR="008D66AE" w:rsidP="00B628BB" w:rsidRDefault="008D66AE" w14:paraId="1E852109" w14:textId="77777777">
      <w:pPr>
        <w:rPr>
          <w:rFonts w:ascii="Palatino Linotype" w:hAnsi="Palatino Linotype"/>
          <w:b/>
          <w:bCs/>
          <w:color w:val="000000" w:themeColor="text1"/>
        </w:rPr>
      </w:pPr>
    </w:p>
    <w:p w:rsidR="008D66AE" w:rsidP="00B628BB" w:rsidRDefault="008D66AE" w14:paraId="672E70AE" w14:textId="77777777">
      <w:pPr>
        <w:rPr>
          <w:rFonts w:ascii="Palatino Linotype" w:hAnsi="Palatino Linotype"/>
          <w:b/>
          <w:bCs/>
          <w:color w:val="000000" w:themeColor="text1"/>
        </w:rPr>
      </w:pPr>
    </w:p>
    <w:p w:rsidR="008D66AE" w:rsidP="00B628BB" w:rsidRDefault="008D66AE" w14:paraId="20F60ECE" w14:textId="77777777">
      <w:pPr>
        <w:rPr>
          <w:rFonts w:ascii="Palatino Linotype" w:hAnsi="Palatino Linotype"/>
          <w:b/>
          <w:bCs/>
          <w:color w:val="000000" w:themeColor="text1"/>
        </w:rPr>
      </w:pPr>
    </w:p>
    <w:p w:rsidRPr="008D66AE" w:rsidR="008D66AE" w:rsidP="00A04BB1" w:rsidRDefault="008D66AE" w14:paraId="6D1FD6BB" w14:textId="4E931C91">
      <w:pPr>
        <w:ind w:right="2160"/>
        <w:jc w:val="center"/>
        <w:rPr>
          <w:rFonts w:ascii="Palatino Linotype" w:hAnsi="Palatino Linotype"/>
          <w:b/>
          <w:bCs/>
          <w:color w:val="000000" w:themeColor="text1"/>
          <w:sz w:val="44"/>
          <w:szCs w:val="44"/>
        </w:rPr>
      </w:pPr>
      <w:r w:rsidRPr="008D66AE">
        <w:rPr>
          <w:rFonts w:ascii="Palatino Linotype" w:hAnsi="Palatino Linotype"/>
          <w:b/>
          <w:bCs/>
          <w:color w:val="000000" w:themeColor="text1"/>
          <w:sz w:val="44"/>
          <w:szCs w:val="44"/>
        </w:rPr>
        <w:t>APPENDIX A</w:t>
      </w:r>
    </w:p>
    <w:p w:rsidR="008D66AE" w:rsidP="00B628BB" w:rsidRDefault="008D66AE" w14:paraId="68C9053C" w14:textId="77777777">
      <w:pPr>
        <w:rPr>
          <w:rFonts w:ascii="Palatino Linotype" w:hAnsi="Palatino Linotype"/>
          <w:b/>
          <w:bCs/>
          <w:color w:val="000000" w:themeColor="text1"/>
        </w:rPr>
      </w:pPr>
    </w:p>
    <w:p w:rsidR="008D66AE" w:rsidP="00B628BB" w:rsidRDefault="008D66AE" w14:paraId="1E35D0D5" w14:textId="77777777">
      <w:pPr>
        <w:rPr>
          <w:rFonts w:ascii="Palatino Linotype" w:hAnsi="Palatino Linotype"/>
          <w:b/>
          <w:bCs/>
          <w:color w:val="000000" w:themeColor="text1"/>
        </w:rPr>
      </w:pPr>
    </w:p>
    <w:p w:rsidR="008D66AE" w:rsidP="00B628BB" w:rsidRDefault="008D66AE" w14:paraId="72A3B14E" w14:textId="77777777">
      <w:pPr>
        <w:rPr>
          <w:rFonts w:ascii="Palatino Linotype" w:hAnsi="Palatino Linotype"/>
          <w:b/>
          <w:bCs/>
          <w:color w:val="000000" w:themeColor="text1"/>
        </w:rPr>
        <w:sectPr w:rsidR="008D66AE" w:rsidSect="00A86FDB">
          <w:headerReference w:type="first" r:id="rId15"/>
          <w:footerReference w:type="first" r:id="rId16"/>
          <w:pgSz w:w="15840" w:h="12240" w:orient="landscape"/>
          <w:pgMar w:top="1440" w:right="1440" w:bottom="1440" w:left="1440" w:header="540" w:footer="720" w:gutter="0"/>
          <w:pgNumType w:start="1"/>
          <w:cols w:space="720"/>
          <w:titlePg/>
          <w:docGrid w:linePitch="360"/>
        </w:sectPr>
      </w:pPr>
    </w:p>
    <w:p w:rsidRPr="00C736B0" w:rsidR="00B628BB" w:rsidP="00B628BB" w:rsidRDefault="00B628BB" w14:paraId="44DD14BF" w14:textId="11993228">
      <w:pPr>
        <w:rPr>
          <w:rFonts w:ascii="Palatino Linotype" w:hAnsi="Palatino Linotype"/>
          <w:b/>
          <w:bCs/>
          <w:color w:val="000000" w:themeColor="text1"/>
        </w:rPr>
      </w:pPr>
      <w:r w:rsidRPr="00C736B0">
        <w:rPr>
          <w:rFonts w:ascii="Palatino Linotype" w:hAnsi="Palatino Linotype"/>
          <w:b/>
          <w:bCs/>
          <w:color w:val="000000" w:themeColor="text1"/>
        </w:rPr>
        <w:lastRenderedPageBreak/>
        <w:t xml:space="preserve">APPENDIX A: </w:t>
      </w:r>
      <w:r>
        <w:rPr>
          <w:rFonts w:ascii="Palatino Linotype" w:hAnsi="Palatino Linotype"/>
          <w:b/>
          <w:bCs/>
          <w:color w:val="000000" w:themeColor="text1"/>
        </w:rPr>
        <w:t>SoCalGas’</w:t>
      </w:r>
      <w:r w:rsidRPr="00C736B0">
        <w:rPr>
          <w:rFonts w:ascii="Palatino Linotype" w:hAnsi="Palatino Linotype"/>
          <w:b/>
          <w:bCs/>
          <w:color w:val="000000" w:themeColor="text1"/>
        </w:rPr>
        <w:t xml:space="preserve"> 2024</w:t>
      </w:r>
      <w:r>
        <w:rPr>
          <w:rFonts w:ascii="Palatino Linotype" w:hAnsi="Palatino Linotype"/>
          <w:b/>
          <w:bCs/>
          <w:color w:val="000000" w:themeColor="text1"/>
        </w:rPr>
        <w:t>-2027</w:t>
      </w:r>
      <w:r w:rsidRPr="00C736B0">
        <w:rPr>
          <w:rFonts w:ascii="Palatino Linotype" w:hAnsi="Palatino Linotype"/>
          <w:b/>
          <w:bCs/>
          <w:color w:val="000000" w:themeColor="text1"/>
        </w:rPr>
        <w:t xml:space="preserve"> Plan</w:t>
      </w:r>
      <w:r>
        <w:rPr>
          <w:rFonts w:ascii="Palatino Linotype" w:hAnsi="Palatino Linotype"/>
          <w:b/>
          <w:bCs/>
          <w:color w:val="000000" w:themeColor="text1"/>
        </w:rPr>
        <w:t>s</w:t>
      </w:r>
      <w:r w:rsidRPr="00C736B0">
        <w:rPr>
          <w:rFonts w:ascii="Palatino Linotype" w:hAnsi="Palatino Linotype"/>
          <w:b/>
          <w:bCs/>
          <w:color w:val="000000" w:themeColor="text1"/>
        </w:rPr>
        <w:t xml:space="preserve"> Proposed Budget</w:t>
      </w:r>
      <w:r>
        <w:rPr>
          <w:rFonts w:ascii="Palatino Linotype" w:hAnsi="Palatino Linotype"/>
          <w:b/>
          <w:bCs/>
          <w:color w:val="000000" w:themeColor="text1"/>
        </w:rPr>
        <w:t>s</w:t>
      </w:r>
    </w:p>
    <w:tbl>
      <w:tblPr>
        <w:tblStyle w:val="TableGrid"/>
        <w:tblW w:w="0" w:type="auto"/>
        <w:tblLook w:val="04A0" w:firstRow="1" w:lastRow="0" w:firstColumn="1" w:lastColumn="0" w:noHBand="0" w:noVBand="1"/>
      </w:tblPr>
      <w:tblGrid>
        <w:gridCol w:w="2515"/>
        <w:gridCol w:w="4634"/>
        <w:gridCol w:w="316"/>
        <w:gridCol w:w="1138"/>
        <w:gridCol w:w="337"/>
        <w:gridCol w:w="1120"/>
        <w:gridCol w:w="316"/>
        <w:gridCol w:w="1120"/>
        <w:gridCol w:w="316"/>
        <w:gridCol w:w="1138"/>
      </w:tblGrid>
      <w:tr w:rsidRPr="0027506D" w:rsidR="00B628BB" w14:paraId="573B82D1" w14:textId="77777777">
        <w:tc>
          <w:tcPr>
            <w:tcW w:w="12950" w:type="dxa"/>
            <w:gridSpan w:val="10"/>
            <w:vAlign w:val="center"/>
          </w:tcPr>
          <w:p w:rsidRPr="0027506D" w:rsidR="00B628BB" w:rsidRDefault="00B628BB" w14:paraId="7071C265" w14:textId="77777777">
            <w:pPr>
              <w:keepNext/>
              <w:spacing w:line="276" w:lineRule="auto"/>
              <w:jc w:val="center"/>
              <w:outlineLvl w:val="0"/>
              <w:rPr>
                <w:rFonts w:ascii="Palatino Linotype" w:hAnsi="Palatino Linotype"/>
                <w:b/>
                <w:color w:val="000000" w:themeColor="text1"/>
                <w:sz w:val="20"/>
                <w:szCs w:val="20"/>
              </w:rPr>
            </w:pPr>
            <w:r w:rsidRPr="0027506D">
              <w:rPr>
                <w:rFonts w:ascii="Palatino Linotype" w:hAnsi="Palatino Linotype" w:eastAsia="Palatino Linotype" w:cs="Times New Roman"/>
                <w:b/>
                <w:color w:val="000000" w:themeColor="text1"/>
              </w:rPr>
              <w:t>SoCalGas Gas RD&amp;D Investment Plans Proposed Budgets</w:t>
            </w:r>
          </w:p>
        </w:tc>
      </w:tr>
      <w:tr w:rsidRPr="0027506D" w:rsidR="00B628BB" w14:paraId="7BD0B64E" w14:textId="77777777">
        <w:tc>
          <w:tcPr>
            <w:tcW w:w="2515" w:type="dxa"/>
            <w:vAlign w:val="center"/>
          </w:tcPr>
          <w:p w:rsidRPr="0027506D" w:rsidR="00B628BB" w:rsidRDefault="00B628BB" w14:paraId="21167BF2"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b/>
                <w:color w:val="000000" w:themeColor="text1"/>
                <w:sz w:val="20"/>
                <w:szCs w:val="20"/>
              </w:rPr>
              <w:t>Investment Theme</w:t>
            </w:r>
          </w:p>
        </w:tc>
        <w:tc>
          <w:tcPr>
            <w:tcW w:w="4634" w:type="dxa"/>
            <w:vAlign w:val="center"/>
          </w:tcPr>
          <w:p w:rsidRPr="0027506D" w:rsidR="00B628BB" w:rsidRDefault="00B628BB" w14:paraId="769DBB9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b/>
                <w:color w:val="000000" w:themeColor="text1"/>
                <w:sz w:val="20"/>
                <w:szCs w:val="20"/>
              </w:rPr>
              <w:t>Initiative Title</w:t>
            </w:r>
          </w:p>
        </w:tc>
        <w:tc>
          <w:tcPr>
            <w:tcW w:w="1454" w:type="dxa"/>
            <w:gridSpan w:val="2"/>
            <w:tcBorders>
              <w:bottom w:val="single" w:color="auto" w:sz="4" w:space="0"/>
            </w:tcBorders>
            <w:vAlign w:val="center"/>
          </w:tcPr>
          <w:p w:rsidRPr="0027506D" w:rsidR="00B628BB" w:rsidRDefault="00B628BB" w14:paraId="1C329767" w14:textId="77777777">
            <w:pPr>
              <w:keepNext/>
              <w:spacing w:line="276" w:lineRule="auto"/>
              <w:jc w:val="center"/>
              <w:outlineLvl w:val="0"/>
              <w:rPr>
                <w:rFonts w:ascii="Palatino Linotype" w:hAnsi="Palatino Linotype"/>
                <w:b/>
                <w:color w:val="000000" w:themeColor="text1"/>
                <w:sz w:val="20"/>
                <w:szCs w:val="20"/>
              </w:rPr>
            </w:pPr>
            <w:r w:rsidRPr="0027506D">
              <w:rPr>
                <w:rFonts w:ascii="Palatino Linotype" w:hAnsi="Palatino Linotype"/>
                <w:b/>
                <w:color w:val="000000" w:themeColor="text1"/>
                <w:sz w:val="20"/>
                <w:szCs w:val="20"/>
              </w:rPr>
              <w:t>2024 Plan Budget</w:t>
            </w:r>
            <w:r w:rsidRPr="0027506D">
              <w:rPr>
                <w:rStyle w:val="FootnoteReference"/>
                <w:rFonts w:ascii="Palatino Linotype" w:hAnsi="Palatino Linotype" w:eastAsia="Palatino Linotype" w:cs="Times New Roman"/>
                <w:b/>
                <w:color w:val="000000" w:themeColor="text1"/>
                <w:sz w:val="20"/>
                <w:szCs w:val="20"/>
              </w:rPr>
              <w:footnoteReference w:id="161"/>
            </w:r>
          </w:p>
        </w:tc>
        <w:tc>
          <w:tcPr>
            <w:tcW w:w="1457" w:type="dxa"/>
            <w:gridSpan w:val="2"/>
            <w:tcBorders>
              <w:bottom w:val="single" w:color="auto" w:sz="4" w:space="0"/>
            </w:tcBorders>
            <w:vAlign w:val="center"/>
          </w:tcPr>
          <w:p w:rsidRPr="0027506D" w:rsidR="00B628BB" w:rsidRDefault="00B628BB" w14:paraId="5BE71485" w14:textId="77777777">
            <w:pPr>
              <w:keepNext/>
              <w:spacing w:line="276" w:lineRule="auto"/>
              <w:jc w:val="center"/>
              <w:outlineLvl w:val="0"/>
              <w:rPr>
                <w:rFonts w:ascii="Palatino Linotype" w:hAnsi="Palatino Linotype"/>
                <w:b/>
                <w:color w:val="000000" w:themeColor="text1"/>
                <w:sz w:val="20"/>
                <w:szCs w:val="20"/>
              </w:rPr>
            </w:pPr>
            <w:r w:rsidRPr="0027506D">
              <w:rPr>
                <w:rFonts w:ascii="Palatino Linotype" w:hAnsi="Palatino Linotype"/>
                <w:b/>
                <w:color w:val="000000" w:themeColor="text1"/>
                <w:sz w:val="20"/>
                <w:szCs w:val="20"/>
              </w:rPr>
              <w:t>2025 Plan Budget</w:t>
            </w:r>
            <w:r w:rsidRPr="0027506D">
              <w:rPr>
                <w:rStyle w:val="FootnoteReference"/>
                <w:rFonts w:ascii="Palatino Linotype" w:hAnsi="Palatino Linotype" w:eastAsia="Palatino Linotype" w:cs="Times New Roman"/>
                <w:b/>
                <w:color w:val="000000" w:themeColor="text1"/>
                <w:sz w:val="20"/>
                <w:szCs w:val="20"/>
              </w:rPr>
              <w:footnoteReference w:id="162"/>
            </w:r>
          </w:p>
        </w:tc>
        <w:tc>
          <w:tcPr>
            <w:tcW w:w="1436" w:type="dxa"/>
            <w:gridSpan w:val="2"/>
            <w:tcBorders>
              <w:bottom w:val="single" w:color="auto" w:sz="4" w:space="0"/>
            </w:tcBorders>
            <w:vAlign w:val="center"/>
          </w:tcPr>
          <w:p w:rsidRPr="0027506D" w:rsidR="00B628BB" w:rsidRDefault="00B628BB" w14:paraId="4B0B24CE" w14:textId="77777777">
            <w:pPr>
              <w:keepNext/>
              <w:spacing w:line="276" w:lineRule="auto"/>
              <w:jc w:val="center"/>
              <w:outlineLvl w:val="0"/>
              <w:rPr>
                <w:rFonts w:ascii="Palatino Linotype" w:hAnsi="Palatino Linotype"/>
                <w:b/>
                <w:color w:val="000000" w:themeColor="text1"/>
                <w:sz w:val="20"/>
                <w:szCs w:val="20"/>
              </w:rPr>
            </w:pPr>
            <w:r w:rsidRPr="0027506D">
              <w:rPr>
                <w:rFonts w:ascii="Palatino Linotype" w:hAnsi="Palatino Linotype"/>
                <w:b/>
                <w:color w:val="000000" w:themeColor="text1"/>
                <w:sz w:val="20"/>
                <w:szCs w:val="20"/>
              </w:rPr>
              <w:t>2026 Plan Budget</w:t>
            </w:r>
            <w:r w:rsidRPr="0027506D">
              <w:rPr>
                <w:rStyle w:val="FootnoteReference"/>
                <w:rFonts w:ascii="Palatino Linotype" w:hAnsi="Palatino Linotype"/>
                <w:b/>
                <w:color w:val="000000" w:themeColor="text1"/>
                <w:sz w:val="20"/>
                <w:szCs w:val="20"/>
              </w:rPr>
              <w:footnoteReference w:id="163"/>
            </w:r>
          </w:p>
        </w:tc>
        <w:tc>
          <w:tcPr>
            <w:tcW w:w="1454" w:type="dxa"/>
            <w:gridSpan w:val="2"/>
            <w:tcBorders>
              <w:bottom w:val="single" w:color="auto" w:sz="4" w:space="0"/>
            </w:tcBorders>
            <w:vAlign w:val="center"/>
          </w:tcPr>
          <w:p w:rsidRPr="0027506D" w:rsidR="00B628BB" w:rsidRDefault="00B628BB" w14:paraId="058FE1A9" w14:textId="77777777">
            <w:pPr>
              <w:keepNext/>
              <w:spacing w:line="276" w:lineRule="auto"/>
              <w:jc w:val="center"/>
              <w:outlineLvl w:val="0"/>
              <w:rPr>
                <w:rFonts w:ascii="Palatino Linotype" w:hAnsi="Palatino Linotype"/>
                <w:b/>
                <w:color w:val="000000" w:themeColor="text1"/>
                <w:sz w:val="20"/>
                <w:szCs w:val="20"/>
              </w:rPr>
            </w:pPr>
            <w:r w:rsidRPr="0027506D">
              <w:rPr>
                <w:rFonts w:ascii="Palatino Linotype" w:hAnsi="Palatino Linotype"/>
                <w:b/>
                <w:color w:val="000000" w:themeColor="text1"/>
                <w:sz w:val="20"/>
                <w:szCs w:val="20"/>
              </w:rPr>
              <w:t>2027 Plan Budget</w:t>
            </w:r>
            <w:r w:rsidRPr="0027506D">
              <w:rPr>
                <w:rStyle w:val="FootnoteReference"/>
                <w:rFonts w:ascii="Palatino Linotype" w:hAnsi="Palatino Linotype"/>
                <w:b/>
                <w:color w:val="000000" w:themeColor="text1"/>
                <w:sz w:val="20"/>
                <w:szCs w:val="20"/>
              </w:rPr>
              <w:footnoteReference w:id="164"/>
            </w:r>
          </w:p>
        </w:tc>
      </w:tr>
      <w:tr w:rsidRPr="0027506D" w:rsidR="00B628BB" w14:paraId="5D34CDA1" w14:textId="77777777">
        <w:tc>
          <w:tcPr>
            <w:tcW w:w="2515" w:type="dxa"/>
            <w:vMerge w:val="restart"/>
          </w:tcPr>
          <w:p w:rsidRPr="0027506D" w:rsidR="00B628BB" w:rsidRDefault="00B628BB" w14:paraId="10EECB18"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 xml:space="preserve">Gas System Integrity </w:t>
            </w:r>
          </w:p>
        </w:tc>
        <w:tc>
          <w:tcPr>
            <w:tcW w:w="4634" w:type="dxa"/>
            <w:tcBorders>
              <w:right w:val="single" w:color="auto" w:sz="4" w:space="0"/>
            </w:tcBorders>
          </w:tcPr>
          <w:p w:rsidRPr="0027506D" w:rsidR="00B628BB" w:rsidRDefault="00B628BB" w14:paraId="33F21BD4"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Environmental &amp; Safety</w:t>
            </w:r>
          </w:p>
        </w:tc>
        <w:tc>
          <w:tcPr>
            <w:tcW w:w="316" w:type="dxa"/>
            <w:tcBorders>
              <w:top w:val="single" w:color="auto" w:sz="4" w:space="0"/>
              <w:left w:val="single" w:color="auto" w:sz="4" w:space="0"/>
              <w:bottom w:val="single" w:color="auto" w:sz="4" w:space="0"/>
              <w:right w:val="nil"/>
            </w:tcBorders>
          </w:tcPr>
          <w:p w:rsidRPr="0027506D" w:rsidR="00B628BB" w:rsidRDefault="00B628BB" w14:paraId="6A227220"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468114DC"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1,305,784</w:t>
            </w:r>
          </w:p>
        </w:tc>
        <w:tc>
          <w:tcPr>
            <w:tcW w:w="337" w:type="dxa"/>
            <w:tcBorders>
              <w:top w:val="single" w:color="auto" w:sz="4" w:space="0"/>
              <w:left w:val="single" w:color="auto" w:sz="4" w:space="0"/>
              <w:bottom w:val="single" w:color="auto" w:sz="4" w:space="0"/>
              <w:right w:val="nil"/>
            </w:tcBorders>
          </w:tcPr>
          <w:p w:rsidRPr="0027506D" w:rsidR="00B628BB" w:rsidRDefault="00B628BB" w14:paraId="610A109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A2B546F"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1,655,010</w:t>
            </w:r>
          </w:p>
        </w:tc>
        <w:tc>
          <w:tcPr>
            <w:tcW w:w="316" w:type="dxa"/>
            <w:tcBorders>
              <w:top w:val="single" w:color="auto" w:sz="4" w:space="0"/>
              <w:left w:val="single" w:color="auto" w:sz="4" w:space="0"/>
              <w:bottom w:val="single" w:color="auto" w:sz="4" w:space="0"/>
              <w:right w:val="nil"/>
            </w:tcBorders>
          </w:tcPr>
          <w:p w:rsidRPr="0027506D" w:rsidR="00B628BB" w:rsidRDefault="00B628BB" w14:paraId="4B530F86"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4C87626B"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2,556,900</w:t>
            </w:r>
          </w:p>
        </w:tc>
        <w:tc>
          <w:tcPr>
            <w:tcW w:w="316" w:type="dxa"/>
            <w:tcBorders>
              <w:top w:val="single" w:color="auto" w:sz="4" w:space="0"/>
              <w:left w:val="single" w:color="auto" w:sz="4" w:space="0"/>
              <w:bottom w:val="single" w:color="auto" w:sz="4" w:space="0"/>
              <w:right w:val="nil"/>
            </w:tcBorders>
          </w:tcPr>
          <w:p w:rsidRPr="0027506D" w:rsidR="00B628BB" w:rsidRDefault="00B628BB" w14:paraId="00D77B71"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65A745FC"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2,633,600</w:t>
            </w:r>
          </w:p>
        </w:tc>
      </w:tr>
      <w:tr w:rsidRPr="0027506D" w:rsidR="00B628BB" w14:paraId="3F0E1AF6" w14:textId="77777777">
        <w:tc>
          <w:tcPr>
            <w:tcW w:w="2515" w:type="dxa"/>
            <w:vMerge/>
          </w:tcPr>
          <w:p w:rsidRPr="0027506D" w:rsidR="00B628BB" w:rsidRDefault="00B628BB" w14:paraId="4DC1932C"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1637D83A"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Operations Technology</w:t>
            </w:r>
          </w:p>
        </w:tc>
        <w:tc>
          <w:tcPr>
            <w:tcW w:w="316" w:type="dxa"/>
            <w:tcBorders>
              <w:top w:val="single" w:color="auto" w:sz="4" w:space="0"/>
              <w:left w:val="single" w:color="auto" w:sz="4" w:space="0"/>
              <w:bottom w:val="single" w:color="auto" w:sz="4" w:space="0"/>
              <w:right w:val="nil"/>
            </w:tcBorders>
          </w:tcPr>
          <w:p w:rsidRPr="0027506D" w:rsidR="00B628BB" w:rsidRDefault="00B628BB" w14:paraId="776EE95B"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74FB426A"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769,852</w:t>
            </w:r>
          </w:p>
        </w:tc>
        <w:tc>
          <w:tcPr>
            <w:tcW w:w="337" w:type="dxa"/>
            <w:tcBorders>
              <w:top w:val="single" w:color="auto" w:sz="4" w:space="0"/>
              <w:left w:val="single" w:color="auto" w:sz="4" w:space="0"/>
              <w:bottom w:val="single" w:color="auto" w:sz="4" w:space="0"/>
              <w:right w:val="nil"/>
            </w:tcBorders>
          </w:tcPr>
          <w:p w:rsidRPr="0027506D" w:rsidR="00B628BB" w:rsidRDefault="00B628BB" w14:paraId="662FCE2C"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3055CF4"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827,505</w:t>
            </w:r>
          </w:p>
        </w:tc>
        <w:tc>
          <w:tcPr>
            <w:tcW w:w="316" w:type="dxa"/>
            <w:tcBorders>
              <w:top w:val="single" w:color="auto" w:sz="4" w:space="0"/>
              <w:left w:val="single" w:color="auto" w:sz="4" w:space="0"/>
              <w:bottom w:val="single" w:color="auto" w:sz="4" w:space="0"/>
              <w:right w:val="nil"/>
            </w:tcBorders>
          </w:tcPr>
          <w:p w:rsidRPr="0027506D" w:rsidR="00B628BB" w:rsidRDefault="00B628BB" w14:paraId="0FCBD6DC"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19FE5DB6"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4E5DD3E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00971505"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r>
      <w:tr w:rsidRPr="0027506D" w:rsidR="00B628BB" w14:paraId="77601D51" w14:textId="77777777">
        <w:tc>
          <w:tcPr>
            <w:tcW w:w="2515" w:type="dxa"/>
            <w:vMerge/>
          </w:tcPr>
          <w:p w:rsidRPr="0027506D" w:rsidR="00B628BB" w:rsidRDefault="00B628BB" w14:paraId="1B2D2769"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2E4DB67F"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Community Impact &amp; Energy Conservation</w:t>
            </w:r>
          </w:p>
        </w:tc>
        <w:tc>
          <w:tcPr>
            <w:tcW w:w="316" w:type="dxa"/>
            <w:tcBorders>
              <w:top w:val="single" w:color="auto" w:sz="4" w:space="0"/>
              <w:left w:val="single" w:color="auto" w:sz="4" w:space="0"/>
              <w:bottom w:val="single" w:color="auto" w:sz="4" w:space="0"/>
              <w:right w:val="nil"/>
            </w:tcBorders>
          </w:tcPr>
          <w:p w:rsidRPr="0027506D" w:rsidR="00B628BB" w:rsidRDefault="00B628BB" w14:paraId="765EE752"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31DD360B"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37" w:type="dxa"/>
            <w:tcBorders>
              <w:top w:val="single" w:color="auto" w:sz="4" w:space="0"/>
              <w:left w:val="single" w:color="auto" w:sz="4" w:space="0"/>
              <w:bottom w:val="single" w:color="auto" w:sz="4" w:space="0"/>
              <w:right w:val="nil"/>
            </w:tcBorders>
          </w:tcPr>
          <w:p w:rsidRPr="0027506D" w:rsidR="00B628BB" w:rsidRDefault="00B628BB" w14:paraId="0E6F043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40158A4"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52B2814A"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2516DB70"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1,704,600</w:t>
            </w:r>
          </w:p>
        </w:tc>
        <w:tc>
          <w:tcPr>
            <w:tcW w:w="316" w:type="dxa"/>
            <w:tcBorders>
              <w:top w:val="single" w:color="auto" w:sz="4" w:space="0"/>
              <w:left w:val="single" w:color="auto" w:sz="4" w:space="0"/>
              <w:bottom w:val="single" w:color="auto" w:sz="4" w:space="0"/>
              <w:right w:val="nil"/>
            </w:tcBorders>
          </w:tcPr>
          <w:p w:rsidRPr="0027506D" w:rsidR="00B628BB" w:rsidRDefault="00B628BB" w14:paraId="78ED0C36"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38FA5A1F"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1,755,700</w:t>
            </w:r>
          </w:p>
        </w:tc>
      </w:tr>
      <w:tr w:rsidRPr="0027506D" w:rsidR="00B628BB" w14:paraId="33D314F5" w14:textId="77777777">
        <w:tc>
          <w:tcPr>
            <w:tcW w:w="2515" w:type="dxa"/>
            <w:vMerge/>
          </w:tcPr>
          <w:p w:rsidRPr="0027506D" w:rsidR="00B628BB" w:rsidRDefault="00B628BB" w14:paraId="3D51A642"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0064194F"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System Design &amp; Materials</w:t>
            </w:r>
          </w:p>
        </w:tc>
        <w:tc>
          <w:tcPr>
            <w:tcW w:w="316" w:type="dxa"/>
            <w:tcBorders>
              <w:top w:val="single" w:color="auto" w:sz="4" w:space="0"/>
              <w:left w:val="single" w:color="auto" w:sz="4" w:space="0"/>
              <w:bottom w:val="single" w:color="auto" w:sz="4" w:space="0"/>
              <w:right w:val="nil"/>
            </w:tcBorders>
          </w:tcPr>
          <w:p w:rsidRPr="0027506D" w:rsidR="00B628BB" w:rsidRDefault="00B628BB" w14:paraId="1B2B8B52"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708C954A"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2,001,614</w:t>
            </w:r>
          </w:p>
        </w:tc>
        <w:tc>
          <w:tcPr>
            <w:tcW w:w="337" w:type="dxa"/>
            <w:tcBorders>
              <w:top w:val="single" w:color="auto" w:sz="4" w:space="0"/>
              <w:left w:val="single" w:color="auto" w:sz="4" w:space="0"/>
              <w:bottom w:val="single" w:color="auto" w:sz="4" w:space="0"/>
              <w:right w:val="nil"/>
            </w:tcBorders>
          </w:tcPr>
          <w:p w:rsidRPr="0027506D" w:rsidR="00B628BB" w:rsidRDefault="00B628BB" w14:paraId="5C483191"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8A260EA"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2,151,513</w:t>
            </w:r>
          </w:p>
        </w:tc>
        <w:tc>
          <w:tcPr>
            <w:tcW w:w="316" w:type="dxa"/>
            <w:tcBorders>
              <w:top w:val="single" w:color="auto" w:sz="4" w:space="0"/>
              <w:left w:val="single" w:color="auto" w:sz="4" w:space="0"/>
              <w:bottom w:val="single" w:color="auto" w:sz="4" w:space="0"/>
              <w:right w:val="nil"/>
            </w:tcBorders>
          </w:tcPr>
          <w:p w:rsidRPr="0027506D" w:rsidR="00B628BB" w:rsidRDefault="00B628BB" w14:paraId="686CD7A8"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329A4264"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852,300</w:t>
            </w:r>
          </w:p>
        </w:tc>
        <w:tc>
          <w:tcPr>
            <w:tcW w:w="316" w:type="dxa"/>
            <w:tcBorders>
              <w:top w:val="single" w:color="auto" w:sz="4" w:space="0"/>
              <w:left w:val="single" w:color="auto" w:sz="4" w:space="0"/>
              <w:bottom w:val="single" w:color="auto" w:sz="4" w:space="0"/>
              <w:right w:val="nil"/>
            </w:tcBorders>
          </w:tcPr>
          <w:p w:rsidRPr="0027506D" w:rsidR="00B628BB" w:rsidRDefault="00B628BB" w14:paraId="62F1C18E"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6F9B4C82"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877,900</w:t>
            </w:r>
          </w:p>
        </w:tc>
      </w:tr>
      <w:tr w:rsidRPr="0027506D" w:rsidR="00B628BB" w14:paraId="39A070F0" w14:textId="77777777">
        <w:tc>
          <w:tcPr>
            <w:tcW w:w="2515" w:type="dxa"/>
            <w:vMerge/>
          </w:tcPr>
          <w:p w:rsidRPr="0027506D" w:rsidR="00B628BB" w:rsidRDefault="00B628BB" w14:paraId="43D7CD0D"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48E2419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System Inspection &amp; Monitoring</w:t>
            </w:r>
          </w:p>
        </w:tc>
        <w:tc>
          <w:tcPr>
            <w:tcW w:w="316" w:type="dxa"/>
            <w:tcBorders>
              <w:top w:val="single" w:color="auto" w:sz="4" w:space="0"/>
              <w:left w:val="single" w:color="auto" w:sz="4" w:space="0"/>
              <w:bottom w:val="single" w:color="auto" w:sz="4" w:space="0"/>
              <w:right w:val="nil"/>
            </w:tcBorders>
          </w:tcPr>
          <w:p w:rsidRPr="0027506D" w:rsidR="00B628BB" w:rsidRDefault="00B628BB" w14:paraId="2AFB1DD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7EB48EBA"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2,259,555</w:t>
            </w:r>
          </w:p>
        </w:tc>
        <w:tc>
          <w:tcPr>
            <w:tcW w:w="337" w:type="dxa"/>
            <w:tcBorders>
              <w:top w:val="single" w:color="auto" w:sz="4" w:space="0"/>
              <w:left w:val="single" w:color="auto" w:sz="4" w:space="0"/>
              <w:bottom w:val="single" w:color="auto" w:sz="4" w:space="0"/>
              <w:right w:val="nil"/>
            </w:tcBorders>
          </w:tcPr>
          <w:p w:rsidRPr="0027506D" w:rsidR="00B628BB" w:rsidRDefault="00B628BB" w14:paraId="6FD47CAA"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45BF72C7"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2,482,515</w:t>
            </w:r>
          </w:p>
        </w:tc>
        <w:tc>
          <w:tcPr>
            <w:tcW w:w="316" w:type="dxa"/>
            <w:tcBorders>
              <w:top w:val="single" w:color="auto" w:sz="4" w:space="0"/>
              <w:left w:val="single" w:color="auto" w:sz="4" w:space="0"/>
              <w:bottom w:val="single" w:color="auto" w:sz="4" w:space="0"/>
              <w:right w:val="nil"/>
            </w:tcBorders>
          </w:tcPr>
          <w:p w:rsidRPr="0027506D" w:rsidR="00B628BB" w:rsidRDefault="00B628BB" w14:paraId="5CA32138"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793E54E1"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2,556,990</w:t>
            </w:r>
          </w:p>
        </w:tc>
        <w:tc>
          <w:tcPr>
            <w:tcW w:w="316" w:type="dxa"/>
            <w:tcBorders>
              <w:top w:val="single" w:color="auto" w:sz="4" w:space="0"/>
              <w:left w:val="single" w:color="auto" w:sz="4" w:space="0"/>
              <w:bottom w:val="single" w:color="auto" w:sz="4" w:space="0"/>
              <w:right w:val="nil"/>
            </w:tcBorders>
          </w:tcPr>
          <w:p w:rsidRPr="0027506D" w:rsidR="00B628BB" w:rsidRDefault="00B628BB" w14:paraId="674B3F63"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4CCB9859"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2,633,600</w:t>
            </w:r>
          </w:p>
        </w:tc>
      </w:tr>
      <w:tr w:rsidRPr="0027506D" w:rsidR="00B628BB" w14:paraId="6E661D28" w14:textId="77777777">
        <w:tc>
          <w:tcPr>
            <w:tcW w:w="2515" w:type="dxa"/>
            <w:vMerge/>
          </w:tcPr>
          <w:p w:rsidRPr="0027506D" w:rsidR="00B628BB" w:rsidRDefault="00B628BB" w14:paraId="5B198286"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7CB138A0"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RNG Infrastructure Optimization</w:t>
            </w:r>
          </w:p>
        </w:tc>
        <w:tc>
          <w:tcPr>
            <w:tcW w:w="316" w:type="dxa"/>
            <w:tcBorders>
              <w:top w:val="single" w:color="auto" w:sz="4" w:space="0"/>
              <w:left w:val="single" w:color="auto" w:sz="4" w:space="0"/>
              <w:bottom w:val="single" w:color="auto" w:sz="4" w:space="0"/>
              <w:right w:val="nil"/>
            </w:tcBorders>
          </w:tcPr>
          <w:p w:rsidRPr="0027506D" w:rsidR="00B628BB" w:rsidRDefault="00B628BB" w14:paraId="35D64C2F"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79357CDD"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2,090,927</w:t>
            </w:r>
          </w:p>
        </w:tc>
        <w:tc>
          <w:tcPr>
            <w:tcW w:w="337" w:type="dxa"/>
            <w:tcBorders>
              <w:top w:val="single" w:color="auto" w:sz="4" w:space="0"/>
              <w:left w:val="single" w:color="auto" w:sz="4" w:space="0"/>
              <w:bottom w:val="single" w:color="auto" w:sz="4" w:space="0"/>
              <w:right w:val="nil"/>
            </w:tcBorders>
          </w:tcPr>
          <w:p w:rsidRPr="0027506D" w:rsidR="00B628BB" w:rsidRDefault="00B628BB" w14:paraId="140429AB"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7EBF3080"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2,534,522</w:t>
            </w:r>
          </w:p>
        </w:tc>
        <w:tc>
          <w:tcPr>
            <w:tcW w:w="316" w:type="dxa"/>
            <w:tcBorders>
              <w:top w:val="single" w:color="auto" w:sz="4" w:space="0"/>
              <w:left w:val="single" w:color="auto" w:sz="4" w:space="0"/>
              <w:bottom w:val="single" w:color="auto" w:sz="4" w:space="0"/>
              <w:right w:val="nil"/>
            </w:tcBorders>
          </w:tcPr>
          <w:p w:rsidRPr="0027506D" w:rsidR="00B628BB" w:rsidRDefault="00B628BB" w14:paraId="07B4A53A"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383345F6"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2,556,900</w:t>
            </w:r>
          </w:p>
        </w:tc>
        <w:tc>
          <w:tcPr>
            <w:tcW w:w="316" w:type="dxa"/>
            <w:tcBorders>
              <w:top w:val="single" w:color="auto" w:sz="4" w:space="0"/>
              <w:left w:val="single" w:color="auto" w:sz="4" w:space="0"/>
              <w:bottom w:val="single" w:color="auto" w:sz="4" w:space="0"/>
              <w:right w:val="nil"/>
            </w:tcBorders>
          </w:tcPr>
          <w:p w:rsidRPr="0027506D" w:rsidR="00B628BB" w:rsidRDefault="00B628BB" w14:paraId="220FC86F"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52890A89"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2,633,600</w:t>
            </w:r>
          </w:p>
        </w:tc>
      </w:tr>
      <w:tr w:rsidRPr="0027506D" w:rsidR="00B628BB" w14:paraId="0D5C1363" w14:textId="77777777">
        <w:tc>
          <w:tcPr>
            <w:tcW w:w="2515" w:type="dxa"/>
            <w:vMerge/>
          </w:tcPr>
          <w:p w:rsidRPr="0027506D" w:rsidR="00B628BB" w:rsidRDefault="00B628BB" w14:paraId="5E797D3E"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75C69B25"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Gas &amp; Energy Storage</w:t>
            </w:r>
          </w:p>
        </w:tc>
        <w:tc>
          <w:tcPr>
            <w:tcW w:w="316" w:type="dxa"/>
            <w:tcBorders>
              <w:top w:val="single" w:color="auto" w:sz="4" w:space="0"/>
              <w:left w:val="single" w:color="auto" w:sz="4" w:space="0"/>
              <w:bottom w:val="single" w:color="auto" w:sz="4" w:space="0"/>
              <w:right w:val="nil"/>
            </w:tcBorders>
          </w:tcPr>
          <w:p w:rsidRPr="0027506D" w:rsidR="00B628BB" w:rsidRDefault="00B628BB" w14:paraId="5F3AE2A9"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71164FEC"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400,000</w:t>
            </w:r>
          </w:p>
        </w:tc>
        <w:tc>
          <w:tcPr>
            <w:tcW w:w="337" w:type="dxa"/>
            <w:tcBorders>
              <w:top w:val="single" w:color="auto" w:sz="4" w:space="0"/>
              <w:left w:val="single" w:color="auto" w:sz="4" w:space="0"/>
              <w:bottom w:val="single" w:color="auto" w:sz="4" w:space="0"/>
              <w:right w:val="nil"/>
            </w:tcBorders>
          </w:tcPr>
          <w:p w:rsidRPr="0027506D" w:rsidR="00B628BB" w:rsidRDefault="00B628BB" w14:paraId="00050B79"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C95C273"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78519708"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6D1C1320"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6916B154"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269DC35A"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r>
      <w:tr w:rsidRPr="0027506D" w:rsidR="00B628BB" w14:paraId="2788E76D" w14:textId="77777777">
        <w:tc>
          <w:tcPr>
            <w:tcW w:w="2515" w:type="dxa"/>
            <w:vMerge w:val="restart"/>
          </w:tcPr>
          <w:p w:rsidRPr="0027506D" w:rsidR="00B628BB" w:rsidRDefault="00B628BB" w14:paraId="20607F94"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Decarbonization</w:t>
            </w:r>
          </w:p>
        </w:tc>
        <w:tc>
          <w:tcPr>
            <w:tcW w:w="4634" w:type="dxa"/>
            <w:tcBorders>
              <w:right w:val="single" w:color="auto" w:sz="4" w:space="0"/>
            </w:tcBorders>
          </w:tcPr>
          <w:p w:rsidRPr="0027506D" w:rsidR="00B628BB" w:rsidRDefault="00B628BB" w14:paraId="310B169A"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Low-Carbon Fuels Technologies</w:t>
            </w:r>
          </w:p>
        </w:tc>
        <w:tc>
          <w:tcPr>
            <w:tcW w:w="316" w:type="dxa"/>
            <w:tcBorders>
              <w:top w:val="single" w:color="auto" w:sz="4" w:space="0"/>
              <w:left w:val="single" w:color="auto" w:sz="4" w:space="0"/>
              <w:bottom w:val="single" w:color="auto" w:sz="4" w:space="0"/>
              <w:right w:val="nil"/>
            </w:tcBorders>
          </w:tcPr>
          <w:p w:rsidRPr="0027506D" w:rsidR="00B628BB" w:rsidRDefault="00B628BB" w14:paraId="116ED083"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6341FEC4"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2,237,934</w:t>
            </w:r>
          </w:p>
        </w:tc>
        <w:tc>
          <w:tcPr>
            <w:tcW w:w="337" w:type="dxa"/>
            <w:tcBorders>
              <w:top w:val="single" w:color="auto" w:sz="4" w:space="0"/>
              <w:left w:val="single" w:color="auto" w:sz="4" w:space="0"/>
              <w:bottom w:val="single" w:color="auto" w:sz="4" w:space="0"/>
              <w:right w:val="nil"/>
            </w:tcBorders>
          </w:tcPr>
          <w:p w:rsidRPr="0027506D" w:rsidR="00B628BB" w:rsidRDefault="00B628BB" w14:paraId="75D7827C"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67B5D4B8"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2,482,515</w:t>
            </w:r>
          </w:p>
        </w:tc>
        <w:tc>
          <w:tcPr>
            <w:tcW w:w="316" w:type="dxa"/>
            <w:tcBorders>
              <w:top w:val="single" w:color="auto" w:sz="4" w:space="0"/>
              <w:left w:val="single" w:color="auto" w:sz="4" w:space="0"/>
              <w:bottom w:val="single" w:color="auto" w:sz="4" w:space="0"/>
              <w:right w:val="nil"/>
            </w:tcBorders>
          </w:tcPr>
          <w:p w:rsidRPr="0027506D" w:rsidR="00B628BB" w:rsidRDefault="00B628BB" w14:paraId="45AE727B"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06AB824"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2,556,900</w:t>
            </w:r>
          </w:p>
        </w:tc>
        <w:tc>
          <w:tcPr>
            <w:tcW w:w="316" w:type="dxa"/>
            <w:tcBorders>
              <w:top w:val="single" w:color="auto" w:sz="4" w:space="0"/>
              <w:left w:val="single" w:color="auto" w:sz="4" w:space="0"/>
              <w:bottom w:val="single" w:color="auto" w:sz="4" w:space="0"/>
              <w:right w:val="nil"/>
            </w:tcBorders>
          </w:tcPr>
          <w:p w:rsidRPr="0027506D" w:rsidR="00B628BB" w:rsidRDefault="00B628BB" w14:paraId="292726A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5E02ABE2"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2,633,600</w:t>
            </w:r>
          </w:p>
        </w:tc>
      </w:tr>
      <w:tr w:rsidRPr="0027506D" w:rsidR="00B628BB" w14:paraId="1F62705A" w14:textId="77777777">
        <w:tc>
          <w:tcPr>
            <w:tcW w:w="2515" w:type="dxa"/>
            <w:vMerge/>
          </w:tcPr>
          <w:p w:rsidRPr="0027506D" w:rsidR="00B628BB" w:rsidRDefault="00B628BB" w14:paraId="4A2310C5"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3E473D0B"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Low-Carbon Fuels Integration</w:t>
            </w:r>
          </w:p>
        </w:tc>
        <w:tc>
          <w:tcPr>
            <w:tcW w:w="316" w:type="dxa"/>
            <w:tcBorders>
              <w:top w:val="single" w:color="auto" w:sz="4" w:space="0"/>
              <w:left w:val="single" w:color="auto" w:sz="4" w:space="0"/>
              <w:bottom w:val="single" w:color="auto" w:sz="4" w:space="0"/>
              <w:right w:val="nil"/>
            </w:tcBorders>
          </w:tcPr>
          <w:p w:rsidRPr="0027506D" w:rsidR="00B628BB" w:rsidRDefault="00B628BB" w14:paraId="4DFDA2EA"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165FD5A2"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150,000</w:t>
            </w:r>
          </w:p>
        </w:tc>
        <w:tc>
          <w:tcPr>
            <w:tcW w:w="337" w:type="dxa"/>
            <w:tcBorders>
              <w:top w:val="single" w:color="auto" w:sz="4" w:space="0"/>
              <w:left w:val="single" w:color="auto" w:sz="4" w:space="0"/>
              <w:bottom w:val="single" w:color="auto" w:sz="4" w:space="0"/>
              <w:right w:val="nil"/>
            </w:tcBorders>
          </w:tcPr>
          <w:p w:rsidRPr="0027506D" w:rsidR="00B628BB" w:rsidRDefault="00B628BB" w14:paraId="75936D88"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33DDF7C3"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6576C955"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1916A563"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14D382D6"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114F043E"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r>
      <w:tr w:rsidRPr="0027506D" w:rsidR="00B628BB" w14:paraId="7FA1A7BC" w14:textId="77777777">
        <w:tc>
          <w:tcPr>
            <w:tcW w:w="2515" w:type="dxa"/>
            <w:vMerge/>
          </w:tcPr>
          <w:p w:rsidRPr="0027506D" w:rsidR="00B628BB" w:rsidRDefault="00B628BB" w14:paraId="1E7CFE85"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3C3CF548"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Energy Reliability &amp; Resilience</w:t>
            </w:r>
          </w:p>
        </w:tc>
        <w:tc>
          <w:tcPr>
            <w:tcW w:w="316" w:type="dxa"/>
            <w:tcBorders>
              <w:top w:val="single" w:color="auto" w:sz="4" w:space="0"/>
              <w:left w:val="single" w:color="auto" w:sz="4" w:space="0"/>
              <w:bottom w:val="single" w:color="auto" w:sz="4" w:space="0"/>
              <w:right w:val="nil"/>
            </w:tcBorders>
          </w:tcPr>
          <w:p w:rsidRPr="0027506D" w:rsidR="00B628BB" w:rsidRDefault="00B628BB" w14:paraId="099A9125"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09BEDE95"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2,289,414</w:t>
            </w:r>
          </w:p>
        </w:tc>
        <w:tc>
          <w:tcPr>
            <w:tcW w:w="337" w:type="dxa"/>
            <w:tcBorders>
              <w:top w:val="single" w:color="auto" w:sz="4" w:space="0"/>
              <w:left w:val="single" w:color="auto" w:sz="4" w:space="0"/>
              <w:bottom w:val="single" w:color="auto" w:sz="4" w:space="0"/>
              <w:right w:val="nil"/>
            </w:tcBorders>
          </w:tcPr>
          <w:p w:rsidRPr="0027506D" w:rsidR="00B628BB" w:rsidRDefault="00B628BB" w14:paraId="7A6DBF0F"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F47A6D9"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2,482,515</w:t>
            </w:r>
          </w:p>
        </w:tc>
        <w:tc>
          <w:tcPr>
            <w:tcW w:w="316" w:type="dxa"/>
            <w:tcBorders>
              <w:top w:val="single" w:color="auto" w:sz="4" w:space="0"/>
              <w:left w:val="single" w:color="auto" w:sz="4" w:space="0"/>
              <w:bottom w:val="single" w:color="auto" w:sz="4" w:space="0"/>
              <w:right w:val="nil"/>
            </w:tcBorders>
          </w:tcPr>
          <w:p w:rsidRPr="0027506D" w:rsidR="00B628BB" w:rsidRDefault="00B628BB" w14:paraId="5AD8AB2C"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452B96BE"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2,556,900</w:t>
            </w:r>
          </w:p>
        </w:tc>
        <w:tc>
          <w:tcPr>
            <w:tcW w:w="316" w:type="dxa"/>
            <w:tcBorders>
              <w:top w:val="single" w:color="auto" w:sz="4" w:space="0"/>
              <w:left w:val="single" w:color="auto" w:sz="4" w:space="0"/>
              <w:bottom w:val="single" w:color="auto" w:sz="4" w:space="0"/>
              <w:right w:val="nil"/>
            </w:tcBorders>
          </w:tcPr>
          <w:p w:rsidRPr="0027506D" w:rsidR="00B628BB" w:rsidRDefault="00B628BB" w14:paraId="3442D61C"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031CB6E9"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2,633,600</w:t>
            </w:r>
          </w:p>
        </w:tc>
      </w:tr>
      <w:tr w:rsidRPr="0027506D" w:rsidR="00B628BB" w14:paraId="19DBCC8C" w14:textId="77777777">
        <w:tc>
          <w:tcPr>
            <w:tcW w:w="2515" w:type="dxa"/>
            <w:vMerge/>
          </w:tcPr>
          <w:p w:rsidRPr="0027506D" w:rsidR="00B628BB" w:rsidRDefault="00B628BB" w14:paraId="77ACE61C" w14:textId="77777777">
            <w:pPr>
              <w:keepNext/>
              <w:spacing w:line="276" w:lineRule="auto"/>
              <w:outlineLvl w:val="0"/>
              <w:rPr>
                <w:rFonts w:ascii="Palatino Linotype" w:hAnsi="Palatino Linotype" w:eastAsia="Palatino Linotype" w:cs="Times New Roman"/>
                <w:bCs w:val="0"/>
                <w:color w:val="000000" w:themeColor="text1"/>
                <w:sz w:val="20"/>
                <w:szCs w:val="20"/>
              </w:rPr>
            </w:pPr>
          </w:p>
        </w:tc>
        <w:tc>
          <w:tcPr>
            <w:tcW w:w="4634" w:type="dxa"/>
            <w:tcBorders>
              <w:right w:val="single" w:color="auto" w:sz="4" w:space="0"/>
            </w:tcBorders>
          </w:tcPr>
          <w:p w:rsidRPr="0027506D" w:rsidR="00B628BB" w:rsidRDefault="00B628BB" w14:paraId="3F04B908"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Building &amp; Facility Systems</w:t>
            </w:r>
          </w:p>
        </w:tc>
        <w:tc>
          <w:tcPr>
            <w:tcW w:w="316" w:type="dxa"/>
            <w:tcBorders>
              <w:top w:val="single" w:color="auto" w:sz="4" w:space="0"/>
              <w:left w:val="single" w:color="auto" w:sz="4" w:space="0"/>
              <w:bottom w:val="single" w:color="auto" w:sz="4" w:space="0"/>
              <w:right w:val="nil"/>
            </w:tcBorders>
          </w:tcPr>
          <w:p w:rsidRPr="0027506D" w:rsidR="00B628BB" w:rsidRDefault="00B628BB" w14:paraId="333B414C"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0344CED7"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1,757,682</w:t>
            </w:r>
          </w:p>
        </w:tc>
        <w:tc>
          <w:tcPr>
            <w:tcW w:w="337" w:type="dxa"/>
            <w:tcBorders>
              <w:top w:val="single" w:color="auto" w:sz="4" w:space="0"/>
              <w:left w:val="single" w:color="auto" w:sz="4" w:space="0"/>
              <w:bottom w:val="single" w:color="auto" w:sz="4" w:space="0"/>
              <w:right w:val="nil"/>
            </w:tcBorders>
          </w:tcPr>
          <w:p w:rsidRPr="0027506D" w:rsidR="00B628BB" w:rsidRDefault="00B628BB" w14:paraId="01BFB380"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3255DB1E"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1,934,005</w:t>
            </w:r>
          </w:p>
        </w:tc>
        <w:tc>
          <w:tcPr>
            <w:tcW w:w="316" w:type="dxa"/>
            <w:tcBorders>
              <w:top w:val="single" w:color="auto" w:sz="4" w:space="0"/>
              <w:left w:val="single" w:color="auto" w:sz="4" w:space="0"/>
              <w:bottom w:val="single" w:color="auto" w:sz="4" w:space="0"/>
              <w:right w:val="nil"/>
            </w:tcBorders>
          </w:tcPr>
          <w:p w:rsidRPr="0027506D" w:rsidR="00B628BB" w:rsidRDefault="00B628BB" w14:paraId="22C3DF6B"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4F5ECFAE"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1,704,600</w:t>
            </w:r>
          </w:p>
        </w:tc>
        <w:tc>
          <w:tcPr>
            <w:tcW w:w="316" w:type="dxa"/>
            <w:tcBorders>
              <w:top w:val="single" w:color="auto" w:sz="4" w:space="0"/>
              <w:left w:val="single" w:color="auto" w:sz="4" w:space="0"/>
              <w:bottom w:val="single" w:color="auto" w:sz="4" w:space="0"/>
              <w:right w:val="nil"/>
            </w:tcBorders>
          </w:tcPr>
          <w:p w:rsidRPr="0027506D" w:rsidR="00B628BB" w:rsidRDefault="00B628BB" w14:paraId="03522ED1"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02DAAAEC"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1,755,700</w:t>
            </w:r>
          </w:p>
        </w:tc>
      </w:tr>
      <w:tr w:rsidRPr="0027506D" w:rsidR="00B628BB" w14:paraId="679F587B" w14:textId="77777777">
        <w:tc>
          <w:tcPr>
            <w:tcW w:w="7149" w:type="dxa"/>
            <w:gridSpan w:val="2"/>
            <w:tcBorders>
              <w:right w:val="single" w:color="auto" w:sz="4" w:space="0"/>
            </w:tcBorders>
          </w:tcPr>
          <w:p w:rsidRPr="0027506D" w:rsidR="00B628BB" w:rsidRDefault="00B628BB" w14:paraId="2042D2CD"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 xml:space="preserve">Gas RD&amp;D Database Development </w:t>
            </w:r>
          </w:p>
        </w:tc>
        <w:tc>
          <w:tcPr>
            <w:tcW w:w="316" w:type="dxa"/>
            <w:tcBorders>
              <w:top w:val="single" w:color="auto" w:sz="4" w:space="0"/>
              <w:left w:val="single" w:color="auto" w:sz="4" w:space="0"/>
              <w:bottom w:val="single" w:color="auto" w:sz="4" w:space="0"/>
              <w:right w:val="nil"/>
            </w:tcBorders>
          </w:tcPr>
          <w:p w:rsidRPr="0027506D" w:rsidR="00B628BB" w:rsidRDefault="00B628BB" w14:paraId="3E9DBA50"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44016D66"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*129,938</w:t>
            </w:r>
          </w:p>
        </w:tc>
        <w:tc>
          <w:tcPr>
            <w:tcW w:w="337" w:type="dxa"/>
            <w:tcBorders>
              <w:top w:val="single" w:color="auto" w:sz="4" w:space="0"/>
              <w:left w:val="single" w:color="auto" w:sz="4" w:space="0"/>
              <w:bottom w:val="single" w:color="auto" w:sz="4" w:space="0"/>
              <w:right w:val="nil"/>
            </w:tcBorders>
          </w:tcPr>
          <w:p w:rsidRPr="0027506D" w:rsidR="00B628BB" w:rsidRDefault="00B628BB" w14:paraId="05CEAFD6"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653C46AF"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54708C4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7CC25E6D"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47AD653F"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62120038"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r>
      <w:tr w:rsidRPr="0027506D" w:rsidR="00B628BB" w14:paraId="49497245" w14:textId="77777777">
        <w:tc>
          <w:tcPr>
            <w:tcW w:w="7149" w:type="dxa"/>
            <w:gridSpan w:val="2"/>
            <w:tcBorders>
              <w:right w:val="single" w:color="auto" w:sz="4" w:space="0"/>
            </w:tcBorders>
          </w:tcPr>
          <w:p w:rsidRPr="0027506D" w:rsidR="00B628BB" w:rsidRDefault="00B628BB" w14:paraId="6712555A"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 xml:space="preserve">Program Evaluation </w:t>
            </w:r>
          </w:p>
        </w:tc>
        <w:tc>
          <w:tcPr>
            <w:tcW w:w="316" w:type="dxa"/>
            <w:tcBorders>
              <w:top w:val="single" w:color="auto" w:sz="4" w:space="0"/>
              <w:left w:val="single" w:color="auto" w:sz="4" w:space="0"/>
              <w:bottom w:val="single" w:color="auto" w:sz="4" w:space="0"/>
              <w:right w:val="nil"/>
            </w:tcBorders>
          </w:tcPr>
          <w:p w:rsidRPr="0027506D" w:rsidR="00B628BB" w:rsidRDefault="00B628BB" w14:paraId="45614266"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3F3D21B1"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*675,000</w:t>
            </w:r>
          </w:p>
        </w:tc>
        <w:tc>
          <w:tcPr>
            <w:tcW w:w="337" w:type="dxa"/>
            <w:tcBorders>
              <w:top w:val="single" w:color="auto" w:sz="4" w:space="0"/>
              <w:left w:val="single" w:color="auto" w:sz="4" w:space="0"/>
              <w:bottom w:val="single" w:color="auto" w:sz="4" w:space="0"/>
              <w:right w:val="nil"/>
            </w:tcBorders>
          </w:tcPr>
          <w:p w:rsidRPr="0027506D" w:rsidR="00B628BB" w:rsidRDefault="00B628BB" w14:paraId="27424697"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349AC6AE"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30C4C10D"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072EE046"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c>
          <w:tcPr>
            <w:tcW w:w="316" w:type="dxa"/>
            <w:tcBorders>
              <w:top w:val="single" w:color="auto" w:sz="4" w:space="0"/>
              <w:left w:val="single" w:color="auto" w:sz="4" w:space="0"/>
              <w:bottom w:val="single" w:color="auto" w:sz="4" w:space="0"/>
              <w:right w:val="nil"/>
            </w:tcBorders>
          </w:tcPr>
          <w:p w:rsidRPr="0027506D" w:rsidR="00B628BB" w:rsidRDefault="00B628BB" w14:paraId="2C5E9B06"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446DF47F"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0</w:t>
            </w:r>
          </w:p>
        </w:tc>
      </w:tr>
      <w:tr w:rsidRPr="0027506D" w:rsidR="00B628BB" w14:paraId="20F06586" w14:textId="77777777">
        <w:tc>
          <w:tcPr>
            <w:tcW w:w="7149" w:type="dxa"/>
            <w:gridSpan w:val="2"/>
            <w:tcBorders>
              <w:right w:val="single" w:color="auto" w:sz="4" w:space="0"/>
            </w:tcBorders>
          </w:tcPr>
          <w:p w:rsidRPr="0027506D" w:rsidR="00B628BB" w:rsidRDefault="00B628BB" w14:paraId="21B19B82"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Program Administration</w:t>
            </w:r>
          </w:p>
        </w:tc>
        <w:tc>
          <w:tcPr>
            <w:tcW w:w="316" w:type="dxa"/>
            <w:tcBorders>
              <w:top w:val="single" w:color="auto" w:sz="4" w:space="0"/>
              <w:left w:val="single" w:color="auto" w:sz="4" w:space="0"/>
              <w:bottom w:val="single" w:color="auto" w:sz="4" w:space="0"/>
              <w:right w:val="nil"/>
            </w:tcBorders>
          </w:tcPr>
          <w:p w:rsidRPr="0027506D" w:rsidR="00B628BB" w:rsidRDefault="00B628BB" w14:paraId="35A786EB"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76EFC427"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1,785,300</w:t>
            </w:r>
          </w:p>
        </w:tc>
        <w:tc>
          <w:tcPr>
            <w:tcW w:w="337" w:type="dxa"/>
            <w:tcBorders>
              <w:top w:val="single" w:color="auto" w:sz="4" w:space="0"/>
              <w:left w:val="single" w:color="auto" w:sz="4" w:space="0"/>
              <w:bottom w:val="single" w:color="auto" w:sz="4" w:space="0"/>
              <w:right w:val="nil"/>
            </w:tcBorders>
          </w:tcPr>
          <w:p w:rsidRPr="0027506D" w:rsidR="00B628BB" w:rsidRDefault="00B628BB" w14:paraId="674503C0"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DADD90E"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1,838,900</w:t>
            </w:r>
          </w:p>
        </w:tc>
        <w:tc>
          <w:tcPr>
            <w:tcW w:w="316" w:type="dxa"/>
            <w:tcBorders>
              <w:top w:val="single" w:color="auto" w:sz="4" w:space="0"/>
              <w:left w:val="single" w:color="auto" w:sz="4" w:space="0"/>
              <w:bottom w:val="single" w:color="auto" w:sz="4" w:space="0"/>
              <w:right w:val="nil"/>
            </w:tcBorders>
          </w:tcPr>
          <w:p w:rsidRPr="0027506D" w:rsidR="00B628BB" w:rsidRDefault="00B628BB" w14:paraId="716CD509"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7735AA22"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1,894,000</w:t>
            </w:r>
          </w:p>
        </w:tc>
        <w:tc>
          <w:tcPr>
            <w:tcW w:w="316" w:type="dxa"/>
            <w:tcBorders>
              <w:top w:val="single" w:color="auto" w:sz="4" w:space="0"/>
              <w:left w:val="single" w:color="auto" w:sz="4" w:space="0"/>
              <w:bottom w:val="single" w:color="auto" w:sz="4" w:space="0"/>
              <w:right w:val="nil"/>
            </w:tcBorders>
          </w:tcPr>
          <w:p w:rsidRPr="0027506D" w:rsidR="00B628BB" w:rsidRDefault="00B628BB" w14:paraId="60CCE1E5" w14:textId="77777777">
            <w:pPr>
              <w:keepNext/>
              <w:spacing w:line="276" w:lineRule="auto"/>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2F02FEA9" w14:textId="77777777">
            <w:pPr>
              <w:keepNext/>
              <w:spacing w:line="276" w:lineRule="auto"/>
              <w:jc w:val="right"/>
              <w:outlineLvl w:val="0"/>
              <w:rPr>
                <w:rFonts w:ascii="Palatino Linotype" w:hAnsi="Palatino Linotype" w:eastAsia="Palatino Linotype" w:cs="Times New Roman"/>
                <w:bCs w:val="0"/>
                <w:color w:val="000000" w:themeColor="text1"/>
                <w:sz w:val="20"/>
                <w:szCs w:val="20"/>
              </w:rPr>
            </w:pPr>
            <w:r w:rsidRPr="0027506D">
              <w:rPr>
                <w:rFonts w:ascii="Palatino Linotype" w:hAnsi="Palatino Linotype" w:eastAsia="Palatino Linotype" w:cs="Times New Roman"/>
                <w:color w:val="000000" w:themeColor="text1"/>
                <w:sz w:val="20"/>
                <w:szCs w:val="20"/>
              </w:rPr>
              <w:t>1,950,800</w:t>
            </w:r>
          </w:p>
        </w:tc>
      </w:tr>
      <w:tr w:rsidRPr="0027506D" w:rsidR="00B628BB" w14:paraId="54D64C36" w14:textId="77777777">
        <w:tc>
          <w:tcPr>
            <w:tcW w:w="7149" w:type="dxa"/>
            <w:gridSpan w:val="2"/>
            <w:tcBorders>
              <w:right w:val="single" w:color="auto" w:sz="4" w:space="0"/>
            </w:tcBorders>
          </w:tcPr>
          <w:p w:rsidRPr="0027506D" w:rsidR="00B628BB" w:rsidRDefault="00B628BB" w14:paraId="41738E23" w14:textId="77777777">
            <w:pPr>
              <w:keepNext/>
              <w:spacing w:line="276" w:lineRule="auto"/>
              <w:jc w:val="right"/>
              <w:outlineLvl w:val="0"/>
              <w:rPr>
                <w:rFonts w:ascii="Palatino Linotype" w:hAnsi="Palatino Linotype" w:eastAsia="Palatino Linotype" w:cs="Times New Roman"/>
                <w:b/>
                <w:color w:val="000000" w:themeColor="text1"/>
                <w:sz w:val="20"/>
                <w:szCs w:val="20"/>
              </w:rPr>
            </w:pPr>
            <w:r w:rsidRPr="0027506D">
              <w:rPr>
                <w:rFonts w:ascii="Palatino Linotype" w:hAnsi="Palatino Linotype" w:eastAsia="Palatino Linotype" w:cs="Times New Roman"/>
                <w:b/>
                <w:color w:val="000000" w:themeColor="text1"/>
                <w:sz w:val="20"/>
                <w:szCs w:val="20"/>
              </w:rPr>
              <w:t>ANNUAL TOTAL:</w:t>
            </w:r>
          </w:p>
        </w:tc>
        <w:tc>
          <w:tcPr>
            <w:tcW w:w="316" w:type="dxa"/>
            <w:tcBorders>
              <w:top w:val="single" w:color="auto" w:sz="4" w:space="0"/>
              <w:left w:val="single" w:color="auto" w:sz="4" w:space="0"/>
              <w:bottom w:val="single" w:color="auto" w:sz="4" w:space="0"/>
              <w:right w:val="nil"/>
            </w:tcBorders>
          </w:tcPr>
          <w:p w:rsidRPr="0027506D" w:rsidR="00B628BB" w:rsidRDefault="00B628BB" w14:paraId="0920A0FF" w14:textId="77777777">
            <w:pPr>
              <w:keepNext/>
              <w:spacing w:line="276" w:lineRule="auto"/>
              <w:outlineLvl w:val="0"/>
              <w:rPr>
                <w:rFonts w:ascii="Palatino Linotype" w:hAnsi="Palatino Linotype" w:eastAsia="Palatino Linotype" w:cs="Times New Roman"/>
                <w:b/>
                <w:color w:val="000000" w:themeColor="text1"/>
                <w:sz w:val="20"/>
                <w:szCs w:val="20"/>
              </w:rPr>
            </w:pPr>
            <w:r w:rsidRPr="0027506D">
              <w:rPr>
                <w:rFonts w:ascii="Palatino Linotype" w:hAnsi="Palatino Linotype" w:eastAsia="Palatino Linotype" w:cs="Times New Roman"/>
                <w:b/>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43CD06AA" w14:textId="77777777">
            <w:pPr>
              <w:keepNext/>
              <w:spacing w:line="276" w:lineRule="auto"/>
              <w:jc w:val="right"/>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17,853,000</w:t>
            </w:r>
          </w:p>
        </w:tc>
        <w:tc>
          <w:tcPr>
            <w:tcW w:w="337" w:type="dxa"/>
            <w:tcBorders>
              <w:top w:val="single" w:color="auto" w:sz="4" w:space="0"/>
              <w:left w:val="single" w:color="auto" w:sz="4" w:space="0"/>
              <w:bottom w:val="single" w:color="auto" w:sz="4" w:space="0"/>
              <w:right w:val="nil"/>
            </w:tcBorders>
          </w:tcPr>
          <w:p w:rsidRPr="0027506D" w:rsidR="00B628BB" w:rsidRDefault="00B628BB" w14:paraId="2B859228" w14:textId="77777777">
            <w:pPr>
              <w:keepNext/>
              <w:spacing w:line="276" w:lineRule="auto"/>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3E44DFAC" w14:textId="77777777">
            <w:pPr>
              <w:keepNext/>
              <w:spacing w:line="276" w:lineRule="auto"/>
              <w:jc w:val="right"/>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18,389,000</w:t>
            </w:r>
          </w:p>
        </w:tc>
        <w:tc>
          <w:tcPr>
            <w:tcW w:w="316" w:type="dxa"/>
            <w:tcBorders>
              <w:top w:val="single" w:color="auto" w:sz="4" w:space="0"/>
              <w:left w:val="single" w:color="auto" w:sz="4" w:space="0"/>
              <w:bottom w:val="single" w:color="auto" w:sz="4" w:space="0"/>
              <w:right w:val="nil"/>
            </w:tcBorders>
          </w:tcPr>
          <w:p w:rsidRPr="0027506D" w:rsidR="00B628BB" w:rsidRDefault="00B628BB" w14:paraId="7345ACD6" w14:textId="77777777">
            <w:pPr>
              <w:keepNext/>
              <w:spacing w:line="276" w:lineRule="auto"/>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w:t>
            </w:r>
          </w:p>
        </w:tc>
        <w:tc>
          <w:tcPr>
            <w:tcW w:w="1120" w:type="dxa"/>
            <w:tcBorders>
              <w:top w:val="single" w:color="auto" w:sz="4" w:space="0"/>
              <w:left w:val="nil"/>
              <w:bottom w:val="single" w:color="auto" w:sz="4" w:space="0"/>
              <w:right w:val="single" w:color="auto" w:sz="4" w:space="0"/>
            </w:tcBorders>
            <w:vAlign w:val="center"/>
          </w:tcPr>
          <w:p w:rsidRPr="0027506D" w:rsidR="00B628BB" w:rsidRDefault="00B628BB" w14:paraId="53048866" w14:textId="77777777">
            <w:pPr>
              <w:keepNext/>
              <w:spacing w:line="276" w:lineRule="auto"/>
              <w:jc w:val="right"/>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18,940,000</w:t>
            </w:r>
          </w:p>
        </w:tc>
        <w:tc>
          <w:tcPr>
            <w:tcW w:w="316" w:type="dxa"/>
            <w:tcBorders>
              <w:top w:val="single" w:color="auto" w:sz="4" w:space="0"/>
              <w:left w:val="single" w:color="auto" w:sz="4" w:space="0"/>
              <w:bottom w:val="single" w:color="auto" w:sz="4" w:space="0"/>
              <w:right w:val="nil"/>
            </w:tcBorders>
          </w:tcPr>
          <w:p w:rsidRPr="0027506D" w:rsidR="00B628BB" w:rsidRDefault="00B628BB" w14:paraId="6FF1983A" w14:textId="77777777">
            <w:pPr>
              <w:keepNext/>
              <w:spacing w:line="276" w:lineRule="auto"/>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w:t>
            </w:r>
          </w:p>
        </w:tc>
        <w:tc>
          <w:tcPr>
            <w:tcW w:w="1138" w:type="dxa"/>
            <w:tcBorders>
              <w:top w:val="single" w:color="auto" w:sz="4" w:space="0"/>
              <w:left w:val="nil"/>
              <w:bottom w:val="single" w:color="auto" w:sz="4" w:space="0"/>
              <w:right w:val="single" w:color="auto" w:sz="4" w:space="0"/>
            </w:tcBorders>
            <w:vAlign w:val="center"/>
          </w:tcPr>
          <w:p w:rsidRPr="0027506D" w:rsidR="00B628BB" w:rsidRDefault="00B628BB" w14:paraId="2269EDD8" w14:textId="77777777">
            <w:pPr>
              <w:keepNext/>
              <w:spacing w:line="276" w:lineRule="auto"/>
              <w:jc w:val="right"/>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19,508,100</w:t>
            </w:r>
          </w:p>
        </w:tc>
      </w:tr>
      <w:tr w:rsidRPr="0027506D" w:rsidR="00B628BB" w14:paraId="14AA441B" w14:textId="77777777">
        <w:tc>
          <w:tcPr>
            <w:tcW w:w="7149" w:type="dxa"/>
            <w:gridSpan w:val="2"/>
            <w:tcBorders>
              <w:right w:val="single" w:color="auto" w:sz="4" w:space="0"/>
            </w:tcBorders>
          </w:tcPr>
          <w:p w:rsidRPr="0027506D" w:rsidR="00B628BB" w:rsidRDefault="00B628BB" w14:paraId="3C369E2A" w14:textId="77777777">
            <w:pPr>
              <w:keepNext/>
              <w:spacing w:line="276" w:lineRule="auto"/>
              <w:jc w:val="right"/>
              <w:outlineLvl w:val="0"/>
              <w:rPr>
                <w:rFonts w:ascii="Palatino Linotype" w:hAnsi="Palatino Linotype" w:eastAsia="Palatino Linotype" w:cs="Times New Roman"/>
                <w:b/>
                <w:color w:val="000000" w:themeColor="text1"/>
                <w:sz w:val="20"/>
                <w:szCs w:val="20"/>
              </w:rPr>
            </w:pPr>
            <w:r w:rsidRPr="0027506D">
              <w:rPr>
                <w:rFonts w:ascii="Palatino Linotype" w:hAnsi="Palatino Linotype" w:eastAsia="Palatino Linotype" w:cs="Times New Roman"/>
                <w:b/>
                <w:color w:val="000000" w:themeColor="text1"/>
                <w:sz w:val="20"/>
                <w:szCs w:val="20"/>
              </w:rPr>
              <w:t>TOTAL:</w:t>
            </w:r>
          </w:p>
        </w:tc>
        <w:tc>
          <w:tcPr>
            <w:tcW w:w="316" w:type="dxa"/>
            <w:tcBorders>
              <w:top w:val="single" w:color="auto" w:sz="4" w:space="0"/>
              <w:left w:val="single" w:color="auto" w:sz="4" w:space="0"/>
              <w:bottom w:val="single" w:color="auto" w:sz="4" w:space="0"/>
              <w:right w:val="nil"/>
            </w:tcBorders>
          </w:tcPr>
          <w:p w:rsidRPr="0027506D" w:rsidR="00B628BB" w:rsidRDefault="00B628BB" w14:paraId="165E9657" w14:textId="77777777">
            <w:pPr>
              <w:keepNext/>
              <w:spacing w:line="276" w:lineRule="auto"/>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w:t>
            </w:r>
          </w:p>
        </w:tc>
        <w:tc>
          <w:tcPr>
            <w:tcW w:w="5485" w:type="dxa"/>
            <w:gridSpan w:val="7"/>
            <w:tcBorders>
              <w:top w:val="single" w:color="auto" w:sz="4" w:space="0"/>
              <w:left w:val="nil"/>
              <w:bottom w:val="single" w:color="auto" w:sz="4" w:space="0"/>
              <w:right w:val="single" w:color="auto" w:sz="4" w:space="0"/>
            </w:tcBorders>
            <w:vAlign w:val="center"/>
          </w:tcPr>
          <w:p w:rsidRPr="0027506D" w:rsidR="00B628BB" w:rsidRDefault="00B628BB" w14:paraId="45BA3C5B" w14:textId="77777777">
            <w:pPr>
              <w:keepNext/>
              <w:spacing w:line="276" w:lineRule="auto"/>
              <w:jc w:val="center"/>
              <w:outlineLvl w:val="0"/>
              <w:rPr>
                <w:rFonts w:ascii="Palatino Linotype" w:hAnsi="Palatino Linotype" w:eastAsia="Palatino Linotype" w:cs="Times New Roman"/>
                <w:b/>
                <w:bCs w:val="0"/>
                <w:color w:val="000000" w:themeColor="text1"/>
                <w:sz w:val="20"/>
                <w:szCs w:val="20"/>
              </w:rPr>
            </w:pPr>
            <w:r w:rsidRPr="0027506D">
              <w:rPr>
                <w:rFonts w:ascii="Palatino Linotype" w:hAnsi="Palatino Linotype" w:eastAsia="Palatino Linotype" w:cs="Times New Roman"/>
                <w:b/>
                <w:color w:val="000000" w:themeColor="text1"/>
                <w:sz w:val="20"/>
                <w:szCs w:val="20"/>
              </w:rPr>
              <w:t>74,690,100</w:t>
            </w:r>
          </w:p>
        </w:tc>
      </w:tr>
    </w:tbl>
    <w:p w:rsidRPr="00F81070" w:rsidR="00A04BB1" w:rsidP="00B628BB" w:rsidRDefault="00B628BB" w14:paraId="411E9520" w14:textId="2B1F8BEA">
      <w:pPr>
        <w:spacing w:before="240" w:after="0"/>
        <w:rPr>
          <w:rFonts w:ascii="Palatino Linotype" w:hAnsi="Palatino Linotype"/>
          <w:i/>
          <w:iCs/>
          <w:color w:val="000000" w:themeColor="text1"/>
          <w:sz w:val="20"/>
          <w:szCs w:val="20"/>
        </w:rPr>
      </w:pPr>
      <w:r w:rsidRPr="00F81070">
        <w:rPr>
          <w:rFonts w:ascii="Palatino Linotype" w:hAnsi="Palatino Linotype"/>
          <w:i/>
          <w:iCs/>
          <w:color w:val="000000" w:themeColor="text1"/>
          <w:sz w:val="20"/>
          <w:szCs w:val="20"/>
        </w:rPr>
        <w:t>*This Resolution denies these proposed budget allocations</w:t>
      </w:r>
      <w:r>
        <w:rPr>
          <w:rFonts w:ascii="Palatino Linotype" w:hAnsi="Palatino Linotype"/>
          <w:i/>
          <w:iCs/>
          <w:color w:val="000000" w:themeColor="text1"/>
          <w:sz w:val="20"/>
          <w:szCs w:val="20"/>
        </w:rPr>
        <w:t xml:space="preserve"> and will </w:t>
      </w:r>
      <w:r w:rsidRPr="00F81070">
        <w:rPr>
          <w:rFonts w:ascii="Palatino Linotype" w:hAnsi="Palatino Linotype"/>
          <w:i/>
          <w:iCs/>
          <w:color w:val="000000" w:themeColor="text1"/>
          <w:sz w:val="20"/>
          <w:szCs w:val="20"/>
        </w:rPr>
        <w:t>determine a process to establish holistic oversight across all Gas RD&amp;D administrators</w:t>
      </w:r>
      <w:r>
        <w:rPr>
          <w:rFonts w:ascii="Palatino Linotype" w:hAnsi="Palatino Linotype"/>
          <w:i/>
          <w:iCs/>
          <w:color w:val="000000" w:themeColor="text1"/>
          <w:sz w:val="20"/>
          <w:szCs w:val="20"/>
        </w:rPr>
        <w:t>.</w:t>
      </w:r>
    </w:p>
    <w:p w:rsidR="0044638C" w:rsidP="00A76F4A" w:rsidRDefault="0044638C" w14:paraId="4266F3FB" w14:textId="77777777">
      <w:pPr>
        <w:keepNext/>
        <w:spacing w:after="0" w:line="240" w:lineRule="auto"/>
        <w:rPr>
          <w:rFonts w:ascii="Palatino Linotype" w:hAnsi="Palatino Linotype" w:eastAsia="Palatino Linotype" w:cs="Times New Roman"/>
        </w:rPr>
        <w:sectPr w:rsidR="0044638C" w:rsidSect="004E3166">
          <w:pgSz w:w="15840" w:h="12240" w:orient="landscape"/>
          <w:pgMar w:top="1440" w:right="1440" w:bottom="1440" w:left="1440" w:header="720" w:footer="720" w:gutter="0"/>
          <w:cols w:space="720"/>
          <w:titlePg/>
          <w:docGrid w:linePitch="360"/>
        </w:sectPr>
      </w:pPr>
    </w:p>
    <w:p w:rsidR="00A04BB1" w:rsidP="00490177" w:rsidRDefault="00A04BB1" w14:paraId="6DF2C172" w14:textId="77777777">
      <w:pPr>
        <w:rPr>
          <w:rFonts w:ascii="Palatino Linotype" w:hAnsi="Palatino Linotype"/>
          <w:b/>
          <w:bCs/>
        </w:rPr>
      </w:pPr>
    </w:p>
    <w:p w:rsidR="00A04BB1" w:rsidP="00490177" w:rsidRDefault="00A04BB1" w14:paraId="73DFB041" w14:textId="77777777">
      <w:pPr>
        <w:rPr>
          <w:rFonts w:ascii="Palatino Linotype" w:hAnsi="Palatino Linotype"/>
          <w:b/>
          <w:bCs/>
        </w:rPr>
      </w:pPr>
    </w:p>
    <w:p w:rsidR="00A04BB1" w:rsidP="00490177" w:rsidRDefault="00A04BB1" w14:paraId="3F64BB66" w14:textId="77777777">
      <w:pPr>
        <w:rPr>
          <w:rFonts w:ascii="Palatino Linotype" w:hAnsi="Palatino Linotype"/>
          <w:b/>
          <w:bCs/>
        </w:rPr>
      </w:pPr>
    </w:p>
    <w:p w:rsidR="00A04BB1" w:rsidP="00490177" w:rsidRDefault="00A04BB1" w14:paraId="49827C68" w14:textId="77777777">
      <w:pPr>
        <w:rPr>
          <w:rFonts w:ascii="Palatino Linotype" w:hAnsi="Palatino Linotype"/>
          <w:b/>
          <w:bCs/>
        </w:rPr>
      </w:pPr>
    </w:p>
    <w:p w:rsidR="00A04BB1" w:rsidP="00490177" w:rsidRDefault="00A04BB1" w14:paraId="404B1968" w14:textId="77777777">
      <w:pPr>
        <w:rPr>
          <w:rFonts w:ascii="Palatino Linotype" w:hAnsi="Palatino Linotype"/>
          <w:b/>
          <w:bCs/>
        </w:rPr>
      </w:pPr>
    </w:p>
    <w:p w:rsidRPr="008D66AE" w:rsidR="003F2B7A" w:rsidP="003F2B7A" w:rsidRDefault="003F2B7A" w14:paraId="2C37FD15" w14:textId="6CE55444">
      <w:pPr>
        <w:ind w:right="90"/>
        <w:jc w:val="center"/>
        <w:rPr>
          <w:rFonts w:ascii="Palatino Linotype" w:hAnsi="Palatino Linotype"/>
          <w:b/>
          <w:bCs/>
          <w:color w:val="000000" w:themeColor="text1"/>
          <w:sz w:val="44"/>
          <w:szCs w:val="44"/>
        </w:rPr>
      </w:pPr>
      <w:r w:rsidRPr="008D66AE">
        <w:rPr>
          <w:rFonts w:ascii="Palatino Linotype" w:hAnsi="Palatino Linotype"/>
          <w:b/>
          <w:bCs/>
          <w:color w:val="000000" w:themeColor="text1"/>
          <w:sz w:val="44"/>
          <w:szCs w:val="44"/>
        </w:rPr>
        <w:t xml:space="preserve">APPENDIX </w:t>
      </w:r>
      <w:r>
        <w:rPr>
          <w:rFonts w:ascii="Palatino Linotype" w:hAnsi="Palatino Linotype"/>
          <w:b/>
          <w:bCs/>
          <w:color w:val="000000" w:themeColor="text1"/>
          <w:sz w:val="44"/>
          <w:szCs w:val="44"/>
        </w:rPr>
        <w:t>B</w:t>
      </w:r>
    </w:p>
    <w:p w:rsidR="00A04BB1" w:rsidP="00490177" w:rsidRDefault="00A04BB1" w14:paraId="4FB4CAA6" w14:textId="77777777">
      <w:pPr>
        <w:rPr>
          <w:rFonts w:ascii="Palatino Linotype" w:hAnsi="Palatino Linotype"/>
          <w:b/>
          <w:bCs/>
        </w:rPr>
      </w:pPr>
    </w:p>
    <w:p w:rsidR="00A04BB1" w:rsidP="00490177" w:rsidRDefault="00A04BB1" w14:paraId="57B66F3F" w14:textId="77777777">
      <w:pPr>
        <w:rPr>
          <w:rFonts w:ascii="Palatino Linotype" w:hAnsi="Palatino Linotype"/>
          <w:b/>
          <w:bCs/>
        </w:rPr>
      </w:pPr>
    </w:p>
    <w:p w:rsidR="00A04BB1" w:rsidP="00490177" w:rsidRDefault="00A04BB1" w14:paraId="235358E1" w14:textId="77777777">
      <w:pPr>
        <w:rPr>
          <w:rFonts w:ascii="Palatino Linotype" w:hAnsi="Palatino Linotype"/>
          <w:b/>
          <w:bCs/>
        </w:rPr>
      </w:pPr>
    </w:p>
    <w:p w:rsidR="00A04BB1" w:rsidP="00490177" w:rsidRDefault="00A04BB1" w14:paraId="4CCE748C" w14:textId="77777777">
      <w:pPr>
        <w:rPr>
          <w:rFonts w:ascii="Palatino Linotype" w:hAnsi="Palatino Linotype"/>
          <w:b/>
          <w:bCs/>
        </w:rPr>
      </w:pPr>
    </w:p>
    <w:p w:rsidR="003F2B7A" w:rsidP="00490177" w:rsidRDefault="003F2B7A" w14:paraId="344DE7FC" w14:textId="77777777">
      <w:pPr>
        <w:rPr>
          <w:rFonts w:ascii="Palatino Linotype" w:hAnsi="Palatino Linotype"/>
          <w:b/>
          <w:bCs/>
        </w:rPr>
        <w:sectPr w:rsidR="003F2B7A" w:rsidSect="00A67BD1">
          <w:headerReference w:type="first" r:id="rId17"/>
          <w:footerReference w:type="first" r:id="rId18"/>
          <w:pgSz w:w="12240" w:h="15840"/>
          <w:pgMar w:top="1440" w:right="1440" w:bottom="1440" w:left="1440" w:header="720" w:footer="720" w:gutter="0"/>
          <w:pgNumType w:start="1"/>
          <w:cols w:space="720"/>
          <w:titlePg/>
          <w:docGrid w:linePitch="360"/>
        </w:sectPr>
      </w:pPr>
    </w:p>
    <w:p w:rsidR="00490177" w:rsidP="00490177" w:rsidRDefault="00490177" w14:paraId="58143BE5" w14:textId="4F856DB4">
      <w:pPr>
        <w:rPr>
          <w:rFonts w:ascii="Palatino Linotype" w:hAnsi="Palatino Linotype"/>
          <w:b/>
          <w:bCs/>
        </w:rPr>
      </w:pPr>
      <w:r w:rsidRPr="004C5DBB">
        <w:rPr>
          <w:rFonts w:ascii="Palatino Linotype" w:hAnsi="Palatino Linotype"/>
          <w:b/>
          <w:bCs/>
        </w:rPr>
        <w:lastRenderedPageBreak/>
        <w:t>APPENDIX</w:t>
      </w:r>
      <w:r w:rsidRPr="004C5DBB">
        <w:rPr>
          <w:rFonts w:ascii="Palatino Linotype" w:hAnsi="Palatino Linotype"/>
          <w:b/>
          <w:bCs/>
          <w:color w:val="000000" w:themeColor="text1"/>
        </w:rPr>
        <w:t xml:space="preserve"> </w:t>
      </w:r>
      <w:r>
        <w:rPr>
          <w:rFonts w:ascii="Palatino Linotype" w:hAnsi="Palatino Linotype"/>
          <w:b/>
          <w:bCs/>
          <w:color w:val="000000" w:themeColor="text1"/>
        </w:rPr>
        <w:t>B</w:t>
      </w:r>
      <w:r w:rsidRPr="004C5DBB">
        <w:rPr>
          <w:rFonts w:ascii="Palatino Linotype" w:hAnsi="Palatino Linotype"/>
          <w:b/>
          <w:bCs/>
        </w:rPr>
        <w:t>:</w:t>
      </w:r>
      <w:r>
        <w:rPr>
          <w:rFonts w:ascii="Palatino Linotype" w:hAnsi="Palatino Linotype"/>
          <w:b/>
          <w:bCs/>
        </w:rPr>
        <w:t xml:space="preserve"> </w:t>
      </w:r>
      <w:r w:rsidRPr="006D44EC">
        <w:rPr>
          <w:rFonts w:ascii="Palatino Linotype" w:hAnsi="Palatino Linotype"/>
          <w:b/>
          <w:bCs/>
        </w:rPr>
        <w:t xml:space="preserve">Key CPUC Gas RD&amp;D Resolution Requirements </w:t>
      </w:r>
    </w:p>
    <w:p w:rsidR="00490177" w:rsidP="00490177" w:rsidRDefault="00490177" w14:paraId="1B4A9A5E" w14:textId="77777777">
      <w:pPr>
        <w:spacing w:after="0"/>
        <w:rPr>
          <w:rFonts w:ascii="Palatino Linotype" w:hAnsi="Palatino Linotype"/>
          <w:i/>
          <w:iCs/>
          <w:sz w:val="20"/>
          <w:szCs w:val="20"/>
        </w:rPr>
      </w:pPr>
      <w:r w:rsidRPr="00E56DCF">
        <w:rPr>
          <w:rFonts w:ascii="Palatino Linotype" w:hAnsi="Palatino Linotype"/>
          <w:i/>
          <w:iCs/>
          <w:sz w:val="20"/>
          <w:szCs w:val="20"/>
        </w:rPr>
        <w:t xml:space="preserve">The Commission set requirements for SoCalGas’ Gas RD&amp;D Program via resolutions approving </w:t>
      </w:r>
      <w:r>
        <w:rPr>
          <w:rFonts w:ascii="Palatino Linotype" w:hAnsi="Palatino Linotype"/>
          <w:i/>
          <w:iCs/>
          <w:sz w:val="20"/>
          <w:szCs w:val="20"/>
        </w:rPr>
        <w:t xml:space="preserve">SoCalGas’ </w:t>
      </w:r>
      <w:r w:rsidRPr="00E56DCF">
        <w:rPr>
          <w:rFonts w:ascii="Palatino Linotype" w:hAnsi="Palatino Linotype"/>
          <w:i/>
          <w:iCs/>
          <w:sz w:val="20"/>
          <w:szCs w:val="20"/>
        </w:rPr>
        <w:t xml:space="preserve">Gas RD&amp;D Plans, beginning in </w:t>
      </w:r>
      <w:r>
        <w:rPr>
          <w:rFonts w:ascii="Palatino Linotype" w:hAnsi="Palatino Linotype"/>
          <w:i/>
          <w:iCs/>
          <w:sz w:val="20"/>
          <w:szCs w:val="20"/>
        </w:rPr>
        <w:t>2021.</w:t>
      </w:r>
      <w:r w:rsidRPr="00E56DCF">
        <w:rPr>
          <w:rFonts w:ascii="Palatino Linotype" w:hAnsi="Palatino Linotype"/>
          <w:i/>
          <w:iCs/>
          <w:sz w:val="20"/>
          <w:szCs w:val="20"/>
        </w:rPr>
        <w:t xml:space="preserve"> All applicable Commission requirements set via resolution were rigorously reviewed to identify the following key orders for the Commission’s evaluation of </w:t>
      </w:r>
      <w:r>
        <w:rPr>
          <w:rFonts w:ascii="Palatino Linotype" w:hAnsi="Palatino Linotype"/>
          <w:i/>
          <w:iCs/>
          <w:sz w:val="20"/>
          <w:szCs w:val="20"/>
        </w:rPr>
        <w:t xml:space="preserve">SoCalGas’ </w:t>
      </w:r>
      <w:r w:rsidRPr="00E56DCF">
        <w:rPr>
          <w:rFonts w:ascii="Palatino Linotype" w:hAnsi="Palatino Linotype"/>
          <w:i/>
          <w:iCs/>
          <w:sz w:val="20"/>
          <w:szCs w:val="20"/>
        </w:rPr>
        <w:t>proposed Plans:</w:t>
      </w:r>
    </w:p>
    <w:p w:rsidR="00490177" w:rsidP="00490177" w:rsidRDefault="00490177" w14:paraId="1810CF09" w14:textId="77777777">
      <w:pPr>
        <w:spacing w:after="0"/>
        <w:rPr>
          <w:rFonts w:ascii="Palatino Linotype" w:hAnsi="Palatino Linotype"/>
          <w:i/>
          <w:iCs/>
          <w:sz w:val="20"/>
          <w:szCs w:val="20"/>
        </w:rPr>
      </w:pPr>
    </w:p>
    <w:tbl>
      <w:tblPr>
        <w:tblStyle w:val="TableGrid"/>
        <w:tblW w:w="0" w:type="auto"/>
        <w:tblLook w:val="04A0" w:firstRow="1" w:lastRow="0" w:firstColumn="1" w:lastColumn="0" w:noHBand="0" w:noVBand="1"/>
      </w:tblPr>
      <w:tblGrid>
        <w:gridCol w:w="2875"/>
        <w:gridCol w:w="6475"/>
      </w:tblGrid>
      <w:tr w:rsidR="00490177" w14:paraId="5C2B0A3E" w14:textId="77777777">
        <w:tc>
          <w:tcPr>
            <w:tcW w:w="2875" w:type="dxa"/>
          </w:tcPr>
          <w:p w:rsidRPr="00E56DCF" w:rsidR="00490177" w:rsidRDefault="00490177" w14:paraId="57E3394D" w14:textId="77777777">
            <w:pPr>
              <w:rPr>
                <w:rFonts w:ascii="Palatino Linotype" w:hAnsi="Palatino Linotype"/>
                <w:b/>
                <w:bCs w:val="0"/>
                <w:sz w:val="20"/>
                <w:szCs w:val="20"/>
              </w:rPr>
            </w:pPr>
            <w:r w:rsidRPr="00E56DCF">
              <w:rPr>
                <w:rFonts w:ascii="Palatino Linotype" w:hAnsi="Palatino Linotype"/>
                <w:b/>
                <w:sz w:val="20"/>
                <w:szCs w:val="20"/>
              </w:rPr>
              <w:t>Resolution</w:t>
            </w:r>
          </w:p>
        </w:tc>
        <w:tc>
          <w:tcPr>
            <w:tcW w:w="6475" w:type="dxa"/>
          </w:tcPr>
          <w:p w:rsidRPr="00E56DCF" w:rsidR="00490177" w:rsidRDefault="00490177" w14:paraId="431A1F2E" w14:textId="77777777">
            <w:pPr>
              <w:rPr>
                <w:rFonts w:ascii="Palatino Linotype" w:hAnsi="Palatino Linotype"/>
                <w:b/>
                <w:bCs w:val="0"/>
                <w:sz w:val="20"/>
                <w:szCs w:val="20"/>
              </w:rPr>
            </w:pPr>
            <w:r w:rsidRPr="00E56DCF">
              <w:rPr>
                <w:rFonts w:ascii="Palatino Linotype" w:hAnsi="Palatino Linotype"/>
                <w:b/>
                <w:sz w:val="20"/>
                <w:szCs w:val="20"/>
              </w:rPr>
              <w:t>Commission Order/Requirement</w:t>
            </w:r>
          </w:p>
        </w:tc>
      </w:tr>
      <w:tr w:rsidR="00490177" w14:paraId="5E14C47C" w14:textId="77777777">
        <w:tc>
          <w:tcPr>
            <w:tcW w:w="2875" w:type="dxa"/>
          </w:tcPr>
          <w:p w:rsidRPr="00E56DCF" w:rsidR="00490177" w:rsidRDefault="00490177" w14:paraId="7A34C0E4" w14:textId="77777777">
            <w:pPr>
              <w:rPr>
                <w:rFonts w:ascii="Palatino Linotype" w:hAnsi="Palatino Linotype"/>
                <w:sz w:val="20"/>
                <w:szCs w:val="20"/>
              </w:rPr>
            </w:pPr>
            <w:hyperlink w:history="1" r:id="rId19">
              <w:r w:rsidRPr="00A671A4">
                <w:rPr>
                  <w:rStyle w:val="Hyperlink"/>
                  <w:rFonts w:ascii="Palatino Linotype" w:hAnsi="Palatino Linotype"/>
                  <w:sz w:val="20"/>
                  <w:szCs w:val="20"/>
                </w:rPr>
                <w:t>Resolution G-3573</w:t>
              </w:r>
            </w:hyperlink>
            <w:r w:rsidRPr="008D2497">
              <w:rPr>
                <w:rFonts w:ascii="Palatino Linotype" w:hAnsi="Palatino Linotype"/>
                <w:sz w:val="20"/>
                <w:szCs w:val="20"/>
              </w:rPr>
              <w:t xml:space="preserve"> (2021)</w:t>
            </w:r>
            <w:r>
              <w:rPr>
                <w:rFonts w:ascii="Palatino Linotype" w:hAnsi="Palatino Linotype"/>
                <w:sz w:val="20"/>
                <w:szCs w:val="20"/>
              </w:rPr>
              <w:t>:</w:t>
            </w:r>
            <w:r w:rsidRPr="008D2497">
              <w:rPr>
                <w:rFonts w:ascii="Palatino Linotype" w:hAnsi="Palatino Linotype"/>
                <w:sz w:val="20"/>
                <w:szCs w:val="20"/>
              </w:rPr>
              <w:t xml:space="preserve"> Approving SoCalGas’ 2021 Gas RD&amp;D Plan</w:t>
            </w:r>
          </w:p>
        </w:tc>
        <w:tc>
          <w:tcPr>
            <w:tcW w:w="6475" w:type="dxa"/>
          </w:tcPr>
          <w:p w:rsidR="00490177" w:rsidRDefault="00490177" w14:paraId="54D8D8E6" w14:textId="77777777">
            <w:pPr>
              <w:rPr>
                <w:rFonts w:ascii="Palatino Linotype" w:hAnsi="Palatino Linotype"/>
                <w:color w:val="000000" w:themeColor="text1"/>
                <w:sz w:val="20"/>
                <w:szCs w:val="20"/>
              </w:rPr>
            </w:pPr>
            <w:r w:rsidRPr="00A25E53">
              <w:rPr>
                <w:rFonts w:ascii="Palatino Linotype" w:hAnsi="Palatino Linotype"/>
                <w:b/>
                <w:color w:val="000000" w:themeColor="text1"/>
                <w:sz w:val="20"/>
                <w:szCs w:val="20"/>
              </w:rPr>
              <w:t>OP 3</w:t>
            </w:r>
            <w:r w:rsidRPr="00A25E53">
              <w:rPr>
                <w:rFonts w:ascii="Palatino Linotype" w:hAnsi="Palatino Linotype"/>
                <w:color w:val="000000" w:themeColor="text1"/>
                <w:sz w:val="20"/>
                <w:szCs w:val="20"/>
              </w:rPr>
              <w:t xml:space="preserve">. In developing the subsequent Research Plans, SoCalGas shall: </w:t>
            </w:r>
          </w:p>
          <w:p w:rsidRPr="00FD2B63" w:rsidR="00490177" w:rsidRDefault="00490177" w14:paraId="1E05C2F4" w14:textId="77777777">
            <w:pPr>
              <w:rPr>
                <w:rFonts w:ascii="Palatino Linotype" w:hAnsi="Palatino Linotype"/>
                <w:color w:val="000000" w:themeColor="text1"/>
                <w:sz w:val="20"/>
                <w:szCs w:val="20"/>
              </w:rPr>
            </w:pPr>
            <w:r w:rsidRPr="00FD2B63">
              <w:rPr>
                <w:rFonts w:ascii="Palatino Linotype" w:hAnsi="Palatino Linotype"/>
                <w:color w:val="000000" w:themeColor="text1"/>
                <w:sz w:val="20"/>
                <w:szCs w:val="20"/>
              </w:rPr>
              <w:t>Continue to increase transparency in project area selection processes and criteria</w:t>
            </w:r>
            <w:r w:rsidRPr="00FD2B63">
              <w:rPr>
                <w:rFonts w:ascii="Palatino Linotype" w:hAnsi="Palatino Linotype"/>
                <w:color w:val="808080" w:themeColor="background1" w:themeShade="80"/>
                <w:sz w:val="20"/>
                <w:szCs w:val="20"/>
              </w:rPr>
              <w:t>.</w:t>
            </w:r>
          </w:p>
        </w:tc>
      </w:tr>
      <w:tr w:rsidR="00490177" w14:paraId="41837255" w14:textId="77777777">
        <w:tc>
          <w:tcPr>
            <w:tcW w:w="2875" w:type="dxa"/>
          </w:tcPr>
          <w:p w:rsidRPr="00E56DCF" w:rsidR="00490177" w:rsidRDefault="00490177" w14:paraId="5DC2AB93" w14:textId="77777777">
            <w:pPr>
              <w:rPr>
                <w:rFonts w:ascii="Palatino Linotype" w:hAnsi="Palatino Linotype"/>
                <w:sz w:val="20"/>
                <w:szCs w:val="20"/>
              </w:rPr>
            </w:pPr>
            <w:hyperlink w:history="1" r:id="rId20">
              <w:r w:rsidRPr="00543D9F">
                <w:rPr>
                  <w:rStyle w:val="Hyperlink"/>
                  <w:rFonts w:ascii="Palatino Linotype" w:hAnsi="Palatino Linotype"/>
                  <w:sz w:val="20"/>
                  <w:szCs w:val="20"/>
                </w:rPr>
                <w:t>Resolution G-3586</w:t>
              </w:r>
            </w:hyperlink>
            <w:r w:rsidRPr="008E6240">
              <w:rPr>
                <w:rFonts w:ascii="Palatino Linotype" w:hAnsi="Palatino Linotype"/>
                <w:sz w:val="20"/>
                <w:szCs w:val="20"/>
              </w:rPr>
              <w:t xml:space="preserve"> (2022)</w:t>
            </w:r>
            <w:r>
              <w:rPr>
                <w:rFonts w:ascii="Palatino Linotype" w:hAnsi="Palatino Linotype"/>
                <w:sz w:val="20"/>
                <w:szCs w:val="20"/>
              </w:rPr>
              <w:t>:</w:t>
            </w:r>
            <w:r w:rsidRPr="008E6240">
              <w:rPr>
                <w:rFonts w:ascii="Palatino Linotype" w:hAnsi="Palatino Linotype"/>
                <w:sz w:val="20"/>
                <w:szCs w:val="20"/>
              </w:rPr>
              <w:t xml:space="preserve"> Approving SoCalGas’ 2022 Gas RD&amp;D Plan</w:t>
            </w:r>
          </w:p>
        </w:tc>
        <w:tc>
          <w:tcPr>
            <w:tcW w:w="6475" w:type="dxa"/>
          </w:tcPr>
          <w:p w:rsidR="00490177" w:rsidRDefault="00490177" w14:paraId="103D2123" w14:textId="77777777">
            <w:pPr>
              <w:rPr>
                <w:rFonts w:ascii="Palatino Linotype" w:hAnsi="Palatino Linotype"/>
                <w:sz w:val="20"/>
                <w:szCs w:val="20"/>
              </w:rPr>
            </w:pPr>
            <w:r w:rsidRPr="00CA02FE">
              <w:rPr>
                <w:rFonts w:ascii="Palatino Linotype" w:hAnsi="Palatino Linotype"/>
                <w:b/>
                <w:sz w:val="20"/>
                <w:szCs w:val="20"/>
              </w:rPr>
              <w:t>OP 5</w:t>
            </w:r>
            <w:r>
              <w:rPr>
                <w:rFonts w:ascii="Palatino Linotype" w:hAnsi="Palatino Linotype"/>
                <w:sz w:val="20"/>
                <w:szCs w:val="20"/>
              </w:rPr>
              <w:t xml:space="preserve">. </w:t>
            </w:r>
            <w:r w:rsidRPr="00B0476E">
              <w:rPr>
                <w:rFonts w:ascii="Palatino Linotype" w:hAnsi="Palatino Linotype"/>
                <w:sz w:val="20"/>
                <w:szCs w:val="20"/>
              </w:rPr>
              <w:t xml:space="preserve">In subsequent Research Plans, SoCalGas shall provide the following: </w:t>
            </w:r>
          </w:p>
          <w:p w:rsidR="00490177" w:rsidP="00477204" w:rsidRDefault="00490177" w14:paraId="142D036D" w14:textId="77777777">
            <w:pPr>
              <w:pStyle w:val="ListParagraph"/>
              <w:numPr>
                <w:ilvl w:val="0"/>
                <w:numId w:val="26"/>
              </w:numPr>
              <w:rPr>
                <w:rFonts w:ascii="Palatino Linotype" w:hAnsi="Palatino Linotype"/>
                <w:sz w:val="20"/>
                <w:szCs w:val="20"/>
              </w:rPr>
            </w:pPr>
            <w:r w:rsidRPr="00B0476E">
              <w:rPr>
                <w:rFonts w:ascii="Palatino Linotype" w:hAnsi="Palatino Linotype"/>
                <w:sz w:val="20"/>
                <w:szCs w:val="20"/>
              </w:rPr>
              <w:t xml:space="preserve">Provide detail quantifying the amount of program funds already committed and the quantity of program funds that are for projects under development in following years. </w:t>
            </w:r>
          </w:p>
          <w:p w:rsidRPr="00B0476E" w:rsidR="00490177" w:rsidP="00477204" w:rsidRDefault="00490177" w14:paraId="1DE9198F" w14:textId="77777777">
            <w:pPr>
              <w:pStyle w:val="ListParagraph"/>
              <w:numPr>
                <w:ilvl w:val="0"/>
                <w:numId w:val="26"/>
              </w:numPr>
              <w:rPr>
                <w:rFonts w:ascii="Palatino Linotype" w:hAnsi="Palatino Linotype"/>
                <w:i/>
                <w:iCs/>
                <w:sz w:val="20"/>
                <w:szCs w:val="20"/>
              </w:rPr>
            </w:pPr>
            <w:r w:rsidRPr="00B0476E">
              <w:rPr>
                <w:rFonts w:ascii="Palatino Linotype" w:hAnsi="Palatino Linotype"/>
                <w:sz w:val="20"/>
                <w:szCs w:val="20"/>
              </w:rPr>
              <w:t xml:space="preserve">Provide project-level detail about Research Plans with the 16 data fields described in the Discussion sub-section titled </w:t>
            </w:r>
            <w:r w:rsidRPr="00B0476E">
              <w:rPr>
                <w:rFonts w:ascii="Palatino Linotype" w:hAnsi="Palatino Linotype"/>
                <w:i/>
                <w:iCs/>
                <w:sz w:val="20"/>
                <w:szCs w:val="20"/>
              </w:rPr>
              <w:t>Detailed budgets broken down by research subprogram.</w:t>
            </w:r>
          </w:p>
          <w:p w:rsidR="00490177" w:rsidP="00477204" w:rsidRDefault="00490177" w14:paraId="128635D4" w14:textId="77777777">
            <w:pPr>
              <w:pStyle w:val="ListParagraph"/>
              <w:numPr>
                <w:ilvl w:val="0"/>
                <w:numId w:val="26"/>
              </w:numPr>
              <w:rPr>
                <w:rFonts w:ascii="Palatino Linotype" w:hAnsi="Palatino Linotype"/>
                <w:sz w:val="20"/>
                <w:szCs w:val="20"/>
              </w:rPr>
            </w:pPr>
            <w:r w:rsidRPr="00771ADB">
              <w:rPr>
                <w:rFonts w:ascii="Palatino Linotype" w:hAnsi="Palatino Linotype"/>
                <w:sz w:val="20"/>
                <w:szCs w:val="20"/>
              </w:rPr>
              <w:t xml:space="preserve">Provide </w:t>
            </w:r>
            <w:proofErr w:type="gramStart"/>
            <w:r w:rsidRPr="00771ADB">
              <w:rPr>
                <w:rFonts w:ascii="Palatino Linotype" w:hAnsi="Palatino Linotype"/>
                <w:sz w:val="20"/>
                <w:szCs w:val="20"/>
              </w:rPr>
              <w:t>detail</w:t>
            </w:r>
            <w:proofErr w:type="gramEnd"/>
            <w:r w:rsidRPr="00771ADB">
              <w:rPr>
                <w:rFonts w:ascii="Palatino Linotype" w:hAnsi="Palatino Linotype"/>
                <w:sz w:val="20"/>
                <w:szCs w:val="20"/>
              </w:rPr>
              <w:t xml:space="preserve"> about administrative budgets using allowable cost categories that will be developed in a process launched by D.21-11 028 defining allowable EPIC administrative costs.</w:t>
            </w:r>
            <w:r>
              <w:rPr>
                <w:rStyle w:val="FootnoteReference"/>
                <w:rFonts w:ascii="Palatino Linotype" w:hAnsi="Palatino Linotype"/>
                <w:sz w:val="20"/>
                <w:szCs w:val="20"/>
              </w:rPr>
              <w:footnoteReference w:id="165"/>
            </w:r>
            <w:r w:rsidRPr="00771ADB">
              <w:rPr>
                <w:rFonts w:ascii="Palatino Linotype" w:hAnsi="Palatino Linotype"/>
                <w:sz w:val="20"/>
                <w:szCs w:val="20"/>
              </w:rPr>
              <w:t xml:space="preserve"> </w:t>
            </w:r>
          </w:p>
          <w:p w:rsidRPr="00344C7D" w:rsidR="00490177" w:rsidP="00477204" w:rsidRDefault="00490177" w14:paraId="41CBC64E" w14:textId="77777777">
            <w:pPr>
              <w:pStyle w:val="ListParagraph"/>
              <w:numPr>
                <w:ilvl w:val="0"/>
                <w:numId w:val="26"/>
              </w:numPr>
              <w:rPr>
                <w:rFonts w:ascii="Palatino Linotype" w:hAnsi="Palatino Linotype"/>
                <w:sz w:val="20"/>
                <w:szCs w:val="20"/>
              </w:rPr>
            </w:pPr>
            <w:r w:rsidRPr="00771ADB">
              <w:rPr>
                <w:rFonts w:ascii="Palatino Linotype" w:hAnsi="Palatino Linotype"/>
                <w:sz w:val="20"/>
                <w:szCs w:val="20"/>
              </w:rPr>
              <w:t xml:space="preserve">Provide detail quantifying research funding allocations by research consortium, as well as project costs related to each consortium. </w:t>
            </w:r>
          </w:p>
        </w:tc>
      </w:tr>
      <w:tr w:rsidR="00490177" w14:paraId="7B784CBC" w14:textId="77777777">
        <w:tc>
          <w:tcPr>
            <w:tcW w:w="2875" w:type="dxa"/>
            <w:vMerge w:val="restart"/>
          </w:tcPr>
          <w:p w:rsidR="00490177" w:rsidRDefault="00490177" w14:paraId="6AC5F21B" w14:textId="77777777">
            <w:pPr>
              <w:rPr>
                <w:rFonts w:ascii="Palatino Linotype" w:hAnsi="Palatino Linotype"/>
                <w:sz w:val="20"/>
                <w:szCs w:val="20"/>
              </w:rPr>
            </w:pPr>
            <w:hyperlink w:history="1" r:id="rId21">
              <w:r w:rsidRPr="00CA02FE">
                <w:rPr>
                  <w:rStyle w:val="Hyperlink"/>
                  <w:rFonts w:ascii="Palatino Linotype" w:hAnsi="Palatino Linotype"/>
                  <w:sz w:val="20"/>
                  <w:szCs w:val="20"/>
                </w:rPr>
                <w:t>Resolution G-3601</w:t>
              </w:r>
            </w:hyperlink>
            <w:r w:rsidRPr="009D4B1F">
              <w:rPr>
                <w:rFonts w:ascii="Palatino Linotype" w:hAnsi="Palatino Linotype"/>
                <w:sz w:val="20"/>
                <w:szCs w:val="20"/>
              </w:rPr>
              <w:t xml:space="preserve"> (2023)</w:t>
            </w:r>
            <w:r>
              <w:rPr>
                <w:rFonts w:ascii="Palatino Linotype" w:hAnsi="Palatino Linotype"/>
                <w:sz w:val="20"/>
                <w:szCs w:val="20"/>
              </w:rPr>
              <w:t>:</w:t>
            </w:r>
            <w:r w:rsidRPr="009D4B1F">
              <w:rPr>
                <w:rFonts w:ascii="Palatino Linotype" w:hAnsi="Palatino Linotype"/>
                <w:sz w:val="20"/>
                <w:szCs w:val="20"/>
              </w:rPr>
              <w:t xml:space="preserve"> Approving SoCalGas’ 2023 Gas RD&amp;D Plan</w:t>
            </w:r>
          </w:p>
        </w:tc>
        <w:tc>
          <w:tcPr>
            <w:tcW w:w="6475" w:type="dxa"/>
          </w:tcPr>
          <w:p w:rsidRPr="00884F0C" w:rsidR="00490177" w:rsidRDefault="00490177" w14:paraId="46E5DDBC" w14:textId="77777777">
            <w:pPr>
              <w:rPr>
                <w:rFonts w:ascii="Palatino Linotype" w:hAnsi="Palatino Linotype"/>
                <w:sz w:val="20"/>
                <w:szCs w:val="20"/>
              </w:rPr>
            </w:pPr>
            <w:r w:rsidRPr="00884F0C">
              <w:rPr>
                <w:rFonts w:ascii="Palatino Linotype" w:hAnsi="Palatino Linotype"/>
                <w:sz w:val="20"/>
                <w:szCs w:val="20"/>
              </w:rPr>
              <w:t>[SoCalGas shall allocate] $129,938 of [RD&amp;D] funds as a contribution of its proportional share toward a comprehensive Gas RD&amp;D database (</w:t>
            </w:r>
            <w:r w:rsidRPr="008D7721">
              <w:rPr>
                <w:rFonts w:ascii="Palatino Linotype" w:hAnsi="Palatino Linotype"/>
                <w:b/>
                <w:sz w:val="20"/>
                <w:szCs w:val="20"/>
              </w:rPr>
              <w:t>p. 34</w:t>
            </w:r>
            <w:r w:rsidRPr="00884F0C">
              <w:rPr>
                <w:rFonts w:ascii="Palatino Linotype" w:hAnsi="Palatino Linotype"/>
                <w:sz w:val="20"/>
                <w:szCs w:val="20"/>
              </w:rPr>
              <w:t>).</w:t>
            </w:r>
          </w:p>
        </w:tc>
      </w:tr>
      <w:tr w:rsidR="00490177" w14:paraId="31AED88A" w14:textId="77777777">
        <w:tc>
          <w:tcPr>
            <w:tcW w:w="2875" w:type="dxa"/>
            <w:vMerge/>
          </w:tcPr>
          <w:p w:rsidR="00490177" w:rsidRDefault="00490177" w14:paraId="5124C786" w14:textId="77777777">
            <w:pPr>
              <w:rPr>
                <w:rFonts w:ascii="Palatino Linotype" w:hAnsi="Palatino Linotype"/>
                <w:sz w:val="20"/>
                <w:szCs w:val="20"/>
              </w:rPr>
            </w:pPr>
          </w:p>
        </w:tc>
        <w:tc>
          <w:tcPr>
            <w:tcW w:w="6475" w:type="dxa"/>
          </w:tcPr>
          <w:p w:rsidR="00490177" w:rsidRDefault="00490177" w14:paraId="0B074A02" w14:textId="77777777">
            <w:pPr>
              <w:rPr>
                <w:rFonts w:ascii="Palatino Linotype" w:hAnsi="Palatino Linotype"/>
                <w:b/>
                <w:bCs w:val="0"/>
                <w:sz w:val="20"/>
                <w:szCs w:val="20"/>
              </w:rPr>
            </w:pPr>
            <w:r w:rsidRPr="00F281D2">
              <w:rPr>
                <w:rFonts w:ascii="Palatino Linotype" w:hAnsi="Palatino Linotype"/>
                <w:b/>
                <w:sz w:val="20"/>
                <w:szCs w:val="20"/>
              </w:rPr>
              <w:t xml:space="preserve">OP 4. </w:t>
            </w:r>
            <w:r w:rsidRPr="00F281D2">
              <w:rPr>
                <w:rFonts w:ascii="Palatino Linotype" w:hAnsi="Palatino Linotype"/>
                <w:sz w:val="20"/>
                <w:szCs w:val="20"/>
              </w:rPr>
              <w:t xml:space="preserve">Southern California Gas Company (SoCalGas) shall allocate 4% ($675,000) of its 2023 Gas Research, Development, and Demonstration (RD&amp;D) funds to fund a comprehensive evaluation of SoCalGas’ Gas RD&amp;D program to be implemented by Energy Division. Energy Division staff </w:t>
            </w:r>
            <w:proofErr w:type="gramStart"/>
            <w:r w:rsidRPr="00F281D2">
              <w:rPr>
                <w:rFonts w:ascii="Palatino Linotype" w:hAnsi="Palatino Linotype"/>
                <w:sz w:val="20"/>
                <w:szCs w:val="20"/>
              </w:rPr>
              <w:t>shall</w:t>
            </w:r>
            <w:proofErr w:type="gramEnd"/>
            <w:r w:rsidRPr="00F281D2">
              <w:rPr>
                <w:rFonts w:ascii="Palatino Linotype" w:hAnsi="Palatino Linotype"/>
                <w:sz w:val="20"/>
                <w:szCs w:val="20"/>
              </w:rPr>
              <w:t xml:space="preserve"> develop a scope of work, issue a request for proposal, and hire and manage the contractor. Staff may create efficiencies by utilizing a fiscal manager and evaluating all Gas RD&amp;D administrators through a comprehensive evaluation process.</w:t>
            </w:r>
          </w:p>
        </w:tc>
      </w:tr>
      <w:tr w:rsidR="00490177" w14:paraId="26B7DC76" w14:textId="77777777">
        <w:tc>
          <w:tcPr>
            <w:tcW w:w="2875" w:type="dxa"/>
            <w:vMerge/>
          </w:tcPr>
          <w:p w:rsidRPr="00E56DCF" w:rsidR="00490177" w:rsidRDefault="00490177" w14:paraId="1BB5E73F" w14:textId="77777777">
            <w:pPr>
              <w:rPr>
                <w:rFonts w:ascii="Palatino Linotype" w:hAnsi="Palatino Linotype"/>
                <w:sz w:val="20"/>
                <w:szCs w:val="20"/>
              </w:rPr>
            </w:pPr>
          </w:p>
        </w:tc>
        <w:tc>
          <w:tcPr>
            <w:tcW w:w="6475" w:type="dxa"/>
          </w:tcPr>
          <w:p w:rsidRPr="008D7721" w:rsidR="00490177" w:rsidRDefault="00490177" w14:paraId="2C752FCF" w14:textId="77777777">
            <w:pPr>
              <w:rPr>
                <w:rFonts w:ascii="Palatino Linotype" w:hAnsi="Palatino Linotype"/>
                <w:b/>
                <w:bCs w:val="0"/>
                <w:sz w:val="20"/>
                <w:szCs w:val="20"/>
              </w:rPr>
            </w:pPr>
            <w:r w:rsidRPr="00F281D2">
              <w:rPr>
                <w:rFonts w:ascii="Palatino Linotype" w:hAnsi="Palatino Linotype"/>
                <w:b/>
                <w:sz w:val="20"/>
                <w:szCs w:val="20"/>
              </w:rPr>
              <w:t xml:space="preserve">OP 5. </w:t>
            </w:r>
            <w:proofErr w:type="gramStart"/>
            <w:r w:rsidRPr="00F281D2">
              <w:rPr>
                <w:rFonts w:ascii="Palatino Linotype" w:hAnsi="Palatino Linotype"/>
                <w:sz w:val="20"/>
                <w:szCs w:val="20"/>
              </w:rPr>
              <w:t>All of</w:t>
            </w:r>
            <w:proofErr w:type="gramEnd"/>
            <w:r w:rsidRPr="00F281D2">
              <w:rPr>
                <w:rFonts w:ascii="Palatino Linotype" w:hAnsi="Palatino Linotype"/>
                <w:sz w:val="20"/>
                <w:szCs w:val="20"/>
              </w:rPr>
              <w:t xml:space="preserve"> Southern California Gas Company’s new and future Research, Development, and Demonstration projects shall occur in the State of California. The only exception may be made for projects with out-of-state federal labs. In this case, SoCalGas shall explicitly justify benefits to its gas ratepayers of an out-of-state project in its Tier 3 Advice Letter annual plan.</w:t>
            </w:r>
          </w:p>
        </w:tc>
      </w:tr>
      <w:tr w:rsidR="00490177" w14:paraId="767518AD" w14:textId="77777777">
        <w:tc>
          <w:tcPr>
            <w:tcW w:w="2875" w:type="dxa"/>
            <w:vMerge/>
          </w:tcPr>
          <w:p w:rsidR="00490177" w:rsidRDefault="00490177" w14:paraId="7691608C" w14:textId="77777777">
            <w:pPr>
              <w:rPr>
                <w:rFonts w:ascii="Palatino Linotype" w:hAnsi="Palatino Linotype"/>
                <w:sz w:val="20"/>
                <w:szCs w:val="20"/>
              </w:rPr>
            </w:pPr>
          </w:p>
        </w:tc>
        <w:tc>
          <w:tcPr>
            <w:tcW w:w="6475" w:type="dxa"/>
          </w:tcPr>
          <w:p w:rsidR="00490177" w:rsidRDefault="00490177" w14:paraId="4231D837" w14:textId="77777777">
            <w:pPr>
              <w:rPr>
                <w:rFonts w:ascii="Palatino Linotype" w:hAnsi="Palatino Linotype"/>
                <w:sz w:val="20"/>
                <w:szCs w:val="20"/>
              </w:rPr>
            </w:pPr>
            <w:r w:rsidRPr="00EF1499">
              <w:rPr>
                <w:rFonts w:ascii="Palatino Linotype" w:hAnsi="Palatino Linotype"/>
                <w:b/>
                <w:sz w:val="20"/>
                <w:szCs w:val="20"/>
              </w:rPr>
              <w:t>OP 6</w:t>
            </w:r>
            <w:r>
              <w:rPr>
                <w:rFonts w:ascii="Palatino Linotype" w:hAnsi="Palatino Linotype"/>
                <w:sz w:val="20"/>
                <w:szCs w:val="20"/>
              </w:rPr>
              <w:t xml:space="preserve">. </w:t>
            </w:r>
            <w:r w:rsidRPr="00571941">
              <w:rPr>
                <w:rFonts w:ascii="Palatino Linotype" w:hAnsi="Palatino Linotype"/>
                <w:sz w:val="20"/>
                <w:szCs w:val="20"/>
              </w:rPr>
              <w:t xml:space="preserve">In its 2024 Gas Research, Development, and Demonstration (RD&amp;D) Research Plan and beyond, Southern California Gas Company (SoCalGas) shall: </w:t>
            </w:r>
          </w:p>
          <w:p w:rsidR="00490177" w:rsidP="00477204" w:rsidRDefault="00490177" w14:paraId="0D408B7A" w14:textId="77777777">
            <w:pPr>
              <w:pStyle w:val="ListParagraph"/>
              <w:numPr>
                <w:ilvl w:val="0"/>
                <w:numId w:val="27"/>
              </w:numPr>
              <w:rPr>
                <w:rFonts w:ascii="Palatino Linotype" w:hAnsi="Palatino Linotype"/>
                <w:sz w:val="20"/>
                <w:szCs w:val="20"/>
              </w:rPr>
            </w:pPr>
            <w:r w:rsidRPr="00F281D2">
              <w:rPr>
                <w:rFonts w:ascii="Palatino Linotype" w:hAnsi="Palatino Linotype"/>
                <w:sz w:val="20"/>
                <w:szCs w:val="20"/>
              </w:rPr>
              <w:lastRenderedPageBreak/>
              <w:t xml:space="preserve">Meet with Energy Division at least six weeks of submitting its annual RD&amp;D Plan to present its proposed Plan and incorporate Energy Division feedback. At that time SoCalGas’ proposed Plan should reflect input from RD&amp;D administrator coordination and broad stakeholders including the research and ESJ communities. </w:t>
            </w:r>
          </w:p>
          <w:p w:rsidR="00490177" w:rsidP="00477204" w:rsidRDefault="00490177" w14:paraId="00338477" w14:textId="77777777">
            <w:pPr>
              <w:pStyle w:val="ListParagraph"/>
              <w:numPr>
                <w:ilvl w:val="0"/>
                <w:numId w:val="27"/>
              </w:numPr>
              <w:rPr>
                <w:rFonts w:ascii="Palatino Linotype" w:hAnsi="Palatino Linotype"/>
                <w:sz w:val="20"/>
                <w:szCs w:val="20"/>
              </w:rPr>
            </w:pPr>
            <w:r w:rsidRPr="00571941">
              <w:rPr>
                <w:rFonts w:ascii="Palatino Linotype" w:hAnsi="Palatino Linotype"/>
                <w:sz w:val="20"/>
                <w:szCs w:val="20"/>
              </w:rPr>
              <w:t>Explicitly justify how all consortia dues benefit gas ratepayers.</w:t>
            </w:r>
            <w:r>
              <w:rPr>
                <w:rStyle w:val="FootnoteReference"/>
                <w:rFonts w:ascii="Palatino Linotype" w:hAnsi="Palatino Linotype"/>
                <w:sz w:val="20"/>
                <w:szCs w:val="20"/>
              </w:rPr>
              <w:footnoteReference w:id="166"/>
            </w:r>
          </w:p>
          <w:p w:rsidR="00490177" w:rsidP="00477204" w:rsidRDefault="00490177" w14:paraId="536D8519" w14:textId="77777777">
            <w:pPr>
              <w:pStyle w:val="ListParagraph"/>
              <w:numPr>
                <w:ilvl w:val="0"/>
                <w:numId w:val="27"/>
              </w:numPr>
              <w:rPr>
                <w:rFonts w:ascii="Palatino Linotype" w:hAnsi="Palatino Linotype"/>
                <w:sz w:val="20"/>
                <w:szCs w:val="20"/>
              </w:rPr>
            </w:pPr>
            <w:r w:rsidRPr="00EF1499">
              <w:rPr>
                <w:rFonts w:ascii="Palatino Linotype" w:hAnsi="Palatino Linotype"/>
                <w:sz w:val="20"/>
                <w:szCs w:val="20"/>
              </w:rPr>
              <w:t>Elaborate on the results of its RD&amp;D projects. SoCalGas shall describe how results are used to address the state’s climate goals,</w:t>
            </w:r>
            <w:r>
              <w:rPr>
                <w:rStyle w:val="FootnoteReference"/>
                <w:rFonts w:ascii="Palatino Linotype" w:hAnsi="Palatino Linotype"/>
                <w:sz w:val="20"/>
                <w:szCs w:val="20"/>
              </w:rPr>
              <w:footnoteReference w:id="167"/>
            </w:r>
            <w:r w:rsidRPr="00EF1499">
              <w:rPr>
                <w:rFonts w:ascii="Palatino Linotype" w:hAnsi="Palatino Linotype"/>
                <w:sz w:val="20"/>
                <w:szCs w:val="20"/>
              </w:rPr>
              <w:t xml:space="preserve"> how its research project results are scaled/commercialized,</w:t>
            </w:r>
            <w:r>
              <w:rPr>
                <w:rStyle w:val="FootnoteReference"/>
                <w:rFonts w:ascii="Palatino Linotype" w:hAnsi="Palatino Linotype"/>
                <w:sz w:val="20"/>
                <w:szCs w:val="20"/>
              </w:rPr>
              <w:footnoteReference w:id="168"/>
            </w:r>
            <w:r w:rsidRPr="00EF1499">
              <w:rPr>
                <w:rFonts w:ascii="Palatino Linotype" w:hAnsi="Palatino Linotype"/>
                <w:sz w:val="20"/>
                <w:szCs w:val="20"/>
              </w:rPr>
              <w:t xml:space="preserve"> and how SoCalGas measures the impacts of its research. </w:t>
            </w:r>
          </w:p>
          <w:p w:rsidR="00490177" w:rsidP="00477204" w:rsidRDefault="00490177" w14:paraId="2B97EEF2" w14:textId="77777777">
            <w:pPr>
              <w:pStyle w:val="ListParagraph"/>
              <w:numPr>
                <w:ilvl w:val="0"/>
                <w:numId w:val="27"/>
              </w:numPr>
              <w:rPr>
                <w:rFonts w:ascii="Palatino Linotype" w:hAnsi="Palatino Linotype"/>
                <w:sz w:val="20"/>
                <w:szCs w:val="20"/>
              </w:rPr>
            </w:pPr>
            <w:r w:rsidRPr="00EF1499">
              <w:rPr>
                <w:rFonts w:ascii="Palatino Linotype" w:hAnsi="Palatino Linotype"/>
                <w:sz w:val="20"/>
                <w:szCs w:val="20"/>
              </w:rPr>
              <w:t>Itemize and include more detail about how it incorporated proposals and feedback on research ideas proposed by stakeholders at its Annual Stakeholder workshop, including disadvantaged communities. SoCalGas should otherwise explain why it did not incorporate stakeholder input.</w:t>
            </w:r>
            <w:r>
              <w:rPr>
                <w:rStyle w:val="FootnoteReference"/>
                <w:rFonts w:ascii="Palatino Linotype" w:hAnsi="Palatino Linotype"/>
                <w:sz w:val="20"/>
                <w:szCs w:val="20"/>
              </w:rPr>
              <w:footnoteReference w:id="169"/>
            </w:r>
            <w:r w:rsidRPr="00EF1499">
              <w:rPr>
                <w:rFonts w:ascii="Palatino Linotype" w:hAnsi="Palatino Linotype"/>
                <w:sz w:val="20"/>
                <w:szCs w:val="20"/>
              </w:rPr>
              <w:t xml:space="preserve"> </w:t>
            </w:r>
          </w:p>
          <w:p w:rsidR="00490177" w:rsidP="00477204" w:rsidRDefault="00490177" w14:paraId="7EB67A20" w14:textId="2EFA0B62">
            <w:pPr>
              <w:pStyle w:val="ListParagraph"/>
              <w:numPr>
                <w:ilvl w:val="0"/>
                <w:numId w:val="27"/>
              </w:numPr>
              <w:rPr>
                <w:rFonts w:ascii="Palatino Linotype" w:hAnsi="Palatino Linotype"/>
                <w:sz w:val="20"/>
                <w:szCs w:val="20"/>
              </w:rPr>
            </w:pPr>
            <w:r w:rsidRPr="00EF1499">
              <w:rPr>
                <w:rFonts w:ascii="Palatino Linotype" w:hAnsi="Palatino Linotype"/>
                <w:sz w:val="20"/>
                <w:szCs w:val="20"/>
              </w:rPr>
              <w:t>Modify the term “benefits analysis framework” to “uniform impact analysis framework” to better explain the Commission’s intent. SoCalGas shall implement the uniform impacts analysis framework approved in Appendix A of Decision (D.) 23-04-042, as relevant for Gas RD&amp;D, to allow for tracking and evaluating the quantitative impacts of all Gas RD&amp;D projects.</w:t>
            </w:r>
            <w:r>
              <w:rPr>
                <w:rStyle w:val="FootnoteReference"/>
                <w:rFonts w:ascii="Palatino Linotype" w:hAnsi="Palatino Linotype"/>
                <w:sz w:val="20"/>
                <w:szCs w:val="20"/>
              </w:rPr>
              <w:footnoteReference w:id="170"/>
            </w:r>
            <w:r w:rsidRPr="00EF1499">
              <w:rPr>
                <w:rFonts w:ascii="Palatino Linotype" w:hAnsi="Palatino Linotype"/>
                <w:sz w:val="20"/>
                <w:szCs w:val="20"/>
              </w:rPr>
              <w:t xml:space="preserve"> </w:t>
            </w:r>
          </w:p>
          <w:p w:rsidR="00490177" w:rsidP="00477204" w:rsidRDefault="00490177" w14:paraId="39781104" w14:textId="77777777">
            <w:pPr>
              <w:pStyle w:val="ListParagraph"/>
              <w:numPr>
                <w:ilvl w:val="0"/>
                <w:numId w:val="27"/>
              </w:numPr>
              <w:rPr>
                <w:rFonts w:ascii="Palatino Linotype" w:hAnsi="Palatino Linotype"/>
                <w:sz w:val="20"/>
                <w:szCs w:val="20"/>
              </w:rPr>
            </w:pPr>
            <w:r w:rsidRPr="00EF1499">
              <w:rPr>
                <w:rFonts w:ascii="Palatino Linotype" w:hAnsi="Palatino Linotype"/>
                <w:sz w:val="20"/>
                <w:szCs w:val="20"/>
              </w:rPr>
              <w:t xml:space="preserve">Use the Disadvantaged Communities Advisory Group’s (DACAG) Equity Framework for guidance on how to develop research projects that benefit Environmental and Social Justice (ESJ) communities as well as engage with disadvantaged, low-income, and tribal communities. SoCalGas shall demonstrate in its research plan how it applied the DACAG’s Equity Framework and offer to brief DACAG members on its annual gas research, development, and demonstration (RD&amp;D) proposals. Further, </w:t>
            </w:r>
            <w:r w:rsidRPr="00EF1499">
              <w:rPr>
                <w:rFonts w:ascii="Palatino Linotype" w:hAnsi="Palatino Linotype"/>
                <w:sz w:val="20"/>
                <w:szCs w:val="20"/>
              </w:rPr>
              <w:lastRenderedPageBreak/>
              <w:t xml:space="preserve">SoCalGas shall describe the benefits and impacts of its RD&amp;D work in ESJ communities in its annual Plan. </w:t>
            </w:r>
          </w:p>
          <w:p w:rsidR="00490177" w:rsidP="00477204" w:rsidRDefault="00490177" w14:paraId="4E3195CD" w14:textId="77777777">
            <w:pPr>
              <w:pStyle w:val="ListParagraph"/>
              <w:numPr>
                <w:ilvl w:val="0"/>
                <w:numId w:val="27"/>
              </w:numPr>
              <w:rPr>
                <w:rFonts w:ascii="Palatino Linotype" w:hAnsi="Palatino Linotype"/>
                <w:sz w:val="20"/>
                <w:szCs w:val="20"/>
              </w:rPr>
            </w:pPr>
            <w:r w:rsidRPr="00EF1499">
              <w:rPr>
                <w:rFonts w:ascii="Palatino Linotype" w:hAnsi="Palatino Linotype"/>
                <w:sz w:val="20"/>
                <w:szCs w:val="20"/>
              </w:rPr>
              <w:t>Demonstrate that it has consulted with ESJ communities in advance of developing research projects to ensure projects are effective in realizing benefits for ESJ communities.</w:t>
            </w:r>
            <w:r>
              <w:rPr>
                <w:rStyle w:val="FootnoteReference"/>
                <w:rFonts w:ascii="Palatino Linotype" w:hAnsi="Palatino Linotype"/>
                <w:sz w:val="20"/>
                <w:szCs w:val="20"/>
              </w:rPr>
              <w:footnoteReference w:id="171"/>
            </w:r>
            <w:r w:rsidRPr="00EF1499">
              <w:rPr>
                <w:rFonts w:ascii="Palatino Linotype" w:hAnsi="Palatino Linotype"/>
                <w:sz w:val="20"/>
                <w:szCs w:val="20"/>
              </w:rPr>
              <w:t xml:space="preserve"> In its workshop to solicit stakeholder feedback on its future Gas RD&amp;D plans, SoCalGas shall consult with Energy Division in curating an ESJ community advisory workshop panel to be consulted in a public workshop prior to submitting its annual Gas RD&amp;D Plan to the Commission. SoCalGas shall explore compensation strategies for its advisory panel.</w:t>
            </w:r>
          </w:p>
          <w:p w:rsidR="00490177" w:rsidP="00477204" w:rsidRDefault="00490177" w14:paraId="5F4CC106" w14:textId="1FBBA12E">
            <w:pPr>
              <w:pStyle w:val="ListParagraph"/>
              <w:numPr>
                <w:ilvl w:val="0"/>
                <w:numId w:val="27"/>
              </w:numPr>
              <w:rPr>
                <w:rFonts w:ascii="Palatino Linotype" w:hAnsi="Palatino Linotype"/>
                <w:sz w:val="20"/>
                <w:szCs w:val="20"/>
              </w:rPr>
            </w:pPr>
            <w:r w:rsidRPr="00EF1499">
              <w:rPr>
                <w:rFonts w:ascii="Palatino Linotype" w:hAnsi="Palatino Linotype"/>
                <w:sz w:val="20"/>
                <w:szCs w:val="20"/>
              </w:rPr>
              <w:t>Demonstrate that any hydrogen programs and projects utilize clean renewable hydrogen, consistent with the definition given in D.22-12-057, or the Commission’s successor definition for clean hydrogen.</w:t>
            </w:r>
          </w:p>
          <w:p w:rsidRPr="008D7721" w:rsidR="00490177" w:rsidP="00477204" w:rsidRDefault="00490177" w14:paraId="1E95DE12" w14:textId="77777777">
            <w:pPr>
              <w:pStyle w:val="ListParagraph"/>
              <w:numPr>
                <w:ilvl w:val="0"/>
                <w:numId w:val="27"/>
              </w:numPr>
              <w:rPr>
                <w:rFonts w:ascii="Palatino Linotype" w:hAnsi="Palatino Linotype"/>
                <w:sz w:val="20"/>
                <w:szCs w:val="20"/>
              </w:rPr>
            </w:pPr>
            <w:r w:rsidRPr="008D7721">
              <w:rPr>
                <w:rFonts w:ascii="Palatino Linotype" w:hAnsi="Palatino Linotype"/>
                <w:sz w:val="20"/>
                <w:szCs w:val="20"/>
              </w:rPr>
              <w:t>Demonstrate how SoCalGas coordinates in advance with other gas RD&amp;D program administrators to ensure efficiencies, avoid duplication, and optimize research that benefits California ratepayers.</w:t>
            </w:r>
            <w:r>
              <w:rPr>
                <w:rStyle w:val="FootnoteReference"/>
                <w:rFonts w:ascii="Palatino Linotype" w:hAnsi="Palatino Linotype"/>
                <w:sz w:val="20"/>
                <w:szCs w:val="20"/>
              </w:rPr>
              <w:footnoteReference w:id="172"/>
            </w:r>
          </w:p>
        </w:tc>
      </w:tr>
    </w:tbl>
    <w:p w:rsidR="0059018A" w:rsidP="00A76F4A" w:rsidRDefault="0059018A" w14:paraId="48794F30" w14:textId="77777777">
      <w:pPr>
        <w:keepNext/>
        <w:spacing w:after="0" w:line="240" w:lineRule="auto"/>
        <w:rPr>
          <w:rFonts w:ascii="Palatino Linotype" w:hAnsi="Palatino Linotype" w:eastAsia="Palatino Linotype" w:cs="Times New Roman"/>
        </w:rPr>
        <w:sectPr w:rsidR="0059018A" w:rsidSect="0044638C">
          <w:footerReference w:type="default" r:id="rId22"/>
          <w:pgSz w:w="12240" w:h="15840"/>
          <w:pgMar w:top="1440" w:right="1440" w:bottom="1440" w:left="1440" w:header="720" w:footer="720" w:gutter="0"/>
          <w:cols w:space="720"/>
          <w:titlePg/>
          <w:docGrid w:linePitch="360"/>
        </w:sectPr>
      </w:pPr>
    </w:p>
    <w:p w:rsidR="00352665" w:rsidP="00F037E0" w:rsidRDefault="00352665" w14:paraId="403553A8" w14:textId="77777777">
      <w:pPr>
        <w:rPr>
          <w:rFonts w:ascii="Palatino Linotype" w:hAnsi="Palatino Linotype"/>
          <w:b/>
          <w:bCs/>
        </w:rPr>
      </w:pPr>
    </w:p>
    <w:p w:rsidR="00352665" w:rsidP="00F037E0" w:rsidRDefault="00352665" w14:paraId="4FE56E41" w14:textId="77777777">
      <w:pPr>
        <w:rPr>
          <w:rFonts w:ascii="Palatino Linotype" w:hAnsi="Palatino Linotype"/>
          <w:b/>
          <w:bCs/>
        </w:rPr>
      </w:pPr>
    </w:p>
    <w:p w:rsidR="00352665" w:rsidP="00F037E0" w:rsidRDefault="00352665" w14:paraId="7E60D26D" w14:textId="77777777">
      <w:pPr>
        <w:rPr>
          <w:rFonts w:ascii="Palatino Linotype" w:hAnsi="Palatino Linotype"/>
          <w:b/>
          <w:bCs/>
        </w:rPr>
      </w:pPr>
    </w:p>
    <w:p w:rsidR="00352665" w:rsidP="00F037E0" w:rsidRDefault="00352665" w14:paraId="32ED884E" w14:textId="77777777">
      <w:pPr>
        <w:rPr>
          <w:rFonts w:ascii="Palatino Linotype" w:hAnsi="Palatino Linotype"/>
          <w:b/>
          <w:bCs/>
        </w:rPr>
      </w:pPr>
    </w:p>
    <w:p w:rsidR="00352665" w:rsidP="00F037E0" w:rsidRDefault="00352665" w14:paraId="69E2D433" w14:textId="77777777">
      <w:pPr>
        <w:rPr>
          <w:rFonts w:ascii="Palatino Linotype" w:hAnsi="Palatino Linotype"/>
          <w:b/>
          <w:bCs/>
        </w:rPr>
      </w:pPr>
    </w:p>
    <w:p w:rsidRPr="008D66AE" w:rsidR="00923F5D" w:rsidP="00923F5D" w:rsidRDefault="00923F5D" w14:paraId="387B1254" w14:textId="4B58AB7D">
      <w:pPr>
        <w:ind w:right="90"/>
        <w:jc w:val="center"/>
        <w:rPr>
          <w:rFonts w:ascii="Palatino Linotype" w:hAnsi="Palatino Linotype"/>
          <w:b/>
          <w:bCs/>
          <w:color w:val="000000" w:themeColor="text1"/>
          <w:sz w:val="44"/>
          <w:szCs w:val="44"/>
        </w:rPr>
      </w:pPr>
      <w:r w:rsidRPr="008D66AE">
        <w:rPr>
          <w:rFonts w:ascii="Palatino Linotype" w:hAnsi="Palatino Linotype"/>
          <w:b/>
          <w:bCs/>
          <w:color w:val="000000" w:themeColor="text1"/>
          <w:sz w:val="44"/>
          <w:szCs w:val="44"/>
        </w:rPr>
        <w:t xml:space="preserve">APPENDIX </w:t>
      </w:r>
      <w:r>
        <w:rPr>
          <w:rFonts w:ascii="Palatino Linotype" w:hAnsi="Palatino Linotype"/>
          <w:b/>
          <w:bCs/>
          <w:color w:val="000000" w:themeColor="text1"/>
          <w:sz w:val="44"/>
          <w:szCs w:val="44"/>
        </w:rPr>
        <w:t>C</w:t>
      </w:r>
    </w:p>
    <w:p w:rsidR="00352665" w:rsidP="00F037E0" w:rsidRDefault="00352665" w14:paraId="42C0379B" w14:textId="77777777">
      <w:pPr>
        <w:rPr>
          <w:rFonts w:ascii="Palatino Linotype" w:hAnsi="Palatino Linotype"/>
          <w:b/>
          <w:bCs/>
        </w:rPr>
      </w:pPr>
    </w:p>
    <w:p w:rsidR="00352665" w:rsidP="00F037E0" w:rsidRDefault="00352665" w14:paraId="29CEF775" w14:textId="77777777">
      <w:pPr>
        <w:rPr>
          <w:rFonts w:ascii="Palatino Linotype" w:hAnsi="Palatino Linotype"/>
          <w:b/>
          <w:bCs/>
        </w:rPr>
      </w:pPr>
    </w:p>
    <w:p w:rsidR="00352665" w:rsidP="00F037E0" w:rsidRDefault="00352665" w14:paraId="5CFB53A3" w14:textId="77777777">
      <w:pPr>
        <w:rPr>
          <w:rFonts w:ascii="Palatino Linotype" w:hAnsi="Palatino Linotype"/>
          <w:b/>
          <w:bCs/>
        </w:rPr>
      </w:pPr>
    </w:p>
    <w:p w:rsidR="00352665" w:rsidP="00F037E0" w:rsidRDefault="00352665" w14:paraId="7AFB3E0A" w14:textId="77777777">
      <w:pPr>
        <w:rPr>
          <w:rFonts w:ascii="Palatino Linotype" w:hAnsi="Palatino Linotype"/>
          <w:b/>
          <w:bCs/>
        </w:rPr>
      </w:pPr>
    </w:p>
    <w:p w:rsidR="00352665" w:rsidP="00F037E0" w:rsidRDefault="00352665" w14:paraId="1387FB93" w14:textId="77777777">
      <w:pPr>
        <w:rPr>
          <w:rFonts w:ascii="Palatino Linotype" w:hAnsi="Palatino Linotype"/>
          <w:b/>
          <w:bCs/>
        </w:rPr>
        <w:sectPr w:rsidR="00352665" w:rsidSect="00A67BD1">
          <w:headerReference w:type="default" r:id="rId23"/>
          <w:footerReference w:type="first" r:id="rId24"/>
          <w:pgSz w:w="12240" w:h="15840"/>
          <w:pgMar w:top="1440" w:right="1440" w:bottom="1440" w:left="1440" w:header="720" w:footer="720" w:gutter="0"/>
          <w:pgNumType w:start="1"/>
          <w:cols w:space="720"/>
          <w:titlePg/>
          <w:docGrid w:linePitch="360"/>
        </w:sectPr>
      </w:pPr>
    </w:p>
    <w:p w:rsidRPr="004C5DBB" w:rsidR="00F037E0" w:rsidP="00F037E0" w:rsidRDefault="00F037E0" w14:paraId="506FDE8C" w14:textId="30C46FA1">
      <w:pPr>
        <w:rPr>
          <w:rFonts w:ascii="Palatino Linotype" w:hAnsi="Palatino Linotype"/>
          <w:b/>
          <w:bCs/>
        </w:rPr>
      </w:pPr>
      <w:r w:rsidRPr="004C5DBB">
        <w:rPr>
          <w:rFonts w:ascii="Palatino Linotype" w:hAnsi="Palatino Linotype"/>
          <w:b/>
          <w:bCs/>
        </w:rPr>
        <w:lastRenderedPageBreak/>
        <w:t>APPENDIX</w:t>
      </w:r>
      <w:r w:rsidRPr="004C5DBB">
        <w:rPr>
          <w:rFonts w:ascii="Palatino Linotype" w:hAnsi="Palatino Linotype"/>
          <w:b/>
          <w:bCs/>
          <w:color w:val="000000" w:themeColor="text1"/>
        </w:rPr>
        <w:t xml:space="preserve"> </w:t>
      </w:r>
      <w:r>
        <w:rPr>
          <w:rFonts w:ascii="Palatino Linotype" w:hAnsi="Palatino Linotype"/>
          <w:b/>
          <w:bCs/>
          <w:color w:val="000000" w:themeColor="text1"/>
        </w:rPr>
        <w:t>C</w:t>
      </w:r>
      <w:r w:rsidRPr="004C5DBB">
        <w:rPr>
          <w:rFonts w:ascii="Palatino Linotype" w:hAnsi="Palatino Linotype"/>
          <w:b/>
          <w:bCs/>
        </w:rPr>
        <w:t>: Administrative Budget Cost Categories</w:t>
      </w:r>
    </w:p>
    <w:tbl>
      <w:tblPr>
        <w:tblStyle w:val="TableGrid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5"/>
        <w:gridCol w:w="2430"/>
      </w:tblGrid>
      <w:tr w:rsidRPr="004C5DBB" w:rsidR="00F037E0" w14:paraId="23FFA8D2" w14:textId="77777777">
        <w:trPr>
          <w:trHeight w:val="288"/>
        </w:trPr>
        <w:tc>
          <w:tcPr>
            <w:tcW w:w="6925" w:type="dxa"/>
            <w:vAlign w:val="center"/>
          </w:tcPr>
          <w:p w:rsidRPr="004C5DBB" w:rsidR="00F037E0" w:rsidRDefault="00F037E0" w14:paraId="6EB97BE5" w14:textId="77777777">
            <w:pPr>
              <w:spacing w:line="276" w:lineRule="auto"/>
              <w:rPr>
                <w:rFonts w:ascii="Palatino Linotype" w:hAnsi="Palatino Linotype"/>
                <w:b/>
                <w:sz w:val="22"/>
                <w:szCs w:val="22"/>
              </w:rPr>
            </w:pPr>
            <w:r w:rsidRPr="004C5DBB">
              <w:rPr>
                <w:rFonts w:ascii="Palatino Linotype" w:hAnsi="Palatino Linotype"/>
                <w:b/>
                <w:sz w:val="22"/>
                <w:szCs w:val="22"/>
              </w:rPr>
              <w:t>Program Administrative Cost Budget Item</w:t>
            </w:r>
          </w:p>
        </w:tc>
        <w:tc>
          <w:tcPr>
            <w:tcW w:w="2430" w:type="dxa"/>
            <w:vAlign w:val="center"/>
          </w:tcPr>
          <w:p w:rsidRPr="004C5DBB" w:rsidR="00F037E0" w:rsidRDefault="00F037E0" w14:paraId="5CD2F4A1" w14:textId="77777777">
            <w:pPr>
              <w:spacing w:line="276" w:lineRule="auto"/>
              <w:rPr>
                <w:rFonts w:ascii="Palatino Linotype" w:hAnsi="Palatino Linotype"/>
                <w:b/>
                <w:sz w:val="22"/>
                <w:szCs w:val="22"/>
              </w:rPr>
            </w:pPr>
            <w:r w:rsidRPr="004C5DBB">
              <w:rPr>
                <w:rFonts w:ascii="Palatino Linotype" w:hAnsi="Palatino Linotype"/>
                <w:b/>
                <w:sz w:val="22"/>
                <w:szCs w:val="22"/>
              </w:rPr>
              <w:t>Calendar Year ($)</w:t>
            </w:r>
          </w:p>
        </w:tc>
      </w:tr>
      <w:tr w:rsidRPr="004C5DBB" w:rsidR="00F037E0" w14:paraId="7AD4CFA0" w14:textId="77777777">
        <w:trPr>
          <w:trHeight w:val="288"/>
        </w:trPr>
        <w:tc>
          <w:tcPr>
            <w:tcW w:w="6925" w:type="dxa"/>
            <w:vAlign w:val="center"/>
          </w:tcPr>
          <w:p w:rsidRPr="004C5DBB" w:rsidR="00F037E0" w:rsidRDefault="00F037E0" w14:paraId="21FC3C16" w14:textId="77777777">
            <w:pPr>
              <w:spacing w:line="276" w:lineRule="auto"/>
              <w:rPr>
                <w:rFonts w:ascii="Palatino Linotype" w:hAnsi="Palatino Linotype"/>
                <w:sz w:val="22"/>
                <w:szCs w:val="22"/>
              </w:rPr>
            </w:pPr>
            <w:r w:rsidRPr="004C5DBB">
              <w:rPr>
                <w:rFonts w:ascii="Palatino Linotype" w:hAnsi="Palatino Linotype"/>
                <w:sz w:val="22"/>
                <w:szCs w:val="22"/>
              </w:rPr>
              <w:t>Investment Plan Development</w:t>
            </w:r>
          </w:p>
        </w:tc>
        <w:tc>
          <w:tcPr>
            <w:tcW w:w="2430" w:type="dxa"/>
            <w:vAlign w:val="center"/>
          </w:tcPr>
          <w:p w:rsidRPr="004C5DBB" w:rsidR="00F037E0" w:rsidRDefault="00F037E0" w14:paraId="6499C985" w14:textId="77777777">
            <w:pPr>
              <w:spacing w:line="276" w:lineRule="auto"/>
              <w:rPr>
                <w:rFonts w:ascii="Palatino Linotype" w:hAnsi="Palatino Linotype"/>
                <w:b/>
                <w:sz w:val="22"/>
                <w:szCs w:val="22"/>
              </w:rPr>
            </w:pPr>
          </w:p>
        </w:tc>
      </w:tr>
      <w:tr w:rsidRPr="004C5DBB" w:rsidR="00F037E0" w14:paraId="616DB3F1" w14:textId="77777777">
        <w:trPr>
          <w:trHeight w:val="288"/>
        </w:trPr>
        <w:tc>
          <w:tcPr>
            <w:tcW w:w="6925" w:type="dxa"/>
            <w:vAlign w:val="center"/>
          </w:tcPr>
          <w:p w:rsidRPr="004C5DBB" w:rsidR="00F037E0" w:rsidRDefault="00F037E0" w14:paraId="512E24EF" w14:textId="77777777">
            <w:pPr>
              <w:spacing w:line="276" w:lineRule="auto"/>
              <w:rPr>
                <w:rFonts w:ascii="Palatino Linotype" w:hAnsi="Palatino Linotype"/>
                <w:sz w:val="22"/>
                <w:szCs w:val="22"/>
              </w:rPr>
            </w:pPr>
            <w:r w:rsidRPr="004C5DBB">
              <w:rPr>
                <w:rFonts w:ascii="Palatino Linotype" w:hAnsi="Palatino Linotype"/>
                <w:sz w:val="22"/>
                <w:szCs w:val="22"/>
              </w:rPr>
              <w:t xml:space="preserve">Project Planning and Initiation </w:t>
            </w:r>
          </w:p>
        </w:tc>
        <w:tc>
          <w:tcPr>
            <w:tcW w:w="2430" w:type="dxa"/>
            <w:vAlign w:val="center"/>
          </w:tcPr>
          <w:p w:rsidRPr="004C5DBB" w:rsidR="00F037E0" w:rsidRDefault="00F037E0" w14:paraId="724BCFBF" w14:textId="77777777">
            <w:pPr>
              <w:spacing w:line="276" w:lineRule="auto"/>
              <w:rPr>
                <w:rFonts w:ascii="Palatino Linotype" w:hAnsi="Palatino Linotype"/>
                <w:b/>
                <w:sz w:val="22"/>
                <w:szCs w:val="22"/>
              </w:rPr>
            </w:pPr>
          </w:p>
        </w:tc>
      </w:tr>
      <w:tr w:rsidRPr="004C5DBB" w:rsidR="00F037E0" w14:paraId="47EE0166" w14:textId="77777777">
        <w:trPr>
          <w:trHeight w:val="288"/>
        </w:trPr>
        <w:tc>
          <w:tcPr>
            <w:tcW w:w="6925" w:type="dxa"/>
            <w:vAlign w:val="center"/>
          </w:tcPr>
          <w:p w:rsidRPr="004C5DBB" w:rsidR="00F037E0" w:rsidRDefault="00F037E0" w14:paraId="489D1192" w14:textId="77777777">
            <w:pPr>
              <w:spacing w:line="276" w:lineRule="auto"/>
              <w:rPr>
                <w:rFonts w:ascii="Palatino Linotype" w:hAnsi="Palatino Linotype"/>
                <w:sz w:val="22"/>
                <w:szCs w:val="22"/>
              </w:rPr>
            </w:pPr>
            <w:r w:rsidRPr="004C5DBB">
              <w:rPr>
                <w:rFonts w:ascii="Palatino Linotype" w:hAnsi="Palatino Linotype"/>
                <w:sz w:val="22"/>
                <w:szCs w:val="22"/>
              </w:rPr>
              <w:t>Project Oversight and Governance</w:t>
            </w:r>
          </w:p>
        </w:tc>
        <w:tc>
          <w:tcPr>
            <w:tcW w:w="2430" w:type="dxa"/>
            <w:vAlign w:val="center"/>
          </w:tcPr>
          <w:p w:rsidRPr="004C5DBB" w:rsidR="00F037E0" w:rsidRDefault="00F037E0" w14:paraId="4CB7F2E4" w14:textId="77777777">
            <w:pPr>
              <w:spacing w:line="276" w:lineRule="auto"/>
              <w:rPr>
                <w:rFonts w:ascii="Palatino Linotype" w:hAnsi="Palatino Linotype"/>
                <w:b/>
                <w:sz w:val="22"/>
                <w:szCs w:val="22"/>
              </w:rPr>
            </w:pPr>
          </w:p>
        </w:tc>
      </w:tr>
      <w:tr w:rsidRPr="004C5DBB" w:rsidR="00F037E0" w14:paraId="13BFCFA2" w14:textId="77777777">
        <w:trPr>
          <w:trHeight w:val="288"/>
        </w:trPr>
        <w:tc>
          <w:tcPr>
            <w:tcW w:w="6925" w:type="dxa"/>
            <w:vAlign w:val="center"/>
          </w:tcPr>
          <w:p w:rsidRPr="004C5DBB" w:rsidR="00F037E0" w:rsidRDefault="00F037E0" w14:paraId="10B88777" w14:textId="77777777">
            <w:pPr>
              <w:spacing w:line="276" w:lineRule="auto"/>
              <w:rPr>
                <w:rFonts w:ascii="Palatino Linotype" w:hAnsi="Palatino Linotype"/>
                <w:sz w:val="22"/>
                <w:szCs w:val="22"/>
              </w:rPr>
            </w:pPr>
            <w:r w:rsidRPr="004C5DBB">
              <w:rPr>
                <w:rFonts w:ascii="Palatino Linotype" w:hAnsi="Palatino Linotype"/>
                <w:sz w:val="22"/>
                <w:szCs w:val="22"/>
              </w:rPr>
              <w:t>Stakeholder Communication, Engagement, and Outreach</w:t>
            </w:r>
          </w:p>
        </w:tc>
        <w:tc>
          <w:tcPr>
            <w:tcW w:w="2430" w:type="dxa"/>
            <w:vAlign w:val="center"/>
          </w:tcPr>
          <w:p w:rsidRPr="004C5DBB" w:rsidR="00F037E0" w:rsidRDefault="00F037E0" w14:paraId="123198CE" w14:textId="77777777">
            <w:pPr>
              <w:spacing w:line="276" w:lineRule="auto"/>
              <w:rPr>
                <w:rFonts w:ascii="Palatino Linotype" w:hAnsi="Palatino Linotype"/>
                <w:b/>
                <w:sz w:val="22"/>
                <w:szCs w:val="22"/>
              </w:rPr>
            </w:pPr>
          </w:p>
        </w:tc>
      </w:tr>
      <w:tr w:rsidRPr="004C5DBB" w:rsidR="00F037E0" w14:paraId="7914ED8E" w14:textId="77777777">
        <w:trPr>
          <w:trHeight w:val="288"/>
        </w:trPr>
        <w:tc>
          <w:tcPr>
            <w:tcW w:w="6925" w:type="dxa"/>
            <w:vAlign w:val="center"/>
          </w:tcPr>
          <w:p w:rsidRPr="004C5DBB" w:rsidR="00F037E0" w:rsidRDefault="00F037E0" w14:paraId="408D478D" w14:textId="77777777">
            <w:pPr>
              <w:spacing w:line="276" w:lineRule="auto"/>
              <w:rPr>
                <w:rFonts w:ascii="Palatino Linotype" w:hAnsi="Palatino Linotype"/>
                <w:sz w:val="22"/>
                <w:szCs w:val="22"/>
              </w:rPr>
            </w:pPr>
            <w:r w:rsidRPr="004C5DBB">
              <w:rPr>
                <w:rFonts w:ascii="Palatino Linotype" w:hAnsi="Palatino Linotype"/>
                <w:sz w:val="22"/>
                <w:szCs w:val="22"/>
              </w:rPr>
              <w:t>Regulatory Support Compliance</w:t>
            </w:r>
          </w:p>
        </w:tc>
        <w:tc>
          <w:tcPr>
            <w:tcW w:w="2430" w:type="dxa"/>
            <w:vAlign w:val="center"/>
          </w:tcPr>
          <w:p w:rsidRPr="004C5DBB" w:rsidR="00F037E0" w:rsidRDefault="00F037E0" w14:paraId="06FED3ED" w14:textId="77777777">
            <w:pPr>
              <w:spacing w:line="276" w:lineRule="auto"/>
              <w:rPr>
                <w:rFonts w:ascii="Palatino Linotype" w:hAnsi="Palatino Linotype"/>
                <w:b/>
                <w:sz w:val="22"/>
                <w:szCs w:val="22"/>
              </w:rPr>
            </w:pPr>
          </w:p>
        </w:tc>
      </w:tr>
      <w:tr w:rsidRPr="004C5DBB" w:rsidR="00F037E0" w14:paraId="6C45D4C3" w14:textId="77777777">
        <w:trPr>
          <w:trHeight w:val="288"/>
        </w:trPr>
        <w:tc>
          <w:tcPr>
            <w:tcW w:w="6925" w:type="dxa"/>
            <w:vAlign w:val="center"/>
          </w:tcPr>
          <w:p w:rsidRPr="004C5DBB" w:rsidR="00F037E0" w:rsidRDefault="00F037E0" w14:paraId="32EA6536" w14:textId="77777777">
            <w:pPr>
              <w:spacing w:line="276" w:lineRule="auto"/>
              <w:rPr>
                <w:rFonts w:ascii="Palatino Linotype" w:hAnsi="Palatino Linotype"/>
                <w:sz w:val="22"/>
                <w:szCs w:val="22"/>
              </w:rPr>
            </w:pPr>
            <w:r w:rsidRPr="004C5DBB">
              <w:rPr>
                <w:rFonts w:ascii="Palatino Linotype" w:hAnsi="Palatino Linotype"/>
                <w:sz w:val="22"/>
                <w:szCs w:val="22"/>
              </w:rPr>
              <w:t>Internal Management Coordination</w:t>
            </w:r>
          </w:p>
        </w:tc>
        <w:tc>
          <w:tcPr>
            <w:tcW w:w="2430" w:type="dxa"/>
            <w:vAlign w:val="center"/>
          </w:tcPr>
          <w:p w:rsidRPr="004C5DBB" w:rsidR="00F037E0" w:rsidRDefault="00F037E0" w14:paraId="65398F93" w14:textId="77777777">
            <w:pPr>
              <w:spacing w:line="276" w:lineRule="auto"/>
              <w:rPr>
                <w:rFonts w:ascii="Palatino Linotype" w:hAnsi="Palatino Linotype"/>
                <w:b/>
                <w:sz w:val="22"/>
                <w:szCs w:val="22"/>
              </w:rPr>
            </w:pPr>
          </w:p>
        </w:tc>
      </w:tr>
      <w:tr w:rsidRPr="004C5DBB" w:rsidR="00F037E0" w14:paraId="6F8DE219" w14:textId="77777777">
        <w:trPr>
          <w:trHeight w:val="288"/>
        </w:trPr>
        <w:tc>
          <w:tcPr>
            <w:tcW w:w="6925" w:type="dxa"/>
            <w:vAlign w:val="center"/>
          </w:tcPr>
          <w:p w:rsidRPr="004C5DBB" w:rsidR="00F037E0" w:rsidRDefault="00F037E0" w14:paraId="4E003F4A" w14:textId="77777777">
            <w:pPr>
              <w:spacing w:line="276" w:lineRule="auto"/>
              <w:rPr>
                <w:rFonts w:ascii="Palatino Linotype" w:hAnsi="Palatino Linotype"/>
                <w:sz w:val="22"/>
                <w:szCs w:val="22"/>
              </w:rPr>
            </w:pPr>
            <w:r w:rsidRPr="004C5DBB">
              <w:rPr>
                <w:rFonts w:ascii="Palatino Linotype" w:hAnsi="Palatino Linotype"/>
                <w:sz w:val="22"/>
                <w:szCs w:val="22"/>
              </w:rPr>
              <w:t>Program and Process Coordination and Improvement</w:t>
            </w:r>
          </w:p>
        </w:tc>
        <w:tc>
          <w:tcPr>
            <w:tcW w:w="2430" w:type="dxa"/>
            <w:vAlign w:val="center"/>
          </w:tcPr>
          <w:p w:rsidRPr="004C5DBB" w:rsidR="00F037E0" w:rsidRDefault="00F037E0" w14:paraId="7A88DCDC" w14:textId="77777777">
            <w:pPr>
              <w:spacing w:line="276" w:lineRule="auto"/>
              <w:rPr>
                <w:rFonts w:ascii="Palatino Linotype" w:hAnsi="Palatino Linotype"/>
                <w:b/>
                <w:sz w:val="22"/>
                <w:szCs w:val="22"/>
              </w:rPr>
            </w:pPr>
          </w:p>
        </w:tc>
      </w:tr>
      <w:tr w:rsidRPr="004C5DBB" w:rsidR="00F037E0" w14:paraId="0B821AA0" w14:textId="77777777">
        <w:trPr>
          <w:trHeight w:val="288"/>
        </w:trPr>
        <w:tc>
          <w:tcPr>
            <w:tcW w:w="6925" w:type="dxa"/>
            <w:vAlign w:val="center"/>
          </w:tcPr>
          <w:p w:rsidRPr="004C5DBB" w:rsidR="00F037E0" w:rsidRDefault="00F037E0" w14:paraId="3127D4CA" w14:textId="77777777">
            <w:pPr>
              <w:spacing w:line="276" w:lineRule="auto"/>
              <w:rPr>
                <w:rFonts w:ascii="Palatino Linotype" w:hAnsi="Palatino Linotype"/>
                <w:sz w:val="22"/>
                <w:szCs w:val="22"/>
              </w:rPr>
            </w:pPr>
            <w:r w:rsidRPr="004C5DBB">
              <w:rPr>
                <w:rFonts w:ascii="Palatino Linotype" w:hAnsi="Palatino Linotype"/>
                <w:sz w:val="22"/>
                <w:szCs w:val="22"/>
              </w:rPr>
              <w:t>Administrative Activities</w:t>
            </w:r>
          </w:p>
        </w:tc>
        <w:tc>
          <w:tcPr>
            <w:tcW w:w="2430" w:type="dxa"/>
            <w:vAlign w:val="center"/>
          </w:tcPr>
          <w:p w:rsidRPr="004C5DBB" w:rsidR="00F037E0" w:rsidRDefault="00F037E0" w14:paraId="601B1F06" w14:textId="77777777">
            <w:pPr>
              <w:spacing w:line="276" w:lineRule="auto"/>
              <w:rPr>
                <w:rFonts w:ascii="Palatino Linotype" w:hAnsi="Palatino Linotype"/>
                <w:b/>
                <w:sz w:val="22"/>
                <w:szCs w:val="22"/>
              </w:rPr>
            </w:pPr>
          </w:p>
        </w:tc>
      </w:tr>
      <w:tr w:rsidRPr="004C5DBB" w:rsidR="00F037E0" w14:paraId="6A18E291" w14:textId="77777777">
        <w:trPr>
          <w:trHeight w:val="288"/>
        </w:trPr>
        <w:tc>
          <w:tcPr>
            <w:tcW w:w="6925" w:type="dxa"/>
            <w:vAlign w:val="center"/>
          </w:tcPr>
          <w:p w:rsidRPr="004C5DBB" w:rsidR="00F037E0" w:rsidRDefault="00F037E0" w14:paraId="19441FC1" w14:textId="77777777">
            <w:pPr>
              <w:spacing w:line="276" w:lineRule="auto"/>
              <w:rPr>
                <w:rFonts w:ascii="Palatino Linotype" w:hAnsi="Palatino Linotype"/>
                <w:sz w:val="22"/>
                <w:szCs w:val="22"/>
              </w:rPr>
            </w:pPr>
            <w:r w:rsidRPr="004C5DBB">
              <w:rPr>
                <w:rFonts w:ascii="Palatino Linotype" w:hAnsi="Palatino Linotype"/>
                <w:sz w:val="22"/>
                <w:szCs w:val="22"/>
              </w:rPr>
              <w:t>Supervision and Personnel</w:t>
            </w:r>
          </w:p>
        </w:tc>
        <w:tc>
          <w:tcPr>
            <w:tcW w:w="2430" w:type="dxa"/>
            <w:vAlign w:val="center"/>
          </w:tcPr>
          <w:p w:rsidRPr="004C5DBB" w:rsidR="00F037E0" w:rsidRDefault="00F037E0" w14:paraId="6582E85B" w14:textId="77777777">
            <w:pPr>
              <w:spacing w:line="276" w:lineRule="auto"/>
              <w:rPr>
                <w:rFonts w:ascii="Palatino Linotype" w:hAnsi="Palatino Linotype"/>
                <w:b/>
                <w:sz w:val="22"/>
                <w:szCs w:val="22"/>
              </w:rPr>
            </w:pPr>
          </w:p>
        </w:tc>
      </w:tr>
      <w:tr w:rsidRPr="004C5DBB" w:rsidR="00F037E0" w14:paraId="6E1AD463" w14:textId="77777777">
        <w:trPr>
          <w:trHeight w:val="288"/>
        </w:trPr>
        <w:tc>
          <w:tcPr>
            <w:tcW w:w="6925" w:type="dxa"/>
            <w:vAlign w:val="center"/>
          </w:tcPr>
          <w:p w:rsidRPr="004C5DBB" w:rsidR="00F037E0" w:rsidRDefault="00F037E0" w14:paraId="57B8CA03" w14:textId="77777777">
            <w:pPr>
              <w:spacing w:line="276" w:lineRule="auto"/>
              <w:rPr>
                <w:rFonts w:ascii="Palatino Linotype" w:hAnsi="Palatino Linotype"/>
                <w:sz w:val="22"/>
                <w:szCs w:val="22"/>
              </w:rPr>
            </w:pPr>
            <w:r w:rsidRPr="004C5DBB">
              <w:rPr>
                <w:rFonts w:ascii="Palatino Linotype" w:hAnsi="Palatino Linotype"/>
                <w:sz w:val="22"/>
                <w:szCs w:val="22"/>
              </w:rPr>
              <w:t>Training and Development</w:t>
            </w:r>
          </w:p>
        </w:tc>
        <w:tc>
          <w:tcPr>
            <w:tcW w:w="2430" w:type="dxa"/>
            <w:vAlign w:val="center"/>
          </w:tcPr>
          <w:p w:rsidRPr="004C5DBB" w:rsidR="00F037E0" w:rsidRDefault="00F037E0" w14:paraId="672AC029" w14:textId="77777777">
            <w:pPr>
              <w:spacing w:line="276" w:lineRule="auto"/>
              <w:rPr>
                <w:rFonts w:ascii="Palatino Linotype" w:hAnsi="Palatino Linotype"/>
                <w:b/>
                <w:sz w:val="22"/>
                <w:szCs w:val="22"/>
              </w:rPr>
            </w:pPr>
          </w:p>
        </w:tc>
      </w:tr>
      <w:tr w:rsidRPr="004C5DBB" w:rsidR="00F037E0" w14:paraId="1FD33FBF" w14:textId="77777777">
        <w:trPr>
          <w:trHeight w:val="288"/>
        </w:trPr>
        <w:tc>
          <w:tcPr>
            <w:tcW w:w="6925" w:type="dxa"/>
            <w:vAlign w:val="center"/>
          </w:tcPr>
          <w:p w:rsidRPr="004C5DBB" w:rsidR="00F037E0" w:rsidRDefault="00F037E0" w14:paraId="1652BE99" w14:textId="77777777">
            <w:pPr>
              <w:spacing w:line="276" w:lineRule="auto"/>
              <w:rPr>
                <w:rFonts w:ascii="Palatino Linotype" w:hAnsi="Palatino Linotype"/>
                <w:b/>
                <w:sz w:val="22"/>
                <w:szCs w:val="22"/>
              </w:rPr>
            </w:pPr>
            <w:r w:rsidRPr="004C5DBB">
              <w:rPr>
                <w:rFonts w:ascii="Palatino Linotype" w:hAnsi="Palatino Linotype"/>
                <w:b/>
                <w:sz w:val="22"/>
                <w:szCs w:val="22"/>
              </w:rPr>
              <w:t>Total</w:t>
            </w:r>
          </w:p>
        </w:tc>
        <w:tc>
          <w:tcPr>
            <w:tcW w:w="2430" w:type="dxa"/>
            <w:vAlign w:val="center"/>
          </w:tcPr>
          <w:p w:rsidRPr="004C5DBB" w:rsidR="00F037E0" w:rsidRDefault="00F037E0" w14:paraId="7F66A4F5" w14:textId="77777777">
            <w:pPr>
              <w:spacing w:line="276" w:lineRule="auto"/>
              <w:rPr>
                <w:rFonts w:ascii="Palatino Linotype" w:hAnsi="Palatino Linotype"/>
                <w:b/>
                <w:sz w:val="22"/>
                <w:szCs w:val="22"/>
              </w:rPr>
            </w:pPr>
          </w:p>
        </w:tc>
      </w:tr>
    </w:tbl>
    <w:p w:rsidR="00D74AD8" w:rsidP="00E851DF" w:rsidRDefault="00D74AD8" w14:paraId="0DAF6564" w14:textId="77777777">
      <w:pPr>
        <w:keepNext/>
        <w:spacing w:after="0" w:line="240" w:lineRule="auto"/>
        <w:sectPr w:rsidR="00D74AD8" w:rsidSect="0044638C">
          <w:pgSz w:w="12240" w:h="15840"/>
          <w:pgMar w:top="1440" w:right="1440" w:bottom="1440" w:left="1440" w:header="720" w:footer="720" w:gutter="0"/>
          <w:cols w:space="720"/>
          <w:titlePg/>
          <w:docGrid w:linePitch="360"/>
        </w:sectPr>
      </w:pPr>
    </w:p>
    <w:p w:rsidR="00923F5D" w:rsidP="006E2730" w:rsidRDefault="00923F5D" w14:paraId="59798DB2" w14:textId="77777777">
      <w:pPr>
        <w:spacing w:after="0"/>
        <w:rPr>
          <w:rFonts w:ascii="Palatino Linotype" w:hAnsi="Palatino Linotype"/>
          <w:b/>
          <w:bCs/>
          <w:color w:val="000000" w:themeColor="text1"/>
        </w:rPr>
      </w:pPr>
    </w:p>
    <w:p w:rsidR="00923F5D" w:rsidP="006E2730" w:rsidRDefault="00923F5D" w14:paraId="0A8BDFA3" w14:textId="77777777">
      <w:pPr>
        <w:spacing w:after="0"/>
        <w:rPr>
          <w:rFonts w:ascii="Palatino Linotype" w:hAnsi="Palatino Linotype"/>
          <w:b/>
          <w:bCs/>
          <w:color w:val="000000" w:themeColor="text1"/>
        </w:rPr>
      </w:pPr>
    </w:p>
    <w:p w:rsidR="00923F5D" w:rsidP="006E2730" w:rsidRDefault="00923F5D" w14:paraId="67E742D0" w14:textId="77777777">
      <w:pPr>
        <w:spacing w:after="0"/>
        <w:rPr>
          <w:rFonts w:ascii="Palatino Linotype" w:hAnsi="Palatino Linotype"/>
          <w:b/>
          <w:bCs/>
          <w:color w:val="000000" w:themeColor="text1"/>
        </w:rPr>
      </w:pPr>
    </w:p>
    <w:p w:rsidR="00923F5D" w:rsidP="006E2730" w:rsidRDefault="00923F5D" w14:paraId="1643A91F" w14:textId="77777777">
      <w:pPr>
        <w:spacing w:after="0"/>
        <w:rPr>
          <w:rFonts w:ascii="Palatino Linotype" w:hAnsi="Palatino Linotype"/>
          <w:b/>
          <w:bCs/>
          <w:color w:val="000000" w:themeColor="text1"/>
        </w:rPr>
      </w:pPr>
    </w:p>
    <w:p w:rsidR="00923F5D" w:rsidP="006E2730" w:rsidRDefault="00923F5D" w14:paraId="09708D14" w14:textId="77777777">
      <w:pPr>
        <w:spacing w:after="0"/>
        <w:rPr>
          <w:rFonts w:ascii="Palatino Linotype" w:hAnsi="Palatino Linotype"/>
          <w:b/>
          <w:bCs/>
          <w:color w:val="000000" w:themeColor="text1"/>
        </w:rPr>
      </w:pPr>
    </w:p>
    <w:p w:rsidR="00923F5D" w:rsidP="006E2730" w:rsidRDefault="00923F5D" w14:paraId="777338B2" w14:textId="77777777">
      <w:pPr>
        <w:spacing w:after="0"/>
        <w:rPr>
          <w:rFonts w:ascii="Palatino Linotype" w:hAnsi="Palatino Linotype"/>
          <w:b/>
          <w:bCs/>
          <w:color w:val="000000" w:themeColor="text1"/>
        </w:rPr>
      </w:pPr>
    </w:p>
    <w:p w:rsidR="00923F5D" w:rsidP="006E2730" w:rsidRDefault="00923F5D" w14:paraId="7AC3EEDD" w14:textId="77777777">
      <w:pPr>
        <w:spacing w:after="0"/>
        <w:rPr>
          <w:rFonts w:ascii="Palatino Linotype" w:hAnsi="Palatino Linotype"/>
          <w:b/>
          <w:bCs/>
          <w:color w:val="000000" w:themeColor="text1"/>
        </w:rPr>
      </w:pPr>
    </w:p>
    <w:p w:rsidRPr="008D66AE" w:rsidR="00923F5D" w:rsidP="00923F5D" w:rsidRDefault="00923F5D" w14:paraId="4314DB8B" w14:textId="7075FC70">
      <w:pPr>
        <w:ind w:right="90"/>
        <w:jc w:val="center"/>
        <w:rPr>
          <w:rFonts w:ascii="Palatino Linotype" w:hAnsi="Palatino Linotype"/>
          <w:b/>
          <w:bCs/>
          <w:color w:val="000000" w:themeColor="text1"/>
          <w:sz w:val="44"/>
          <w:szCs w:val="44"/>
        </w:rPr>
      </w:pPr>
      <w:r w:rsidRPr="008D66AE">
        <w:rPr>
          <w:rFonts w:ascii="Palatino Linotype" w:hAnsi="Palatino Linotype"/>
          <w:b/>
          <w:bCs/>
          <w:color w:val="000000" w:themeColor="text1"/>
          <w:sz w:val="44"/>
          <w:szCs w:val="44"/>
        </w:rPr>
        <w:t xml:space="preserve">APPENDIX </w:t>
      </w:r>
      <w:r>
        <w:rPr>
          <w:rFonts w:ascii="Palatino Linotype" w:hAnsi="Palatino Linotype"/>
          <w:b/>
          <w:bCs/>
          <w:color w:val="000000" w:themeColor="text1"/>
          <w:sz w:val="44"/>
          <w:szCs w:val="44"/>
        </w:rPr>
        <w:t>D</w:t>
      </w:r>
    </w:p>
    <w:p w:rsidR="00923F5D" w:rsidP="006E2730" w:rsidRDefault="00923F5D" w14:paraId="6CC9D4A5" w14:textId="77777777">
      <w:pPr>
        <w:spacing w:after="0"/>
        <w:rPr>
          <w:rFonts w:ascii="Palatino Linotype" w:hAnsi="Palatino Linotype"/>
          <w:b/>
          <w:bCs/>
          <w:color w:val="000000" w:themeColor="text1"/>
        </w:rPr>
      </w:pPr>
    </w:p>
    <w:p w:rsidR="00923F5D" w:rsidP="006E2730" w:rsidRDefault="00923F5D" w14:paraId="26A9A26F" w14:textId="77777777">
      <w:pPr>
        <w:spacing w:after="0"/>
        <w:rPr>
          <w:rFonts w:ascii="Palatino Linotype" w:hAnsi="Palatino Linotype"/>
          <w:b/>
          <w:bCs/>
          <w:color w:val="000000" w:themeColor="text1"/>
        </w:rPr>
      </w:pPr>
    </w:p>
    <w:p w:rsidR="00923F5D" w:rsidP="006E2730" w:rsidRDefault="00923F5D" w14:paraId="469D2D3D" w14:textId="77777777">
      <w:pPr>
        <w:spacing w:after="0"/>
        <w:rPr>
          <w:rFonts w:ascii="Palatino Linotype" w:hAnsi="Palatino Linotype"/>
          <w:b/>
          <w:bCs/>
          <w:color w:val="000000" w:themeColor="text1"/>
        </w:rPr>
      </w:pPr>
    </w:p>
    <w:p w:rsidR="00923F5D" w:rsidP="006E2730" w:rsidRDefault="00923F5D" w14:paraId="16DD4E63" w14:textId="77777777">
      <w:pPr>
        <w:spacing w:after="0"/>
        <w:rPr>
          <w:rFonts w:ascii="Palatino Linotype" w:hAnsi="Palatino Linotype"/>
          <w:b/>
          <w:bCs/>
          <w:color w:val="000000" w:themeColor="text1"/>
        </w:rPr>
        <w:sectPr w:rsidR="00923F5D" w:rsidSect="00B95253">
          <w:footerReference w:type="first" r:id="rId25"/>
          <w:pgSz w:w="12240" w:h="15840"/>
          <w:pgMar w:top="1440" w:right="1440" w:bottom="1440" w:left="1440" w:header="720" w:footer="720" w:gutter="0"/>
          <w:pgNumType w:start="1"/>
          <w:cols w:space="720"/>
          <w:titlePg/>
          <w:docGrid w:linePitch="360"/>
        </w:sectPr>
      </w:pPr>
    </w:p>
    <w:p w:rsidRPr="00413D8F" w:rsidR="006E2730" w:rsidP="006E2730" w:rsidRDefault="006E2730" w14:paraId="26A48751" w14:textId="54C93904">
      <w:pPr>
        <w:spacing w:after="0"/>
        <w:rPr>
          <w:rFonts w:ascii="Palatino Linotype" w:hAnsi="Palatino Linotype"/>
          <w:b/>
          <w:bCs/>
          <w:color w:val="000000" w:themeColor="text1"/>
        </w:rPr>
      </w:pPr>
      <w:r w:rsidRPr="009D0685">
        <w:rPr>
          <w:rFonts w:ascii="Palatino Linotype" w:hAnsi="Palatino Linotype"/>
          <w:b/>
          <w:bCs/>
          <w:color w:val="000000" w:themeColor="text1"/>
        </w:rPr>
        <w:lastRenderedPageBreak/>
        <w:t xml:space="preserve">APPENDIX </w:t>
      </w:r>
      <w:r w:rsidRPr="00413D8F">
        <w:rPr>
          <w:rFonts w:ascii="Palatino Linotype" w:hAnsi="Palatino Linotype"/>
          <w:b/>
          <w:bCs/>
          <w:color w:val="000000" w:themeColor="text1"/>
        </w:rPr>
        <w:t>D: RD&amp;D Program Areas from EPIC</w:t>
      </w:r>
    </w:p>
    <w:p w:rsidRPr="00413D8F" w:rsidR="006E2730" w:rsidP="006E2730" w:rsidRDefault="006E2730" w14:paraId="10E7F60F" w14:textId="77777777">
      <w:pPr>
        <w:spacing w:after="0"/>
        <w:rPr>
          <w:rFonts w:ascii="Palatino Linotype" w:hAnsi="Palatino Linotype"/>
          <w:b/>
          <w:bCs/>
          <w:color w:val="000000" w:themeColor="text1"/>
        </w:rPr>
      </w:pPr>
    </w:p>
    <w:p w:rsidRPr="00413D8F" w:rsidR="006E2730" w:rsidP="006E2730" w:rsidRDefault="006E2730" w14:paraId="2DD769CD" w14:textId="77777777">
      <w:pPr>
        <w:spacing w:after="0"/>
        <w:rPr>
          <w:rFonts w:ascii="Palatino Linotype" w:hAnsi="Palatino Linotype"/>
          <w:color w:val="000000" w:themeColor="text1"/>
        </w:rPr>
      </w:pPr>
      <w:r w:rsidRPr="00413D8F">
        <w:rPr>
          <w:rFonts w:ascii="Palatino Linotype" w:hAnsi="Palatino Linotype"/>
          <w:color w:val="000000" w:themeColor="text1"/>
        </w:rPr>
        <w:t xml:space="preserve">The Commission identified the following program areas across the product </w:t>
      </w:r>
    </w:p>
    <w:p w:rsidRPr="00413D8F" w:rsidR="006E2730" w:rsidP="006E2730" w:rsidRDefault="006E2730" w14:paraId="3C02BAD5" w14:textId="77777777">
      <w:pPr>
        <w:spacing w:after="0"/>
        <w:rPr>
          <w:rFonts w:ascii="Palatino Linotype" w:hAnsi="Palatino Linotype"/>
          <w:color w:val="000000" w:themeColor="text1"/>
        </w:rPr>
      </w:pPr>
      <w:r w:rsidRPr="00413D8F">
        <w:rPr>
          <w:rFonts w:ascii="Palatino Linotype" w:hAnsi="Palatino Linotype"/>
          <w:color w:val="000000" w:themeColor="text1"/>
        </w:rPr>
        <w:t>development cycle for EPIC:</w:t>
      </w:r>
      <w:r w:rsidRPr="00413D8F">
        <w:rPr>
          <w:rStyle w:val="FootnoteReference"/>
          <w:rFonts w:ascii="Palatino Linotype" w:hAnsi="Palatino Linotype"/>
          <w:color w:val="000000" w:themeColor="text1"/>
        </w:rPr>
        <w:footnoteReference w:id="173"/>
      </w:r>
    </w:p>
    <w:p w:rsidRPr="00413D8F" w:rsidR="006E2730" w:rsidP="006E2730" w:rsidRDefault="006E2730" w14:paraId="4FC663A8" w14:textId="77777777">
      <w:pPr>
        <w:spacing w:after="0"/>
        <w:rPr>
          <w:rFonts w:ascii="Palatino Linotype" w:hAnsi="Palatino Linotype"/>
          <w:color w:val="000000" w:themeColor="text1"/>
        </w:rPr>
      </w:pPr>
    </w:p>
    <w:tbl>
      <w:tblPr>
        <w:tblStyle w:val="TableGrid"/>
        <w:tblW w:w="0" w:type="auto"/>
        <w:tblLook w:val="04A0" w:firstRow="1" w:lastRow="0" w:firstColumn="1" w:lastColumn="0" w:noHBand="0" w:noVBand="1"/>
      </w:tblPr>
      <w:tblGrid>
        <w:gridCol w:w="3055"/>
        <w:gridCol w:w="6295"/>
      </w:tblGrid>
      <w:tr w:rsidRPr="00413D8F" w:rsidR="006E2730" w14:paraId="7FD4B159" w14:textId="77777777">
        <w:tc>
          <w:tcPr>
            <w:tcW w:w="3055" w:type="dxa"/>
          </w:tcPr>
          <w:p w:rsidRPr="00413D8F" w:rsidR="006E2730" w:rsidRDefault="006E2730" w14:paraId="08E9FB8D" w14:textId="77777777">
            <w:pPr>
              <w:rPr>
                <w:rFonts w:ascii="Palatino Linotype" w:hAnsi="Palatino Linotype"/>
                <w:b/>
                <w:bCs w:val="0"/>
                <w:color w:val="000000" w:themeColor="text1"/>
                <w:sz w:val="20"/>
                <w:szCs w:val="20"/>
              </w:rPr>
            </w:pPr>
            <w:r w:rsidRPr="00413D8F">
              <w:rPr>
                <w:rFonts w:ascii="Palatino Linotype" w:hAnsi="Palatino Linotype"/>
                <w:b/>
                <w:color w:val="000000" w:themeColor="text1"/>
                <w:sz w:val="20"/>
                <w:szCs w:val="20"/>
              </w:rPr>
              <w:t>Program Area</w:t>
            </w:r>
          </w:p>
        </w:tc>
        <w:tc>
          <w:tcPr>
            <w:tcW w:w="6295" w:type="dxa"/>
          </w:tcPr>
          <w:p w:rsidRPr="00413D8F" w:rsidR="006E2730" w:rsidRDefault="006E2730" w14:paraId="136409B2" w14:textId="77777777">
            <w:pPr>
              <w:rPr>
                <w:rFonts w:ascii="Palatino Linotype" w:hAnsi="Palatino Linotype"/>
                <w:b/>
                <w:bCs w:val="0"/>
                <w:color w:val="000000" w:themeColor="text1"/>
                <w:sz w:val="20"/>
                <w:szCs w:val="20"/>
              </w:rPr>
            </w:pPr>
            <w:r w:rsidRPr="00413D8F">
              <w:rPr>
                <w:rFonts w:ascii="Palatino Linotype" w:hAnsi="Palatino Linotype"/>
                <w:b/>
                <w:color w:val="000000" w:themeColor="text1"/>
                <w:sz w:val="20"/>
                <w:szCs w:val="20"/>
              </w:rPr>
              <w:t>Description</w:t>
            </w:r>
          </w:p>
        </w:tc>
      </w:tr>
      <w:tr w:rsidRPr="00413D8F" w:rsidR="006E2730" w14:paraId="5C9E8639" w14:textId="77777777">
        <w:tc>
          <w:tcPr>
            <w:tcW w:w="3055" w:type="dxa"/>
          </w:tcPr>
          <w:p w:rsidRPr="00413D8F" w:rsidR="006E2730" w:rsidRDefault="006E2730" w14:paraId="1DA4B2AC" w14:textId="77777777">
            <w:pPr>
              <w:rPr>
                <w:rFonts w:ascii="Palatino Linotype" w:hAnsi="Palatino Linotype"/>
                <w:color w:val="000000" w:themeColor="text1"/>
                <w:sz w:val="20"/>
                <w:szCs w:val="20"/>
              </w:rPr>
            </w:pPr>
            <w:r w:rsidRPr="00413D8F">
              <w:rPr>
                <w:rFonts w:ascii="Palatino Linotype" w:hAnsi="Palatino Linotype"/>
                <w:color w:val="000000" w:themeColor="text1"/>
                <w:sz w:val="20"/>
                <w:szCs w:val="20"/>
              </w:rPr>
              <w:t>Applied Research and Development (R&amp;D)</w:t>
            </w:r>
          </w:p>
        </w:tc>
        <w:tc>
          <w:tcPr>
            <w:tcW w:w="6295" w:type="dxa"/>
          </w:tcPr>
          <w:p w:rsidRPr="00413D8F" w:rsidR="006E2730" w:rsidRDefault="006E2730" w14:paraId="52673664" w14:textId="77777777">
            <w:pPr>
              <w:rPr>
                <w:rFonts w:ascii="Palatino Linotype" w:hAnsi="Palatino Linotype"/>
                <w:color w:val="000000" w:themeColor="text1"/>
                <w:sz w:val="20"/>
                <w:szCs w:val="20"/>
              </w:rPr>
            </w:pPr>
            <w:r w:rsidRPr="00413D8F">
              <w:rPr>
                <w:rFonts w:ascii="Palatino Linotype" w:hAnsi="Palatino Linotype"/>
                <w:color w:val="000000" w:themeColor="text1"/>
                <w:sz w:val="20"/>
                <w:szCs w:val="20"/>
              </w:rPr>
              <w:t>Applied science and technology designed to solve specific problems in the gas sector that provide public benefits but for which there is no current clear business case for deployment of private capital and gas benefits for pre-commercial activities and technologies.</w:t>
            </w:r>
          </w:p>
        </w:tc>
      </w:tr>
      <w:tr w:rsidRPr="00413D8F" w:rsidR="006E2730" w14:paraId="4E4F994E" w14:textId="77777777">
        <w:tc>
          <w:tcPr>
            <w:tcW w:w="3055" w:type="dxa"/>
          </w:tcPr>
          <w:p w:rsidRPr="00413D8F" w:rsidR="006E2730" w:rsidRDefault="006E2730" w14:paraId="48902820" w14:textId="77777777">
            <w:pPr>
              <w:rPr>
                <w:rFonts w:ascii="Palatino Linotype" w:hAnsi="Palatino Linotype"/>
                <w:color w:val="000000" w:themeColor="text1"/>
                <w:sz w:val="20"/>
                <w:szCs w:val="20"/>
              </w:rPr>
            </w:pPr>
            <w:r w:rsidRPr="00413D8F">
              <w:rPr>
                <w:rFonts w:ascii="Palatino Linotype" w:hAnsi="Palatino Linotype"/>
                <w:color w:val="000000" w:themeColor="text1"/>
                <w:sz w:val="20"/>
                <w:szCs w:val="20"/>
              </w:rPr>
              <w:t>Technology Demonstration and Deployment (TD&amp;D)</w:t>
            </w:r>
          </w:p>
        </w:tc>
        <w:tc>
          <w:tcPr>
            <w:tcW w:w="6295" w:type="dxa"/>
          </w:tcPr>
          <w:p w:rsidRPr="00413D8F" w:rsidR="006E2730" w:rsidRDefault="006E2730" w14:paraId="5D603149" w14:textId="77777777">
            <w:pPr>
              <w:rPr>
                <w:rFonts w:ascii="Palatino Linotype" w:hAnsi="Palatino Linotype"/>
                <w:color w:val="000000" w:themeColor="text1"/>
                <w:sz w:val="20"/>
                <w:szCs w:val="20"/>
              </w:rPr>
            </w:pPr>
            <w:r w:rsidRPr="00413D8F">
              <w:rPr>
                <w:rFonts w:ascii="Palatino Linotype" w:hAnsi="Palatino Linotype"/>
                <w:color w:val="000000" w:themeColor="text1"/>
                <w:sz w:val="20"/>
                <w:szCs w:val="20"/>
              </w:rPr>
              <w:t>The installation and operation of pre-commercial technologies at a scale sufficiently large and in conditions sufficiently reflective of anticipated actual operating environments, to enable the financial community to effectively appraise the operational and performance characteristics of a given technology and the financial risks it presents; supports assisting technology development through the “valley of death” and toward commercialization.</w:t>
            </w:r>
          </w:p>
        </w:tc>
      </w:tr>
      <w:tr w:rsidRPr="00413D8F" w:rsidR="006E2730" w14:paraId="728F35AB" w14:textId="77777777">
        <w:tc>
          <w:tcPr>
            <w:tcW w:w="3055" w:type="dxa"/>
          </w:tcPr>
          <w:p w:rsidRPr="00413D8F" w:rsidR="006E2730" w:rsidRDefault="006E2730" w14:paraId="5EB932BB" w14:textId="77777777">
            <w:pPr>
              <w:rPr>
                <w:rFonts w:ascii="Palatino Linotype" w:hAnsi="Palatino Linotype"/>
                <w:color w:val="000000" w:themeColor="text1"/>
                <w:sz w:val="20"/>
                <w:szCs w:val="20"/>
              </w:rPr>
            </w:pPr>
            <w:r w:rsidRPr="00413D8F">
              <w:rPr>
                <w:rFonts w:ascii="Palatino Linotype" w:hAnsi="Palatino Linotype"/>
                <w:color w:val="000000" w:themeColor="text1"/>
                <w:sz w:val="20"/>
                <w:szCs w:val="20"/>
              </w:rPr>
              <w:t>Market Facilitation</w:t>
            </w:r>
          </w:p>
        </w:tc>
        <w:tc>
          <w:tcPr>
            <w:tcW w:w="6295" w:type="dxa"/>
          </w:tcPr>
          <w:p w:rsidRPr="00413D8F" w:rsidR="006E2730" w:rsidRDefault="006E2730" w14:paraId="01DC1145" w14:textId="77777777">
            <w:pPr>
              <w:rPr>
                <w:rFonts w:ascii="Palatino Linotype" w:hAnsi="Palatino Linotype"/>
                <w:color w:val="000000" w:themeColor="text1"/>
                <w:sz w:val="20"/>
                <w:szCs w:val="20"/>
              </w:rPr>
            </w:pPr>
            <w:r w:rsidRPr="00413D8F">
              <w:rPr>
                <w:rFonts w:ascii="Palatino Linotype" w:hAnsi="Palatino Linotype" w:eastAsia="Palatino Linotype" w:cs="Times New Roman"/>
                <w:color w:val="000000" w:themeColor="text1"/>
                <w:sz w:val="20"/>
                <w:szCs w:val="20"/>
              </w:rPr>
              <w:t>Activities to address non-price barriers to adoption of clean technologies, such as regulatory barriers and lack of information, as well as supporting market research and tracking of results; activities including program tracking, market research, education and outreach, regulatory assistance and streamlining, and workforce development to support clean energy technology and strategy deployment.</w:t>
            </w:r>
          </w:p>
        </w:tc>
      </w:tr>
    </w:tbl>
    <w:p w:rsidR="006E2730" w:rsidP="00E851DF" w:rsidRDefault="006E2730" w14:paraId="5E050155" w14:textId="77777777">
      <w:pPr>
        <w:keepNext/>
        <w:spacing w:after="0" w:line="240" w:lineRule="auto"/>
        <w:sectPr w:rsidR="006E2730" w:rsidSect="0044638C">
          <w:pgSz w:w="12240" w:h="15840"/>
          <w:pgMar w:top="1440" w:right="1440" w:bottom="1440" w:left="1440" w:header="720" w:footer="720" w:gutter="0"/>
          <w:cols w:space="720"/>
          <w:titlePg/>
          <w:docGrid w:linePitch="360"/>
        </w:sectPr>
      </w:pPr>
    </w:p>
    <w:p w:rsidR="00FB7E1C" w:rsidP="00E57B17" w:rsidRDefault="00FB7E1C" w14:paraId="791824E2" w14:textId="77777777">
      <w:pPr>
        <w:spacing w:after="0"/>
        <w:rPr>
          <w:rFonts w:ascii="Palatino Linotype" w:hAnsi="Palatino Linotype"/>
          <w:b/>
          <w:bCs/>
        </w:rPr>
      </w:pPr>
    </w:p>
    <w:p w:rsidR="00FB7E1C" w:rsidP="00E57B17" w:rsidRDefault="00FB7E1C" w14:paraId="2FF7EA67" w14:textId="77777777">
      <w:pPr>
        <w:spacing w:after="0"/>
        <w:rPr>
          <w:rFonts w:ascii="Palatino Linotype" w:hAnsi="Palatino Linotype"/>
          <w:b/>
          <w:bCs/>
        </w:rPr>
      </w:pPr>
    </w:p>
    <w:p w:rsidR="00FB7E1C" w:rsidP="00E57B17" w:rsidRDefault="00FB7E1C" w14:paraId="6A324779" w14:textId="77777777">
      <w:pPr>
        <w:spacing w:after="0"/>
        <w:rPr>
          <w:rFonts w:ascii="Palatino Linotype" w:hAnsi="Palatino Linotype"/>
          <w:b/>
          <w:bCs/>
        </w:rPr>
      </w:pPr>
    </w:p>
    <w:p w:rsidR="00FB7E1C" w:rsidP="00E57B17" w:rsidRDefault="00FB7E1C" w14:paraId="08C12435" w14:textId="77777777">
      <w:pPr>
        <w:spacing w:after="0"/>
        <w:rPr>
          <w:rFonts w:ascii="Palatino Linotype" w:hAnsi="Palatino Linotype"/>
          <w:b/>
          <w:bCs/>
        </w:rPr>
      </w:pPr>
    </w:p>
    <w:p w:rsidR="00FB7E1C" w:rsidP="00E57B17" w:rsidRDefault="00FB7E1C" w14:paraId="538D62E0" w14:textId="77777777">
      <w:pPr>
        <w:spacing w:after="0"/>
        <w:rPr>
          <w:rFonts w:ascii="Palatino Linotype" w:hAnsi="Palatino Linotype"/>
          <w:b/>
          <w:bCs/>
        </w:rPr>
      </w:pPr>
    </w:p>
    <w:p w:rsidR="00FB7E1C" w:rsidP="00E57B17" w:rsidRDefault="00FB7E1C" w14:paraId="782A20E8" w14:textId="77777777">
      <w:pPr>
        <w:spacing w:after="0"/>
        <w:rPr>
          <w:rFonts w:ascii="Palatino Linotype" w:hAnsi="Palatino Linotype"/>
          <w:b/>
          <w:bCs/>
        </w:rPr>
      </w:pPr>
    </w:p>
    <w:p w:rsidR="00FB7E1C" w:rsidP="00E57B17" w:rsidRDefault="00FB7E1C" w14:paraId="666FAD57" w14:textId="77777777">
      <w:pPr>
        <w:spacing w:after="0"/>
        <w:rPr>
          <w:rFonts w:ascii="Palatino Linotype" w:hAnsi="Palatino Linotype"/>
          <w:b/>
          <w:bCs/>
        </w:rPr>
      </w:pPr>
    </w:p>
    <w:p w:rsidRPr="008D66AE" w:rsidR="00FB7E1C" w:rsidP="00FB7E1C" w:rsidRDefault="00FB7E1C" w14:paraId="0E5DC336" w14:textId="4E695846">
      <w:pPr>
        <w:ind w:right="90"/>
        <w:jc w:val="center"/>
        <w:rPr>
          <w:rFonts w:ascii="Palatino Linotype" w:hAnsi="Palatino Linotype"/>
          <w:b/>
          <w:bCs/>
          <w:color w:val="000000" w:themeColor="text1"/>
          <w:sz w:val="44"/>
          <w:szCs w:val="44"/>
        </w:rPr>
      </w:pPr>
      <w:r w:rsidRPr="008D66AE">
        <w:rPr>
          <w:rFonts w:ascii="Palatino Linotype" w:hAnsi="Palatino Linotype"/>
          <w:b/>
          <w:bCs/>
          <w:color w:val="000000" w:themeColor="text1"/>
          <w:sz w:val="44"/>
          <w:szCs w:val="44"/>
        </w:rPr>
        <w:t xml:space="preserve">APPENDIX </w:t>
      </w:r>
      <w:r>
        <w:rPr>
          <w:rFonts w:ascii="Palatino Linotype" w:hAnsi="Palatino Linotype"/>
          <w:b/>
          <w:bCs/>
          <w:color w:val="000000" w:themeColor="text1"/>
          <w:sz w:val="44"/>
          <w:szCs w:val="44"/>
        </w:rPr>
        <w:t>E</w:t>
      </w:r>
    </w:p>
    <w:p w:rsidR="00FB7E1C" w:rsidP="00E57B17" w:rsidRDefault="00FB7E1C" w14:paraId="445C2801" w14:textId="77777777">
      <w:pPr>
        <w:spacing w:after="0"/>
        <w:rPr>
          <w:rFonts w:ascii="Palatino Linotype" w:hAnsi="Palatino Linotype"/>
          <w:b/>
          <w:bCs/>
        </w:rPr>
      </w:pPr>
    </w:p>
    <w:p w:rsidR="00FB7E1C" w:rsidP="00E57B17" w:rsidRDefault="00FB7E1C" w14:paraId="69E20DDF" w14:textId="77777777">
      <w:pPr>
        <w:spacing w:after="0"/>
        <w:rPr>
          <w:rFonts w:ascii="Palatino Linotype" w:hAnsi="Palatino Linotype"/>
          <w:b/>
          <w:bCs/>
        </w:rPr>
      </w:pPr>
    </w:p>
    <w:p w:rsidR="00FB7E1C" w:rsidP="00E57B17" w:rsidRDefault="00FB7E1C" w14:paraId="1650F605" w14:textId="77777777">
      <w:pPr>
        <w:spacing w:after="0"/>
        <w:rPr>
          <w:rFonts w:ascii="Palatino Linotype" w:hAnsi="Palatino Linotype"/>
          <w:b/>
          <w:bCs/>
        </w:rPr>
      </w:pPr>
    </w:p>
    <w:p w:rsidR="00FB7E1C" w:rsidP="00E57B17" w:rsidRDefault="00FB7E1C" w14:paraId="44A06BE2" w14:textId="77777777">
      <w:pPr>
        <w:spacing w:after="0"/>
        <w:rPr>
          <w:rFonts w:ascii="Palatino Linotype" w:hAnsi="Palatino Linotype"/>
          <w:b/>
          <w:bCs/>
        </w:rPr>
      </w:pPr>
    </w:p>
    <w:p w:rsidR="00FB7E1C" w:rsidP="00E57B17" w:rsidRDefault="00FB7E1C" w14:paraId="59578A34" w14:textId="77777777">
      <w:pPr>
        <w:spacing w:after="0"/>
        <w:rPr>
          <w:rFonts w:ascii="Palatino Linotype" w:hAnsi="Palatino Linotype"/>
          <w:b/>
          <w:bCs/>
        </w:rPr>
        <w:sectPr w:rsidR="00FB7E1C" w:rsidSect="00B95253">
          <w:footerReference w:type="first" r:id="rId26"/>
          <w:pgSz w:w="12240" w:h="15840"/>
          <w:pgMar w:top="1440" w:right="1440" w:bottom="1440" w:left="1440" w:header="720" w:footer="720" w:gutter="0"/>
          <w:pgNumType w:start="1"/>
          <w:cols w:space="720"/>
          <w:titlePg/>
          <w:docGrid w:linePitch="360"/>
        </w:sectPr>
      </w:pPr>
    </w:p>
    <w:p w:rsidR="00633D60" w:rsidP="00E57B17" w:rsidRDefault="00633D60" w14:paraId="6D4ABEFD" w14:textId="3AFADA95">
      <w:pPr>
        <w:spacing w:after="0"/>
        <w:rPr>
          <w:rFonts w:ascii="Palatino Linotype" w:hAnsi="Palatino Linotype"/>
          <w:b/>
          <w:bCs/>
        </w:rPr>
      </w:pPr>
      <w:r w:rsidRPr="3F09D30F">
        <w:rPr>
          <w:rFonts w:ascii="Palatino Linotype" w:hAnsi="Palatino Linotype"/>
          <w:b/>
          <w:bCs/>
        </w:rPr>
        <w:lastRenderedPageBreak/>
        <w:t xml:space="preserve">APPENDIX </w:t>
      </w:r>
      <w:r>
        <w:rPr>
          <w:rFonts w:ascii="Palatino Linotype" w:hAnsi="Palatino Linotype"/>
          <w:b/>
          <w:bCs/>
        </w:rPr>
        <w:t>E</w:t>
      </w:r>
      <w:r w:rsidRPr="3F09D30F">
        <w:rPr>
          <w:rFonts w:ascii="Palatino Linotype" w:hAnsi="Palatino Linotype"/>
          <w:b/>
          <w:bCs/>
        </w:rPr>
        <w:t xml:space="preserve">: Commission Guidance on Gas RD&amp;D Initiative Criteria </w:t>
      </w:r>
    </w:p>
    <w:p w:rsidRPr="005A41A1" w:rsidR="00633D60" w:rsidP="00633D60" w:rsidRDefault="005A41A1" w14:paraId="750B710C" w14:textId="66CB5BB3">
      <w:pPr>
        <w:rPr>
          <w:rFonts w:ascii="Palatino Linotype" w:hAnsi="Palatino Linotype"/>
          <w:i/>
          <w:iCs/>
          <w:sz w:val="20"/>
          <w:szCs w:val="20"/>
        </w:rPr>
      </w:pPr>
      <w:r w:rsidRPr="005A41A1">
        <w:rPr>
          <w:rFonts w:ascii="Palatino Linotype" w:hAnsi="Palatino Linotype"/>
          <w:i/>
          <w:iCs/>
          <w:sz w:val="20"/>
          <w:szCs w:val="20"/>
        </w:rPr>
        <w:t>Commission orders in bold pertain to SoCalGas.</w:t>
      </w:r>
    </w:p>
    <w:tbl>
      <w:tblPr>
        <w:tblStyle w:val="TableGrid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35"/>
        <w:gridCol w:w="3415"/>
      </w:tblGrid>
      <w:tr w:rsidRPr="00826646" w:rsidR="00633D60" w14:paraId="2BDEF190" w14:textId="77777777">
        <w:tc>
          <w:tcPr>
            <w:tcW w:w="5935" w:type="dxa"/>
          </w:tcPr>
          <w:p w:rsidRPr="00826646" w:rsidR="00633D60" w:rsidRDefault="00633D60" w14:paraId="678DD13D" w14:textId="77777777">
            <w:pPr>
              <w:rPr>
                <w:rFonts w:ascii="Palatino Linotype" w:hAnsi="Palatino Linotype"/>
                <w:b/>
                <w:sz w:val="20"/>
                <w:szCs w:val="20"/>
              </w:rPr>
            </w:pPr>
            <w:r w:rsidRPr="00826646">
              <w:rPr>
                <w:rFonts w:ascii="Palatino Linotype" w:hAnsi="Palatino Linotype"/>
                <w:b/>
                <w:sz w:val="20"/>
                <w:szCs w:val="20"/>
              </w:rPr>
              <w:t>Commission Guidance</w:t>
            </w:r>
          </w:p>
        </w:tc>
        <w:tc>
          <w:tcPr>
            <w:tcW w:w="3415" w:type="dxa"/>
            <w:vAlign w:val="center"/>
          </w:tcPr>
          <w:p w:rsidRPr="00826646" w:rsidR="00633D60" w:rsidRDefault="00633D60" w14:paraId="46A10F90" w14:textId="77777777">
            <w:pPr>
              <w:rPr>
                <w:rFonts w:ascii="Palatino Linotype" w:hAnsi="Palatino Linotype"/>
                <w:b/>
                <w:sz w:val="20"/>
                <w:szCs w:val="20"/>
              </w:rPr>
            </w:pPr>
            <w:r w:rsidRPr="00826646">
              <w:rPr>
                <w:rFonts w:ascii="Palatino Linotype" w:hAnsi="Palatino Linotype"/>
                <w:b/>
                <w:sz w:val="20"/>
                <w:szCs w:val="20"/>
              </w:rPr>
              <w:t xml:space="preserve">Initiative Criteria </w:t>
            </w:r>
          </w:p>
        </w:tc>
      </w:tr>
      <w:tr w:rsidRPr="00826646" w:rsidR="00633D60" w14:paraId="638A16E1" w14:textId="77777777">
        <w:tc>
          <w:tcPr>
            <w:tcW w:w="5935" w:type="dxa"/>
          </w:tcPr>
          <w:p w:rsidRPr="00826646" w:rsidR="00633D60" w:rsidRDefault="00633D60" w14:paraId="22E5EA85" w14:textId="77777777">
            <w:pPr>
              <w:rPr>
                <w:rFonts w:ascii="Palatino Linotype" w:hAnsi="Palatino Linotype"/>
                <w:b/>
                <w:bCs w:val="0"/>
                <w:sz w:val="20"/>
                <w:szCs w:val="20"/>
              </w:rPr>
            </w:pPr>
            <w:hyperlink w:history="1" r:id="rId27">
              <w:r w:rsidRPr="00826646">
                <w:rPr>
                  <w:rFonts w:ascii="Palatino Linotype" w:hAnsi="Palatino Linotype" w:eastAsia="Century Gothic" w:cs="Century Gothic"/>
                  <w:b/>
                  <w:color w:val="467886" w:themeColor="hyperlink"/>
                  <w:sz w:val="20"/>
                  <w:szCs w:val="20"/>
                  <w:u w:val="single"/>
                </w:rPr>
                <w:t>D.19-09-051</w:t>
              </w:r>
            </w:hyperlink>
            <w:r w:rsidRPr="00826646">
              <w:rPr>
                <w:rFonts w:ascii="Palatino Linotype" w:hAnsi="Palatino Linotype"/>
                <w:b/>
                <w:sz w:val="20"/>
                <w:szCs w:val="20"/>
              </w:rPr>
              <w:t xml:space="preserve"> at p. 379.</w:t>
            </w:r>
          </w:p>
          <w:p w:rsidRPr="00826646" w:rsidR="00633D60" w:rsidRDefault="00633D60" w14:paraId="6962B58C" w14:textId="77777777">
            <w:pPr>
              <w:rPr>
                <w:rFonts w:ascii="Palatino Linotype" w:hAnsi="Palatino Linotype"/>
                <w:sz w:val="20"/>
                <w:szCs w:val="20"/>
              </w:rPr>
            </w:pPr>
            <w:hyperlink w:history="1" r:id="rId28">
              <w:r w:rsidRPr="00826646">
                <w:rPr>
                  <w:rStyle w:val="Hyperlink"/>
                  <w:rFonts w:ascii="Palatino Linotype" w:hAnsi="Palatino Linotype"/>
                  <w:sz w:val="20"/>
                  <w:szCs w:val="20"/>
                </w:rPr>
                <w:t>Resolution G-3571</w:t>
              </w:r>
            </w:hyperlink>
            <w:r w:rsidRPr="00826646">
              <w:rPr>
                <w:rFonts w:ascii="Palatino Linotype" w:hAnsi="Palatino Linotype"/>
                <w:sz w:val="20"/>
                <w:szCs w:val="20"/>
              </w:rPr>
              <w:t xml:space="preserve"> (2020) at OP 5a.</w:t>
            </w:r>
          </w:p>
          <w:p w:rsidRPr="00826646" w:rsidR="00633D60" w:rsidRDefault="00633D60" w14:paraId="0ADBB5C5" w14:textId="77777777">
            <w:pPr>
              <w:rPr>
                <w:rFonts w:ascii="Palatino Linotype" w:hAnsi="Palatino Linotype"/>
                <w:b/>
                <w:bCs w:val="0"/>
                <w:sz w:val="20"/>
                <w:szCs w:val="20"/>
              </w:rPr>
            </w:pPr>
            <w:hyperlink w:tgtFrame="_blank" w:history="1" r:id="rId29">
              <w:r w:rsidRPr="00826646">
                <w:rPr>
                  <w:rFonts w:ascii="Palatino Linotype" w:hAnsi="Palatino Linotype"/>
                  <w:b/>
                  <w:color w:val="467886" w:themeColor="hyperlink"/>
                  <w:sz w:val="20"/>
                  <w:szCs w:val="20"/>
                  <w:u w:val="single"/>
                </w:rPr>
                <w:t>Resolution G-3601</w:t>
              </w:r>
            </w:hyperlink>
            <w:r w:rsidRPr="00826646">
              <w:rPr>
                <w:rFonts w:ascii="Palatino Linotype" w:hAnsi="Palatino Linotype"/>
                <w:b/>
                <w:sz w:val="20"/>
                <w:szCs w:val="20"/>
              </w:rPr>
              <w:t xml:space="preserve"> (2023) at OP 6a.</w:t>
            </w:r>
          </w:p>
          <w:p w:rsidRPr="00826646" w:rsidR="00633D60" w:rsidRDefault="00633D60" w14:paraId="29D90E59" w14:textId="77777777">
            <w:pPr>
              <w:rPr>
                <w:rFonts w:ascii="Palatino Linotype" w:hAnsi="Palatino Linotype"/>
                <w:b/>
                <w:bCs w:val="0"/>
                <w:sz w:val="20"/>
                <w:szCs w:val="20"/>
              </w:rPr>
            </w:pPr>
            <w:hyperlink w:tgtFrame="_blank" w:history="1" r:id="rId30">
              <w:r w:rsidRPr="00826646">
                <w:rPr>
                  <w:rFonts w:ascii="Palatino Linotype" w:hAnsi="Palatino Linotype"/>
                  <w:color w:val="467886" w:themeColor="hyperlink"/>
                  <w:sz w:val="20"/>
                  <w:szCs w:val="20"/>
                  <w:u w:val="single"/>
                </w:rPr>
                <w:t>Resolution G-3603</w:t>
              </w:r>
            </w:hyperlink>
            <w:r w:rsidRPr="00826646">
              <w:rPr>
                <w:rFonts w:ascii="Palatino Linotype" w:hAnsi="Palatino Linotype"/>
                <w:sz w:val="20"/>
                <w:szCs w:val="20"/>
              </w:rPr>
              <w:t xml:space="preserve"> (2024) at OP 4.</w:t>
            </w:r>
          </w:p>
        </w:tc>
        <w:tc>
          <w:tcPr>
            <w:tcW w:w="3415" w:type="dxa"/>
          </w:tcPr>
          <w:p w:rsidRPr="00826646" w:rsidR="00633D60" w:rsidRDefault="00633D60" w14:paraId="070846A0" w14:textId="77777777">
            <w:pPr>
              <w:rPr>
                <w:rFonts w:ascii="Palatino Linotype" w:hAnsi="Palatino Linotype"/>
                <w:sz w:val="20"/>
                <w:szCs w:val="20"/>
              </w:rPr>
            </w:pPr>
            <w:r w:rsidRPr="00826646">
              <w:rPr>
                <w:rFonts w:ascii="Palatino Linotype" w:hAnsi="Palatino Linotype"/>
                <w:sz w:val="20"/>
                <w:szCs w:val="20"/>
              </w:rPr>
              <w:t xml:space="preserve">1. </w:t>
            </w:r>
            <w:r w:rsidRPr="00826646">
              <w:rPr>
                <w:rFonts w:ascii="Palatino Linotype" w:hAnsi="Palatino Linotype"/>
                <w:b/>
                <w:sz w:val="20"/>
                <w:szCs w:val="20"/>
              </w:rPr>
              <w:t>Policy Priority:</w:t>
            </w:r>
            <w:r w:rsidRPr="00826646">
              <w:rPr>
                <w:rFonts w:ascii="Palatino Linotype" w:hAnsi="Palatino Linotype"/>
                <w:sz w:val="20"/>
                <w:szCs w:val="20"/>
              </w:rPr>
              <w:t xml:space="preserve"> Alignment with and prioritization of critical gaps and needs identified in State goals and specific CPUC Policies and Proceedings </w:t>
            </w:r>
            <w:r w:rsidRPr="00826646">
              <w:rPr>
                <w:rFonts w:ascii="Palatino Linotype" w:hAnsi="Palatino Linotype" w:eastAsia="Century Gothic" w:cs="Century Gothic"/>
                <w:color w:val="000000" w:themeColor="text1"/>
                <w:sz w:val="20"/>
                <w:szCs w:val="20"/>
              </w:rPr>
              <w:t>to demonstrate ratepayer benefit</w:t>
            </w:r>
            <w:r w:rsidRPr="00826646">
              <w:rPr>
                <w:rFonts w:ascii="Palatino Linotype" w:hAnsi="Palatino Linotype"/>
                <w:sz w:val="20"/>
                <w:szCs w:val="20"/>
              </w:rPr>
              <w:t xml:space="preserve">, informed by consultation with CPUC Staff. </w:t>
            </w:r>
          </w:p>
        </w:tc>
      </w:tr>
      <w:tr w:rsidRPr="00826646" w:rsidR="00633D60" w14:paraId="50D2BD65" w14:textId="77777777">
        <w:tc>
          <w:tcPr>
            <w:tcW w:w="5935" w:type="dxa"/>
          </w:tcPr>
          <w:p w:rsidRPr="00826646" w:rsidR="00633D60" w:rsidRDefault="00633D60" w14:paraId="439C9CC4" w14:textId="77777777">
            <w:pPr>
              <w:rPr>
                <w:rFonts w:ascii="Palatino Linotype" w:hAnsi="Palatino Linotype"/>
                <w:b/>
                <w:bCs w:val="0"/>
                <w:sz w:val="20"/>
                <w:szCs w:val="20"/>
              </w:rPr>
            </w:pPr>
            <w:r w:rsidRPr="00826646">
              <w:rPr>
                <w:rFonts w:ascii="Palatino Linotype" w:hAnsi="Palatino Linotype"/>
                <w:b/>
                <w:sz w:val="20"/>
                <w:szCs w:val="20"/>
              </w:rPr>
              <w:t>California Public Utilities Code Section 740.1 (d)</w:t>
            </w:r>
          </w:p>
          <w:p w:rsidRPr="00826646" w:rsidR="00633D60" w:rsidRDefault="00633D60" w14:paraId="6A36DBAD" w14:textId="77777777">
            <w:pPr>
              <w:rPr>
                <w:rFonts w:ascii="Palatino Linotype" w:hAnsi="Palatino Linotype"/>
                <w:b/>
                <w:bCs w:val="0"/>
                <w:sz w:val="20"/>
                <w:szCs w:val="20"/>
              </w:rPr>
            </w:pPr>
            <w:hyperlink w:tgtFrame="_blank" w:history="1" r:id="rId31">
              <w:r w:rsidRPr="00826646">
                <w:rPr>
                  <w:rFonts w:ascii="Palatino Linotype" w:hAnsi="Palatino Linotype"/>
                  <w:b/>
                  <w:color w:val="467886" w:themeColor="hyperlink"/>
                  <w:sz w:val="20"/>
                  <w:szCs w:val="20"/>
                  <w:u w:val="single"/>
                </w:rPr>
                <w:t>Resolution G-3586</w:t>
              </w:r>
            </w:hyperlink>
            <w:r w:rsidRPr="00826646">
              <w:rPr>
                <w:rFonts w:ascii="Palatino Linotype" w:hAnsi="Palatino Linotype"/>
                <w:b/>
                <w:sz w:val="20"/>
                <w:szCs w:val="20"/>
              </w:rPr>
              <w:t xml:space="preserve"> (2022) at OP 5.</w:t>
            </w:r>
          </w:p>
          <w:p w:rsidRPr="00826646" w:rsidR="00633D60" w:rsidRDefault="00633D60" w14:paraId="559658D5" w14:textId="77777777">
            <w:pPr>
              <w:rPr>
                <w:rFonts w:ascii="Palatino Linotype" w:hAnsi="Palatino Linotype"/>
                <w:sz w:val="20"/>
                <w:szCs w:val="20"/>
              </w:rPr>
            </w:pPr>
            <w:hyperlink w:tgtFrame="_blank" w:history="1" r:id="rId32">
              <w:r w:rsidRPr="00826646">
                <w:rPr>
                  <w:rFonts w:ascii="Palatino Linotype" w:hAnsi="Palatino Linotype"/>
                  <w:color w:val="467886" w:themeColor="hyperlink"/>
                  <w:sz w:val="20"/>
                  <w:szCs w:val="20"/>
                  <w:u w:val="single"/>
                </w:rPr>
                <w:t>Resolution G-3592</w:t>
              </w:r>
            </w:hyperlink>
            <w:r w:rsidRPr="00826646">
              <w:rPr>
                <w:rFonts w:ascii="Palatino Linotype" w:hAnsi="Palatino Linotype"/>
                <w:sz w:val="20"/>
                <w:szCs w:val="20"/>
              </w:rPr>
              <w:t xml:space="preserve"> (2023) at OP 5.</w:t>
            </w:r>
          </w:p>
          <w:p w:rsidRPr="00826646" w:rsidR="00633D60" w:rsidRDefault="00633D60" w14:paraId="03DACD2F" w14:textId="77777777">
            <w:pPr>
              <w:rPr>
                <w:rFonts w:ascii="Palatino Linotype" w:hAnsi="Palatino Linotype"/>
                <w:b/>
                <w:bCs w:val="0"/>
                <w:sz w:val="20"/>
                <w:szCs w:val="20"/>
              </w:rPr>
            </w:pPr>
            <w:hyperlink w:tgtFrame="_blank" w:history="1" r:id="rId33">
              <w:r w:rsidRPr="00826646">
                <w:rPr>
                  <w:rFonts w:ascii="Palatino Linotype" w:hAnsi="Palatino Linotype"/>
                  <w:b/>
                  <w:color w:val="467886" w:themeColor="hyperlink"/>
                  <w:sz w:val="20"/>
                  <w:szCs w:val="20"/>
                  <w:u w:val="single"/>
                </w:rPr>
                <w:t>Resolution G-3601</w:t>
              </w:r>
            </w:hyperlink>
            <w:r w:rsidRPr="00826646">
              <w:rPr>
                <w:rFonts w:ascii="Palatino Linotype" w:hAnsi="Palatino Linotype"/>
                <w:b/>
                <w:sz w:val="20"/>
                <w:szCs w:val="20"/>
              </w:rPr>
              <w:t xml:space="preserve"> (2023) at OP 6a &amp; 6i.</w:t>
            </w:r>
          </w:p>
          <w:p w:rsidRPr="00826646" w:rsidR="00633D60" w:rsidRDefault="00633D60" w14:paraId="7BFE2377" w14:textId="77777777">
            <w:pPr>
              <w:rPr>
                <w:rFonts w:ascii="Palatino Linotype" w:hAnsi="Palatino Linotype"/>
                <w:sz w:val="20"/>
                <w:szCs w:val="20"/>
              </w:rPr>
            </w:pPr>
            <w:hyperlink w:history="1" r:id="rId34">
              <w:r w:rsidRPr="00826646">
                <w:rPr>
                  <w:rFonts w:ascii="Palatino Linotype" w:hAnsi="Palatino Linotype"/>
                  <w:color w:val="467886" w:themeColor="hyperlink"/>
                  <w:sz w:val="20"/>
                  <w:szCs w:val="20"/>
                  <w:u w:val="single"/>
                </w:rPr>
                <w:t>D.23-11-069</w:t>
              </w:r>
            </w:hyperlink>
            <w:r w:rsidRPr="00826646">
              <w:rPr>
                <w:rFonts w:ascii="Palatino Linotype" w:hAnsi="Palatino Linotype"/>
                <w:sz w:val="20"/>
                <w:szCs w:val="20"/>
              </w:rPr>
              <w:t xml:space="preserve"> at p. 220.</w:t>
            </w:r>
          </w:p>
          <w:p w:rsidRPr="00826646" w:rsidR="00633D60" w:rsidRDefault="00633D60" w14:paraId="5FA3908D" w14:textId="77777777">
            <w:pPr>
              <w:rPr>
                <w:rFonts w:ascii="Palatino Linotype" w:hAnsi="Palatino Linotype"/>
                <w:sz w:val="20"/>
                <w:szCs w:val="20"/>
              </w:rPr>
            </w:pPr>
            <w:hyperlink w:tgtFrame="_blank" w:history="1" r:id="rId35">
              <w:r w:rsidRPr="00826646">
                <w:rPr>
                  <w:rFonts w:ascii="Palatino Linotype" w:hAnsi="Palatino Linotype"/>
                  <w:color w:val="467886" w:themeColor="hyperlink"/>
                  <w:sz w:val="20"/>
                  <w:szCs w:val="20"/>
                  <w:u w:val="single"/>
                </w:rPr>
                <w:t>Resolution G-3603</w:t>
              </w:r>
            </w:hyperlink>
            <w:r w:rsidRPr="00826646">
              <w:rPr>
                <w:rFonts w:ascii="Palatino Linotype" w:hAnsi="Palatino Linotype"/>
                <w:sz w:val="20"/>
                <w:szCs w:val="20"/>
              </w:rPr>
              <w:t xml:space="preserve"> (2024) at OP 4.</w:t>
            </w:r>
          </w:p>
          <w:p w:rsidRPr="00826646" w:rsidR="00633D60" w:rsidRDefault="00633D60" w14:paraId="20ED6909" w14:textId="77777777">
            <w:pPr>
              <w:rPr>
                <w:rFonts w:ascii="Palatino Linotype" w:hAnsi="Palatino Linotype"/>
                <w:b/>
                <w:bCs w:val="0"/>
                <w:sz w:val="20"/>
                <w:szCs w:val="20"/>
              </w:rPr>
            </w:pPr>
            <w:hyperlink w:tgtFrame="_blank" w:history="1" r:id="rId36">
              <w:r w:rsidRPr="00826646">
                <w:rPr>
                  <w:rFonts w:ascii="Palatino Linotype" w:hAnsi="Palatino Linotype"/>
                  <w:b/>
                  <w:color w:val="467886" w:themeColor="hyperlink"/>
                  <w:sz w:val="20"/>
                  <w:szCs w:val="20"/>
                  <w:u w:val="single"/>
                </w:rPr>
                <w:t>D.24-12-074</w:t>
              </w:r>
            </w:hyperlink>
            <w:r w:rsidRPr="00826646">
              <w:rPr>
                <w:rFonts w:ascii="Palatino Linotype" w:hAnsi="Palatino Linotype"/>
                <w:b/>
                <w:sz w:val="20"/>
                <w:szCs w:val="20"/>
              </w:rPr>
              <w:t xml:space="preserve"> at p. 327.</w:t>
            </w:r>
          </w:p>
          <w:p w:rsidRPr="00826646" w:rsidR="00633D60" w:rsidRDefault="00633D60" w14:paraId="4EE342C1" w14:textId="77777777">
            <w:pPr>
              <w:rPr>
                <w:rFonts w:ascii="Palatino Linotype" w:hAnsi="Palatino Linotype"/>
                <w:b/>
                <w:bCs w:val="0"/>
                <w:strike/>
                <w:sz w:val="20"/>
                <w:szCs w:val="20"/>
              </w:rPr>
            </w:pPr>
          </w:p>
          <w:p w:rsidRPr="00826646" w:rsidR="00633D60" w:rsidRDefault="00633D60" w14:paraId="7F84C0B3" w14:textId="77777777">
            <w:pPr>
              <w:rPr>
                <w:rFonts w:ascii="Palatino Linotype" w:hAnsi="Palatino Linotype"/>
                <w:sz w:val="20"/>
                <w:szCs w:val="20"/>
              </w:rPr>
            </w:pPr>
            <w:r w:rsidRPr="00826646">
              <w:rPr>
                <w:rFonts w:ascii="Palatino Linotype" w:hAnsi="Palatino Linotype"/>
                <w:sz w:val="20"/>
                <w:szCs w:val="20"/>
              </w:rPr>
              <w:t xml:space="preserve">Consistent with </w:t>
            </w:r>
            <w:hyperlink w:history="1" r:id="rId37">
              <w:r w:rsidRPr="00826646">
                <w:rPr>
                  <w:rFonts w:ascii="Palatino Linotype" w:hAnsi="Palatino Linotype"/>
                  <w:color w:val="467886" w:themeColor="hyperlink"/>
                  <w:sz w:val="20"/>
                  <w:szCs w:val="20"/>
                  <w:u w:val="single"/>
                </w:rPr>
                <w:t>D.23-04-042</w:t>
              </w:r>
            </w:hyperlink>
            <w:r w:rsidRPr="00826646">
              <w:rPr>
                <w:rFonts w:ascii="Palatino Linotype" w:hAnsi="Palatino Linotype"/>
                <w:sz w:val="20"/>
                <w:szCs w:val="20"/>
              </w:rPr>
              <w:t xml:space="preserve"> at Appendix A.</w:t>
            </w:r>
          </w:p>
          <w:p w:rsidRPr="00826646" w:rsidR="00633D60" w:rsidRDefault="00633D60" w14:paraId="22E18405" w14:textId="77777777">
            <w:pPr>
              <w:rPr>
                <w:rFonts w:ascii="Palatino Linotype" w:hAnsi="Palatino Linotype"/>
                <w:b/>
                <w:bCs w:val="0"/>
                <w:strike/>
                <w:sz w:val="20"/>
                <w:szCs w:val="20"/>
              </w:rPr>
            </w:pPr>
          </w:p>
        </w:tc>
        <w:tc>
          <w:tcPr>
            <w:tcW w:w="3415" w:type="dxa"/>
          </w:tcPr>
          <w:p w:rsidRPr="00826646" w:rsidR="00633D60" w:rsidRDefault="00633D60" w14:paraId="40928A5C" w14:textId="77777777">
            <w:pPr>
              <w:rPr>
                <w:rFonts w:ascii="Palatino Linotype" w:hAnsi="Palatino Linotype"/>
                <w:color w:val="000000" w:themeColor="text1"/>
                <w:sz w:val="20"/>
                <w:szCs w:val="20"/>
              </w:rPr>
            </w:pPr>
            <w:r w:rsidRPr="00826646">
              <w:rPr>
                <w:rFonts w:ascii="Palatino Linotype" w:hAnsi="Palatino Linotype"/>
                <w:color w:val="000000" w:themeColor="text1"/>
                <w:sz w:val="20"/>
                <w:szCs w:val="20"/>
              </w:rPr>
              <w:t xml:space="preserve">2. </w:t>
            </w:r>
            <w:r w:rsidRPr="00826646">
              <w:rPr>
                <w:rFonts w:ascii="Palatino Linotype" w:hAnsi="Palatino Linotype"/>
                <w:b/>
                <w:color w:val="000000" w:themeColor="text1"/>
                <w:sz w:val="20"/>
                <w:szCs w:val="20"/>
              </w:rPr>
              <w:t xml:space="preserve">Identified Need: </w:t>
            </w:r>
            <w:r w:rsidRPr="00826646">
              <w:rPr>
                <w:rFonts w:ascii="Palatino Linotype" w:hAnsi="Palatino Linotype"/>
                <w:color w:val="000000" w:themeColor="text1"/>
                <w:sz w:val="20"/>
                <w:szCs w:val="20"/>
              </w:rPr>
              <w:t>Innovation and differentiation from existing RD&amp;D activities to support complementary rather than duplicative efforts, informed by specific consultation with other Gas RD&amp;D Administrators. Demonstrate that the Initiative will leverage existing progress while providing distinct additional value.</w:t>
            </w:r>
          </w:p>
        </w:tc>
      </w:tr>
      <w:tr w:rsidRPr="00826646" w:rsidR="00633D60" w14:paraId="3500AB50" w14:textId="77777777">
        <w:tc>
          <w:tcPr>
            <w:tcW w:w="5935" w:type="dxa"/>
          </w:tcPr>
          <w:p w:rsidRPr="00826646" w:rsidR="00633D60" w:rsidRDefault="00633D60" w14:paraId="3FB89A97" w14:textId="77777777">
            <w:pPr>
              <w:rPr>
                <w:rFonts w:ascii="Palatino Linotype" w:hAnsi="Palatino Linotype"/>
                <w:b/>
                <w:bCs w:val="0"/>
                <w:sz w:val="20"/>
                <w:szCs w:val="20"/>
              </w:rPr>
            </w:pPr>
            <w:hyperlink w:history="1" r:id="rId38">
              <w:r w:rsidRPr="00826646">
                <w:rPr>
                  <w:rFonts w:ascii="Palatino Linotype" w:hAnsi="Palatino Linotype"/>
                  <w:b/>
                  <w:color w:val="467886" w:themeColor="hyperlink"/>
                  <w:sz w:val="20"/>
                  <w:szCs w:val="20"/>
                  <w:u w:val="single"/>
                </w:rPr>
                <w:t>Resolution G-</w:t>
              </w:r>
              <w:r w:rsidRPr="00826646">
                <w:rPr>
                  <w:rFonts w:ascii="Palatino Linotype" w:hAnsi="Palatino Linotype" w:cs="Arial"/>
                  <w:b/>
                  <w:color w:val="467886" w:themeColor="hyperlink"/>
                  <w:sz w:val="20"/>
                  <w:szCs w:val="20"/>
                  <w:u w:val="single"/>
                </w:rPr>
                <w:t>3573</w:t>
              </w:r>
            </w:hyperlink>
            <w:r w:rsidRPr="00826646">
              <w:rPr>
                <w:rFonts w:ascii="Palatino Linotype" w:hAnsi="Palatino Linotype"/>
                <w:b/>
                <w:sz w:val="20"/>
                <w:szCs w:val="20"/>
              </w:rPr>
              <w:t xml:space="preserve"> (2021) at OP 3.</w:t>
            </w:r>
          </w:p>
          <w:p w:rsidRPr="00826646" w:rsidR="00633D60" w:rsidRDefault="00633D60" w14:paraId="280F76F6" w14:textId="77777777">
            <w:pPr>
              <w:rPr>
                <w:rFonts w:ascii="Palatino Linotype" w:hAnsi="Palatino Linotype"/>
                <w:b/>
                <w:bCs w:val="0"/>
                <w:sz w:val="20"/>
                <w:szCs w:val="20"/>
              </w:rPr>
            </w:pPr>
            <w:hyperlink w:tgtFrame="_blank" w:history="1" r:id="rId39">
              <w:r w:rsidRPr="00826646">
                <w:rPr>
                  <w:rFonts w:ascii="Palatino Linotype" w:hAnsi="Palatino Linotype"/>
                  <w:b/>
                  <w:color w:val="467886" w:themeColor="hyperlink"/>
                  <w:sz w:val="20"/>
                  <w:szCs w:val="20"/>
                  <w:u w:val="single"/>
                </w:rPr>
                <w:t>Resolution G-3601</w:t>
              </w:r>
            </w:hyperlink>
            <w:r w:rsidRPr="00826646">
              <w:rPr>
                <w:rFonts w:ascii="Palatino Linotype" w:hAnsi="Palatino Linotype"/>
                <w:b/>
                <w:sz w:val="20"/>
                <w:szCs w:val="20"/>
              </w:rPr>
              <w:t xml:space="preserve"> (2023) at OP 6c.</w:t>
            </w:r>
          </w:p>
          <w:p w:rsidRPr="00826646" w:rsidR="00633D60" w:rsidRDefault="00633D60" w14:paraId="7453889E" w14:textId="77777777">
            <w:pPr>
              <w:rPr>
                <w:rFonts w:ascii="Palatino Linotype" w:hAnsi="Palatino Linotype"/>
                <w:b/>
                <w:bCs w:val="0"/>
                <w:sz w:val="20"/>
                <w:szCs w:val="20"/>
              </w:rPr>
            </w:pPr>
          </w:p>
          <w:p w:rsidRPr="00826646" w:rsidR="00633D60" w:rsidRDefault="00633D60" w14:paraId="43ACF9A7" w14:textId="77777777">
            <w:pPr>
              <w:rPr>
                <w:rFonts w:ascii="Palatino Linotype" w:hAnsi="Palatino Linotype"/>
                <w:sz w:val="20"/>
                <w:szCs w:val="20"/>
              </w:rPr>
            </w:pPr>
            <w:r w:rsidRPr="00826646">
              <w:rPr>
                <w:rFonts w:ascii="Palatino Linotype" w:hAnsi="Palatino Linotype"/>
                <w:sz w:val="20"/>
                <w:szCs w:val="20"/>
              </w:rPr>
              <w:t xml:space="preserve">Consistent with </w:t>
            </w:r>
            <w:hyperlink w:history="1" r:id="rId40">
              <w:r w:rsidRPr="00826646">
                <w:rPr>
                  <w:rFonts w:ascii="Palatino Linotype" w:hAnsi="Palatino Linotype"/>
                  <w:color w:val="467886" w:themeColor="hyperlink"/>
                  <w:sz w:val="20"/>
                  <w:szCs w:val="20"/>
                  <w:u w:val="single"/>
                </w:rPr>
                <w:t>D.23-04-042</w:t>
              </w:r>
            </w:hyperlink>
            <w:r w:rsidRPr="00826646">
              <w:rPr>
                <w:rFonts w:ascii="Palatino Linotype" w:hAnsi="Palatino Linotype"/>
                <w:sz w:val="20"/>
                <w:szCs w:val="20"/>
              </w:rPr>
              <w:t xml:space="preserve"> at Appendix A.</w:t>
            </w:r>
          </w:p>
        </w:tc>
        <w:tc>
          <w:tcPr>
            <w:tcW w:w="3415" w:type="dxa"/>
          </w:tcPr>
          <w:p w:rsidRPr="00826646" w:rsidR="00633D60" w:rsidRDefault="00633D60" w14:paraId="5DF25701" w14:textId="77777777">
            <w:pPr>
              <w:rPr>
                <w:rFonts w:ascii="Palatino Linotype" w:hAnsi="Palatino Linotype"/>
                <w:sz w:val="20"/>
                <w:szCs w:val="20"/>
              </w:rPr>
            </w:pPr>
            <w:r w:rsidRPr="00826646">
              <w:rPr>
                <w:rFonts w:ascii="Palatino Linotype" w:hAnsi="Palatino Linotype"/>
                <w:sz w:val="20"/>
                <w:szCs w:val="20"/>
              </w:rPr>
              <w:t xml:space="preserve">3. </w:t>
            </w:r>
            <w:r w:rsidRPr="00826646">
              <w:rPr>
                <w:rFonts w:ascii="Palatino Linotype" w:hAnsi="Palatino Linotype"/>
                <w:b/>
                <w:sz w:val="20"/>
                <w:szCs w:val="20"/>
              </w:rPr>
              <w:t>Proposed Solution</w:t>
            </w:r>
            <w:r w:rsidRPr="00826646">
              <w:rPr>
                <w:rFonts w:ascii="Palatino Linotype" w:hAnsi="Palatino Linotype"/>
                <w:sz w:val="20"/>
                <w:szCs w:val="20"/>
              </w:rPr>
              <w:t xml:space="preserve">: </w:t>
            </w:r>
            <w:r w:rsidRPr="00826646">
              <w:rPr>
                <w:rFonts w:ascii="Palatino Linotype" w:hAnsi="Palatino Linotype"/>
                <w:color w:val="000000" w:themeColor="text1"/>
                <w:sz w:val="20"/>
                <w:szCs w:val="20"/>
              </w:rPr>
              <w:t xml:space="preserve">Describe Research Topics, anticipated near-term project outputs commensurate with the proposed funding level, and </w:t>
            </w:r>
            <w:r w:rsidRPr="00826646">
              <w:rPr>
                <w:rFonts w:ascii="Palatino Linotype" w:hAnsi="Palatino Linotype" w:eastAsia="Century Gothic" w:cs="Century Gothic"/>
                <w:color w:val="000000" w:themeColor="text1"/>
                <w:sz w:val="20"/>
                <w:szCs w:val="20"/>
              </w:rPr>
              <w:t>intended pathways to scale, commercialize, and otherwise utilize results from RD&amp;D activities to promote technology transfer and market facilitation.</w:t>
            </w:r>
          </w:p>
        </w:tc>
      </w:tr>
      <w:tr w:rsidRPr="00826646" w:rsidR="00633D60" w14:paraId="08F7AE20" w14:textId="77777777">
        <w:tc>
          <w:tcPr>
            <w:tcW w:w="5935" w:type="dxa"/>
          </w:tcPr>
          <w:p w:rsidRPr="00826646" w:rsidR="00633D60" w:rsidRDefault="00633D60" w14:paraId="75B8EFC1" w14:textId="77777777">
            <w:pPr>
              <w:rPr>
                <w:rFonts w:ascii="Palatino Linotype" w:hAnsi="Palatino Linotype"/>
                <w:b/>
                <w:sz w:val="20"/>
                <w:szCs w:val="20"/>
              </w:rPr>
            </w:pPr>
            <w:r w:rsidRPr="00826646">
              <w:rPr>
                <w:rFonts w:ascii="Palatino Linotype" w:hAnsi="Palatino Linotype"/>
                <w:sz w:val="20"/>
                <w:szCs w:val="20"/>
              </w:rPr>
              <w:t xml:space="preserve">a. </w:t>
            </w:r>
            <w:r w:rsidRPr="00826646">
              <w:rPr>
                <w:rFonts w:ascii="Palatino Linotype" w:hAnsi="Palatino Linotype" w:eastAsia="Palatino Linotype" w:cs="Palatino Linotype"/>
                <w:b/>
                <w:color w:val="000000" w:themeColor="text1"/>
                <w:sz w:val="20"/>
                <w:szCs w:val="20"/>
              </w:rPr>
              <w:t>Public Utilities Code 740.1 at (a).</w:t>
            </w:r>
          </w:p>
          <w:p w:rsidRPr="00826646" w:rsidR="00633D60" w:rsidRDefault="00633D60" w14:paraId="52D2BB32" w14:textId="77777777">
            <w:pPr>
              <w:rPr>
                <w:rFonts w:ascii="Palatino Linotype" w:hAnsi="Palatino Linotype" w:eastAsia="Palatino Linotype" w:cs="Palatino Linotype"/>
                <w:color w:val="000000" w:themeColor="text1"/>
                <w:sz w:val="20"/>
                <w:szCs w:val="20"/>
              </w:rPr>
            </w:pPr>
            <w:r w:rsidRPr="00826646">
              <w:rPr>
                <w:rFonts w:ascii="Palatino Linotype" w:hAnsi="Palatino Linotype"/>
                <w:sz w:val="20"/>
                <w:szCs w:val="20"/>
              </w:rPr>
              <w:t xml:space="preserve">     </w:t>
            </w:r>
            <w:hyperlink r:id="rId41">
              <w:r w:rsidRPr="00826646">
                <w:rPr>
                  <w:rFonts w:ascii="Palatino Linotype" w:hAnsi="Palatino Linotype" w:eastAsia="Palatino Linotype" w:cs="Palatino Linotype"/>
                  <w:color w:val="467886" w:themeColor="hyperlink"/>
                  <w:sz w:val="20"/>
                  <w:szCs w:val="20"/>
                  <w:u w:val="single"/>
                </w:rPr>
                <w:t>D.04-08-010</w:t>
              </w:r>
            </w:hyperlink>
            <w:r w:rsidRPr="00826646">
              <w:rPr>
                <w:rFonts w:ascii="Palatino Linotype" w:hAnsi="Palatino Linotype" w:eastAsia="Palatino Linotype" w:cs="Palatino Linotype"/>
                <w:color w:val="000000" w:themeColor="text1"/>
                <w:sz w:val="20"/>
                <w:szCs w:val="20"/>
              </w:rPr>
              <w:t xml:space="preserve"> at p. 28; FOF 32; &amp; OP 17. </w:t>
            </w:r>
          </w:p>
          <w:p w:rsidRPr="00826646" w:rsidR="00633D60" w:rsidRDefault="00633D60" w14:paraId="79643F35" w14:textId="77777777">
            <w:pPr>
              <w:rPr>
                <w:rFonts w:ascii="Palatino Linotype" w:hAnsi="Palatino Linotype"/>
                <w:b/>
                <w:bCs w:val="0"/>
                <w:sz w:val="20"/>
                <w:szCs w:val="20"/>
              </w:rPr>
            </w:pPr>
            <w:r w:rsidRPr="00826646">
              <w:rPr>
                <w:rFonts w:ascii="Palatino Linotype" w:hAnsi="Palatino Linotype"/>
                <w:sz w:val="20"/>
                <w:szCs w:val="20"/>
              </w:rPr>
              <w:t xml:space="preserve">     </w:t>
            </w:r>
            <w:hyperlink w:history="1" r:id="rId42">
              <w:r w:rsidRPr="00826646">
                <w:rPr>
                  <w:rFonts w:ascii="Palatino Linotype" w:hAnsi="Palatino Linotype"/>
                  <w:b/>
                  <w:color w:val="467886" w:themeColor="hyperlink"/>
                  <w:sz w:val="20"/>
                  <w:szCs w:val="20"/>
                  <w:u w:val="single"/>
                </w:rPr>
                <w:t>Resolution G-</w:t>
              </w:r>
              <w:r w:rsidRPr="00826646">
                <w:rPr>
                  <w:rFonts w:ascii="Palatino Linotype" w:hAnsi="Palatino Linotype" w:cs="Arial"/>
                  <w:b/>
                  <w:color w:val="467886" w:themeColor="hyperlink"/>
                  <w:sz w:val="20"/>
                  <w:szCs w:val="20"/>
                  <w:u w:val="single"/>
                </w:rPr>
                <w:t>3573</w:t>
              </w:r>
            </w:hyperlink>
            <w:r w:rsidRPr="00826646">
              <w:rPr>
                <w:rFonts w:ascii="Palatino Linotype" w:hAnsi="Palatino Linotype"/>
                <w:b/>
                <w:sz w:val="20"/>
                <w:szCs w:val="20"/>
              </w:rPr>
              <w:t xml:space="preserve"> (2021) at OP 3.</w:t>
            </w:r>
          </w:p>
          <w:p w:rsidRPr="00826646" w:rsidR="00633D60" w:rsidRDefault="00633D60" w14:paraId="15D9D07D" w14:textId="77777777">
            <w:pPr>
              <w:rPr>
                <w:rFonts w:ascii="Palatino Linotype" w:hAnsi="Palatino Linotype"/>
                <w:b/>
                <w:bCs w:val="0"/>
                <w:sz w:val="20"/>
                <w:szCs w:val="20"/>
              </w:rPr>
            </w:pPr>
            <w:r w:rsidRPr="00826646">
              <w:rPr>
                <w:rFonts w:ascii="Palatino Linotype" w:hAnsi="Palatino Linotype"/>
                <w:b/>
                <w:sz w:val="20"/>
                <w:szCs w:val="20"/>
              </w:rPr>
              <w:t xml:space="preserve">     </w:t>
            </w:r>
            <w:hyperlink w:tgtFrame="_blank" w:history="1" r:id="rId43">
              <w:r w:rsidRPr="00826646">
                <w:rPr>
                  <w:rFonts w:ascii="Palatino Linotype" w:hAnsi="Palatino Linotype"/>
                  <w:b/>
                  <w:color w:val="467886" w:themeColor="hyperlink"/>
                  <w:sz w:val="20"/>
                  <w:szCs w:val="20"/>
                  <w:u w:val="single"/>
                </w:rPr>
                <w:t>Resolution G-3586</w:t>
              </w:r>
            </w:hyperlink>
            <w:r w:rsidRPr="00826646">
              <w:rPr>
                <w:rFonts w:ascii="Palatino Linotype" w:hAnsi="Palatino Linotype"/>
                <w:b/>
                <w:sz w:val="20"/>
                <w:szCs w:val="20"/>
              </w:rPr>
              <w:t xml:space="preserve"> (2022) at OP 4 &amp; 5.</w:t>
            </w:r>
          </w:p>
          <w:p w:rsidRPr="00826646" w:rsidR="00633D60" w:rsidRDefault="00633D60" w14:paraId="6020052E" w14:textId="77777777">
            <w:pPr>
              <w:rPr>
                <w:rFonts w:ascii="Palatino Linotype" w:hAnsi="Palatino Linotype"/>
                <w:sz w:val="20"/>
                <w:szCs w:val="20"/>
              </w:rPr>
            </w:pPr>
            <w:r w:rsidRPr="00826646">
              <w:rPr>
                <w:rFonts w:ascii="Palatino Linotype" w:hAnsi="Palatino Linotype"/>
                <w:sz w:val="20"/>
                <w:szCs w:val="20"/>
              </w:rPr>
              <w:t xml:space="preserve">     </w:t>
            </w:r>
            <w:hyperlink w:tgtFrame="_blank" w:history="1" r:id="rId44">
              <w:r w:rsidRPr="00826646">
                <w:rPr>
                  <w:rFonts w:ascii="Palatino Linotype" w:hAnsi="Palatino Linotype"/>
                  <w:color w:val="467886" w:themeColor="hyperlink"/>
                  <w:sz w:val="20"/>
                  <w:szCs w:val="20"/>
                  <w:u w:val="single"/>
                </w:rPr>
                <w:t>Resolution G-3592</w:t>
              </w:r>
            </w:hyperlink>
            <w:r w:rsidRPr="00826646">
              <w:rPr>
                <w:rFonts w:ascii="Palatino Linotype" w:hAnsi="Palatino Linotype"/>
                <w:sz w:val="20"/>
                <w:szCs w:val="20"/>
              </w:rPr>
              <w:t xml:space="preserve"> (2023) at OP 6.</w:t>
            </w:r>
          </w:p>
          <w:p w:rsidRPr="00826646" w:rsidR="00633D60" w:rsidRDefault="00633D60" w14:paraId="47739146" w14:textId="77777777">
            <w:pPr>
              <w:rPr>
                <w:rFonts w:ascii="Palatino Linotype" w:hAnsi="Palatino Linotype"/>
                <w:b/>
                <w:bCs w:val="0"/>
                <w:sz w:val="20"/>
                <w:szCs w:val="20"/>
              </w:rPr>
            </w:pPr>
            <w:r w:rsidRPr="00826646">
              <w:rPr>
                <w:rFonts w:ascii="Palatino Linotype" w:hAnsi="Palatino Linotype"/>
                <w:sz w:val="20"/>
                <w:szCs w:val="20"/>
              </w:rPr>
              <w:t xml:space="preserve">     </w:t>
            </w:r>
            <w:hyperlink w:tgtFrame="_blank" w:history="1" r:id="rId45">
              <w:r w:rsidRPr="00826646">
                <w:rPr>
                  <w:rFonts w:ascii="Palatino Linotype" w:hAnsi="Palatino Linotype"/>
                  <w:b/>
                  <w:color w:val="467886" w:themeColor="hyperlink"/>
                  <w:sz w:val="20"/>
                  <w:szCs w:val="20"/>
                  <w:u w:val="single"/>
                </w:rPr>
                <w:t>Resolution G-3601</w:t>
              </w:r>
            </w:hyperlink>
            <w:r w:rsidRPr="00826646">
              <w:rPr>
                <w:rFonts w:ascii="Palatino Linotype" w:hAnsi="Palatino Linotype"/>
                <w:b/>
                <w:sz w:val="20"/>
                <w:szCs w:val="20"/>
              </w:rPr>
              <w:t xml:space="preserve"> (2023) at OP 5 &amp; 6b. </w:t>
            </w:r>
          </w:p>
          <w:p w:rsidRPr="00826646" w:rsidR="00633D60" w:rsidRDefault="00633D60" w14:paraId="379902EC" w14:textId="77777777">
            <w:pPr>
              <w:rPr>
                <w:rFonts w:ascii="Palatino Linotype" w:hAnsi="Palatino Linotype"/>
                <w:sz w:val="20"/>
                <w:szCs w:val="20"/>
              </w:rPr>
            </w:pPr>
            <w:r w:rsidRPr="00826646">
              <w:rPr>
                <w:rFonts w:ascii="Palatino Linotype" w:hAnsi="Palatino Linotype"/>
                <w:sz w:val="20"/>
                <w:szCs w:val="20"/>
              </w:rPr>
              <w:t xml:space="preserve">     </w:t>
            </w:r>
            <w:hyperlink w:tgtFrame="_blank" w:history="1" r:id="rId46">
              <w:r w:rsidRPr="00826646">
                <w:rPr>
                  <w:rFonts w:ascii="Palatino Linotype" w:hAnsi="Palatino Linotype"/>
                  <w:color w:val="467886" w:themeColor="hyperlink"/>
                  <w:sz w:val="20"/>
                  <w:szCs w:val="20"/>
                  <w:u w:val="single"/>
                </w:rPr>
                <w:t>Resolution G-3603</w:t>
              </w:r>
            </w:hyperlink>
            <w:r w:rsidRPr="00826646">
              <w:rPr>
                <w:rFonts w:ascii="Palatino Linotype" w:hAnsi="Palatino Linotype"/>
                <w:sz w:val="20"/>
                <w:szCs w:val="20"/>
              </w:rPr>
              <w:t xml:space="preserve"> (2024) at OP 6.</w:t>
            </w:r>
          </w:p>
          <w:p w:rsidRPr="00826646" w:rsidR="00633D60" w:rsidRDefault="00633D60" w14:paraId="0411DF12" w14:textId="77777777">
            <w:pPr>
              <w:rPr>
                <w:rFonts w:ascii="Palatino Linotype" w:hAnsi="Palatino Linotype"/>
                <w:sz w:val="20"/>
                <w:szCs w:val="20"/>
              </w:rPr>
            </w:pPr>
            <w:r w:rsidRPr="00826646">
              <w:rPr>
                <w:rFonts w:ascii="Palatino Linotype" w:hAnsi="Palatino Linotype"/>
                <w:sz w:val="20"/>
                <w:szCs w:val="20"/>
              </w:rPr>
              <w:t xml:space="preserve">     </w:t>
            </w:r>
            <w:hyperlink w:history="1" r:id="rId47">
              <w:r w:rsidRPr="00826646">
                <w:rPr>
                  <w:rFonts w:ascii="Palatino Linotype" w:hAnsi="Palatino Linotype"/>
                  <w:color w:val="467886" w:themeColor="hyperlink"/>
                  <w:sz w:val="20"/>
                  <w:szCs w:val="20"/>
                  <w:u w:val="single"/>
                </w:rPr>
                <w:t>D.23-11-069</w:t>
              </w:r>
            </w:hyperlink>
            <w:r w:rsidRPr="00826646">
              <w:rPr>
                <w:rFonts w:ascii="Palatino Linotype" w:hAnsi="Palatino Linotype"/>
                <w:sz w:val="20"/>
                <w:szCs w:val="20"/>
              </w:rPr>
              <w:t xml:space="preserve"> at p. 218 &amp; 220.</w:t>
            </w:r>
          </w:p>
          <w:p w:rsidRPr="00826646" w:rsidR="00633D60" w:rsidRDefault="00633D60" w14:paraId="3CA76605" w14:textId="77777777">
            <w:pPr>
              <w:rPr>
                <w:rFonts w:ascii="Palatino Linotype" w:hAnsi="Palatino Linotype"/>
                <w:sz w:val="20"/>
                <w:szCs w:val="20"/>
              </w:rPr>
            </w:pPr>
          </w:p>
          <w:p w:rsidRPr="00826646" w:rsidR="00633D60" w:rsidRDefault="00633D60" w14:paraId="7D01954B" w14:textId="77777777">
            <w:pPr>
              <w:rPr>
                <w:rFonts w:ascii="Palatino Linotype" w:hAnsi="Palatino Linotype"/>
                <w:sz w:val="20"/>
                <w:szCs w:val="20"/>
              </w:rPr>
            </w:pPr>
            <w:r w:rsidRPr="00826646">
              <w:rPr>
                <w:rFonts w:ascii="Palatino Linotype" w:hAnsi="Palatino Linotype"/>
                <w:sz w:val="20"/>
                <w:szCs w:val="20"/>
              </w:rPr>
              <w:lastRenderedPageBreak/>
              <w:t xml:space="preserve">Consistent with </w:t>
            </w:r>
            <w:hyperlink w:history="1" r:id="rId48">
              <w:r w:rsidRPr="00826646">
                <w:rPr>
                  <w:rFonts w:ascii="Palatino Linotype" w:hAnsi="Palatino Linotype"/>
                  <w:color w:val="467886" w:themeColor="hyperlink"/>
                  <w:sz w:val="20"/>
                  <w:szCs w:val="20"/>
                  <w:u w:val="single"/>
                </w:rPr>
                <w:t>D.23-04-042</w:t>
              </w:r>
            </w:hyperlink>
            <w:r w:rsidRPr="00826646">
              <w:rPr>
                <w:rFonts w:ascii="Palatino Linotype" w:hAnsi="Palatino Linotype"/>
                <w:sz w:val="20"/>
                <w:szCs w:val="20"/>
              </w:rPr>
              <w:t xml:space="preserve"> at Appendix A</w:t>
            </w:r>
            <w:r w:rsidRPr="00826646">
              <w:rPr>
                <w:rFonts w:ascii="Palatino Linotype" w:hAnsi="Palatino Linotype"/>
                <w:color w:val="000000" w:themeColor="text1"/>
                <w:sz w:val="20"/>
                <w:szCs w:val="20"/>
              </w:rPr>
              <w:t>. See Appendix F: EPIC Foundational Principles for the Development of a Uniform Impact Analysis Framework.</w:t>
            </w:r>
          </w:p>
          <w:p w:rsidRPr="00826646" w:rsidR="00633D60" w:rsidRDefault="00633D60" w14:paraId="40C96963" w14:textId="77777777">
            <w:pPr>
              <w:spacing w:before="240"/>
              <w:rPr>
                <w:rFonts w:ascii="Palatino Linotype" w:hAnsi="Palatino Linotype"/>
                <w:b/>
                <w:sz w:val="20"/>
                <w:szCs w:val="20"/>
              </w:rPr>
            </w:pPr>
            <w:r w:rsidRPr="00826646">
              <w:rPr>
                <w:rFonts w:ascii="Palatino Linotype" w:hAnsi="Palatino Linotype"/>
                <w:sz w:val="20"/>
                <w:szCs w:val="20"/>
              </w:rPr>
              <w:t xml:space="preserve">b. </w:t>
            </w:r>
            <w:r w:rsidRPr="00826646">
              <w:rPr>
                <w:rFonts w:ascii="Palatino Linotype" w:hAnsi="Palatino Linotype"/>
                <w:b/>
                <w:sz w:val="20"/>
                <w:szCs w:val="20"/>
              </w:rPr>
              <w:t>California Public Utilities Code Section 740.1 (e)(5)</w:t>
            </w:r>
          </w:p>
          <w:p w:rsidRPr="00826646" w:rsidR="00633D60" w:rsidRDefault="00633D60" w14:paraId="09DCE0A5" w14:textId="77777777">
            <w:pPr>
              <w:rPr>
                <w:rFonts w:ascii="Palatino Linotype" w:hAnsi="Palatino Linotype" w:eastAsia="Century Gothic" w:cs="Century Gothic"/>
                <w:b/>
                <w:bCs w:val="0"/>
                <w:sz w:val="20"/>
                <w:szCs w:val="20"/>
              </w:rPr>
            </w:pPr>
            <w:r w:rsidRPr="00826646">
              <w:rPr>
                <w:rFonts w:ascii="Palatino Linotype" w:hAnsi="Palatino Linotype"/>
                <w:sz w:val="20"/>
                <w:szCs w:val="20"/>
              </w:rPr>
              <w:t xml:space="preserve">     </w:t>
            </w:r>
            <w:hyperlink w:history="1" r:id="rId49">
              <w:r w:rsidRPr="00826646">
                <w:rPr>
                  <w:rFonts w:ascii="Palatino Linotype" w:hAnsi="Palatino Linotype" w:eastAsia="Century Gothic" w:cs="Century Gothic"/>
                  <w:b/>
                  <w:color w:val="467886" w:themeColor="hyperlink"/>
                  <w:sz w:val="20"/>
                  <w:szCs w:val="20"/>
                  <w:u w:val="single"/>
                </w:rPr>
                <w:t>D.19-09-051</w:t>
              </w:r>
            </w:hyperlink>
            <w:r w:rsidRPr="00826646">
              <w:rPr>
                <w:rFonts w:ascii="Palatino Linotype" w:hAnsi="Palatino Linotype" w:eastAsia="Century Gothic" w:cs="Century Gothic"/>
                <w:b/>
                <w:sz w:val="20"/>
                <w:szCs w:val="20"/>
              </w:rPr>
              <w:t xml:space="preserve"> at p. 379. </w:t>
            </w:r>
          </w:p>
          <w:p w:rsidRPr="00826646" w:rsidR="00633D60" w:rsidRDefault="00633D60" w14:paraId="79A2E012" w14:textId="77777777">
            <w:pPr>
              <w:rPr>
                <w:rFonts w:ascii="Palatino Linotype" w:hAnsi="Palatino Linotype" w:eastAsia="Century Gothic" w:cs="Century Gothic"/>
                <w:sz w:val="20"/>
                <w:szCs w:val="20"/>
              </w:rPr>
            </w:pPr>
            <w:r w:rsidRPr="00826646">
              <w:rPr>
                <w:rFonts w:ascii="Palatino Linotype" w:hAnsi="Palatino Linotype"/>
                <w:sz w:val="20"/>
                <w:szCs w:val="20"/>
              </w:rPr>
              <w:t xml:space="preserve">     </w:t>
            </w:r>
            <w:hyperlink w:history="1" r:id="rId50">
              <w:r w:rsidRPr="00826646">
                <w:rPr>
                  <w:rFonts w:ascii="Palatino Linotype" w:hAnsi="Palatino Linotype"/>
                  <w:color w:val="467886" w:themeColor="hyperlink"/>
                  <w:sz w:val="20"/>
                  <w:szCs w:val="20"/>
                  <w:u w:val="single"/>
                </w:rPr>
                <w:t>D.23-11-069</w:t>
              </w:r>
            </w:hyperlink>
            <w:r w:rsidRPr="00826646">
              <w:rPr>
                <w:rFonts w:ascii="Palatino Linotype" w:hAnsi="Palatino Linotype"/>
                <w:sz w:val="20"/>
                <w:szCs w:val="20"/>
              </w:rPr>
              <w:t xml:space="preserve"> at p. 218.</w:t>
            </w:r>
          </w:p>
          <w:p w:rsidRPr="00826646" w:rsidR="00633D60" w:rsidRDefault="00633D60" w14:paraId="787B1356" w14:textId="77777777">
            <w:pPr>
              <w:rPr>
                <w:rFonts w:ascii="Palatino Linotype" w:hAnsi="Palatino Linotype"/>
                <w:sz w:val="20"/>
                <w:szCs w:val="20"/>
              </w:rPr>
            </w:pPr>
            <w:r w:rsidRPr="00826646">
              <w:rPr>
                <w:rFonts w:ascii="Palatino Linotype" w:hAnsi="Palatino Linotype"/>
                <w:sz w:val="20"/>
                <w:szCs w:val="20"/>
              </w:rPr>
              <w:t xml:space="preserve">     </w:t>
            </w:r>
            <w:hyperlink w:history="1" r:id="rId51">
              <w:r w:rsidRPr="00826646">
                <w:rPr>
                  <w:rFonts w:ascii="Palatino Linotype" w:hAnsi="Palatino Linotype"/>
                  <w:color w:val="467886" w:themeColor="hyperlink"/>
                  <w:sz w:val="20"/>
                  <w:szCs w:val="20"/>
                  <w:u w:val="single"/>
                </w:rPr>
                <w:t>Executive Order (EO) N-5-24</w:t>
              </w:r>
            </w:hyperlink>
            <w:r w:rsidRPr="00826646">
              <w:rPr>
                <w:rFonts w:ascii="Palatino Linotype" w:hAnsi="Palatino Linotype"/>
                <w:sz w:val="20"/>
                <w:szCs w:val="20"/>
              </w:rPr>
              <w:t xml:space="preserve"> (Newsom, 2024)</w:t>
            </w:r>
          </w:p>
          <w:p w:rsidRPr="00826646" w:rsidR="00633D60" w:rsidRDefault="00633D60" w14:paraId="24A1D3BD" w14:textId="77777777">
            <w:pPr>
              <w:spacing w:before="240"/>
              <w:rPr>
                <w:rFonts w:ascii="Palatino Linotype" w:hAnsi="Palatino Linotype"/>
                <w:sz w:val="20"/>
                <w:szCs w:val="20"/>
              </w:rPr>
            </w:pPr>
            <w:r w:rsidRPr="00826646">
              <w:rPr>
                <w:rFonts w:ascii="Palatino Linotype" w:hAnsi="Palatino Linotype"/>
                <w:sz w:val="20"/>
                <w:szCs w:val="20"/>
              </w:rPr>
              <w:t xml:space="preserve">c. </w:t>
            </w:r>
            <w:hyperlink w:tgtFrame="_blank" w:history="1" r:id="rId52">
              <w:r w:rsidRPr="00826646">
                <w:rPr>
                  <w:rFonts w:ascii="Palatino Linotype" w:hAnsi="Palatino Linotype"/>
                  <w:color w:val="467886" w:themeColor="hyperlink"/>
                  <w:sz w:val="20"/>
                  <w:szCs w:val="20"/>
                  <w:u w:val="single"/>
                </w:rPr>
                <w:t>Resolution G-3555</w:t>
              </w:r>
            </w:hyperlink>
            <w:r w:rsidRPr="00826646">
              <w:rPr>
                <w:rFonts w:ascii="Palatino Linotype" w:hAnsi="Palatino Linotype"/>
                <w:sz w:val="20"/>
                <w:szCs w:val="20"/>
              </w:rPr>
              <w:t xml:space="preserve"> (2019) at OP 6.</w:t>
            </w:r>
          </w:p>
          <w:p w:rsidRPr="00826646" w:rsidR="00633D60" w:rsidRDefault="00633D60" w14:paraId="6F44B91F" w14:textId="77777777">
            <w:pPr>
              <w:rPr>
                <w:rFonts w:ascii="Palatino Linotype" w:hAnsi="Palatino Linotype"/>
                <w:sz w:val="20"/>
                <w:szCs w:val="20"/>
              </w:rPr>
            </w:pPr>
            <w:r w:rsidRPr="00826646">
              <w:rPr>
                <w:rFonts w:ascii="Palatino Linotype" w:hAnsi="Palatino Linotype"/>
                <w:sz w:val="20"/>
                <w:szCs w:val="20"/>
              </w:rPr>
              <w:t xml:space="preserve">    </w:t>
            </w:r>
            <w:hyperlink w:history="1" r:id="rId53">
              <w:r w:rsidRPr="00826646">
                <w:rPr>
                  <w:rFonts w:ascii="Palatino Linotype" w:hAnsi="Palatino Linotype"/>
                  <w:color w:val="467886" w:themeColor="hyperlink"/>
                  <w:sz w:val="20"/>
                  <w:szCs w:val="20"/>
                  <w:u w:val="single"/>
                </w:rPr>
                <w:t>Resolution G-3571</w:t>
              </w:r>
            </w:hyperlink>
            <w:r w:rsidRPr="00826646">
              <w:rPr>
                <w:rFonts w:ascii="Palatino Linotype" w:hAnsi="Palatino Linotype"/>
                <w:sz w:val="20"/>
                <w:szCs w:val="20"/>
              </w:rPr>
              <w:t xml:space="preserve"> (2020) at OP 8b.</w:t>
            </w:r>
          </w:p>
          <w:p w:rsidRPr="00826646" w:rsidR="00633D60" w:rsidRDefault="00633D60" w14:paraId="3A7ED4B2" w14:textId="77777777">
            <w:pPr>
              <w:rPr>
                <w:rFonts w:ascii="Palatino Linotype" w:hAnsi="Palatino Linotype"/>
                <w:b/>
                <w:bCs w:val="0"/>
                <w:sz w:val="20"/>
                <w:szCs w:val="20"/>
              </w:rPr>
            </w:pPr>
            <w:r w:rsidRPr="00826646">
              <w:rPr>
                <w:rFonts w:ascii="Palatino Linotype" w:hAnsi="Palatino Linotype"/>
                <w:sz w:val="20"/>
                <w:szCs w:val="20"/>
              </w:rPr>
              <w:t xml:space="preserve">    </w:t>
            </w:r>
            <w:hyperlink w:history="1" r:id="rId54">
              <w:r w:rsidRPr="00826646">
                <w:rPr>
                  <w:rFonts w:ascii="Palatino Linotype" w:hAnsi="Palatino Linotype"/>
                  <w:b/>
                  <w:color w:val="467886" w:themeColor="hyperlink"/>
                  <w:sz w:val="20"/>
                  <w:szCs w:val="20"/>
                  <w:u w:val="single"/>
                </w:rPr>
                <w:t>Resolution G-</w:t>
              </w:r>
              <w:r w:rsidRPr="00826646">
                <w:rPr>
                  <w:rFonts w:ascii="Palatino Linotype" w:hAnsi="Palatino Linotype" w:cs="Arial"/>
                  <w:b/>
                  <w:color w:val="467886" w:themeColor="hyperlink"/>
                  <w:sz w:val="20"/>
                  <w:szCs w:val="20"/>
                  <w:u w:val="single"/>
                </w:rPr>
                <w:t>3573</w:t>
              </w:r>
            </w:hyperlink>
            <w:r w:rsidRPr="00826646">
              <w:rPr>
                <w:rFonts w:ascii="Palatino Linotype" w:hAnsi="Palatino Linotype"/>
                <w:b/>
                <w:sz w:val="20"/>
                <w:szCs w:val="20"/>
              </w:rPr>
              <w:t xml:space="preserve"> (2021) at OP 3.</w:t>
            </w:r>
          </w:p>
          <w:p w:rsidRPr="00826646" w:rsidR="00633D60" w:rsidRDefault="00633D60" w14:paraId="2EB28303" w14:textId="77777777">
            <w:pPr>
              <w:rPr>
                <w:rFonts w:ascii="Palatino Linotype" w:hAnsi="Palatino Linotype"/>
                <w:b/>
                <w:bCs w:val="0"/>
                <w:sz w:val="20"/>
                <w:szCs w:val="20"/>
              </w:rPr>
            </w:pPr>
            <w:r w:rsidRPr="00826646">
              <w:rPr>
                <w:rFonts w:ascii="Palatino Linotype" w:hAnsi="Palatino Linotype"/>
                <w:b/>
                <w:sz w:val="20"/>
                <w:szCs w:val="20"/>
              </w:rPr>
              <w:t xml:space="preserve">    </w:t>
            </w:r>
            <w:hyperlink w:tgtFrame="_blank" w:history="1" r:id="rId55">
              <w:r w:rsidRPr="00826646">
                <w:rPr>
                  <w:rFonts w:ascii="Palatino Linotype" w:hAnsi="Palatino Linotype"/>
                  <w:b/>
                  <w:color w:val="467886" w:themeColor="hyperlink"/>
                  <w:sz w:val="20"/>
                  <w:szCs w:val="20"/>
                  <w:u w:val="single"/>
                </w:rPr>
                <w:t>Resolution G-3586</w:t>
              </w:r>
            </w:hyperlink>
            <w:r w:rsidRPr="00826646">
              <w:rPr>
                <w:rFonts w:ascii="Palatino Linotype" w:hAnsi="Palatino Linotype"/>
                <w:b/>
                <w:sz w:val="20"/>
                <w:szCs w:val="20"/>
              </w:rPr>
              <w:t xml:space="preserve"> (2022) at OP 4 &amp; 5.</w:t>
            </w:r>
          </w:p>
          <w:p w:rsidRPr="00826646" w:rsidR="00633D60" w:rsidRDefault="00633D60" w14:paraId="1158D579" w14:textId="77777777">
            <w:pPr>
              <w:rPr>
                <w:rFonts w:ascii="Palatino Linotype" w:hAnsi="Palatino Linotype"/>
                <w:sz w:val="20"/>
                <w:szCs w:val="20"/>
              </w:rPr>
            </w:pPr>
            <w:r w:rsidRPr="00826646">
              <w:rPr>
                <w:rFonts w:ascii="Palatino Linotype" w:hAnsi="Palatino Linotype"/>
                <w:sz w:val="20"/>
                <w:szCs w:val="20"/>
              </w:rPr>
              <w:t xml:space="preserve">    </w:t>
            </w:r>
            <w:hyperlink w:history="1" r:id="rId56">
              <w:r w:rsidRPr="00826646">
                <w:rPr>
                  <w:rFonts w:ascii="Palatino Linotype" w:hAnsi="Palatino Linotype"/>
                  <w:color w:val="467886" w:themeColor="hyperlink"/>
                  <w:sz w:val="20"/>
                  <w:szCs w:val="20"/>
                  <w:u w:val="single"/>
                </w:rPr>
                <w:t>Environmental &amp; Social Justice (ESJ) Action Plan Version 2.0</w:t>
              </w:r>
            </w:hyperlink>
            <w:r w:rsidRPr="00826646">
              <w:rPr>
                <w:rFonts w:ascii="Palatino Linotype" w:hAnsi="Palatino Linotype"/>
                <w:sz w:val="20"/>
                <w:szCs w:val="20"/>
              </w:rPr>
              <w:t xml:space="preserve"> (2022).</w:t>
            </w:r>
          </w:p>
          <w:p w:rsidRPr="00826646" w:rsidR="00633D60" w:rsidRDefault="00633D60" w14:paraId="18022C18" w14:textId="77777777">
            <w:pPr>
              <w:rPr>
                <w:rFonts w:ascii="Palatino Linotype" w:hAnsi="Palatino Linotype"/>
                <w:sz w:val="20"/>
                <w:szCs w:val="20"/>
              </w:rPr>
            </w:pPr>
            <w:r w:rsidRPr="00826646">
              <w:rPr>
                <w:rFonts w:ascii="Palatino Linotype" w:hAnsi="Palatino Linotype"/>
                <w:sz w:val="20"/>
                <w:szCs w:val="20"/>
              </w:rPr>
              <w:t xml:space="preserve">    </w:t>
            </w:r>
            <w:hyperlink w:tgtFrame="_blank" w:history="1" r:id="rId57">
              <w:r w:rsidRPr="00826646">
                <w:rPr>
                  <w:rFonts w:ascii="Palatino Linotype" w:hAnsi="Palatino Linotype"/>
                  <w:color w:val="467886" w:themeColor="hyperlink"/>
                  <w:sz w:val="20"/>
                  <w:szCs w:val="20"/>
                  <w:u w:val="single"/>
                </w:rPr>
                <w:t>Resolution G-3592</w:t>
              </w:r>
            </w:hyperlink>
            <w:r w:rsidRPr="00826646">
              <w:rPr>
                <w:rFonts w:ascii="Palatino Linotype" w:hAnsi="Palatino Linotype"/>
                <w:sz w:val="20"/>
                <w:szCs w:val="20"/>
              </w:rPr>
              <w:t xml:space="preserve"> (2023) at OP 5a.</w:t>
            </w:r>
          </w:p>
          <w:p w:rsidRPr="00826646" w:rsidR="00633D60" w:rsidRDefault="00633D60" w14:paraId="266263D8" w14:textId="77777777">
            <w:pPr>
              <w:rPr>
                <w:rFonts w:ascii="Palatino Linotype" w:hAnsi="Palatino Linotype"/>
                <w:b/>
                <w:bCs w:val="0"/>
                <w:sz w:val="20"/>
                <w:szCs w:val="20"/>
              </w:rPr>
            </w:pPr>
            <w:r w:rsidRPr="00826646">
              <w:rPr>
                <w:rFonts w:ascii="Palatino Linotype" w:hAnsi="Palatino Linotype"/>
                <w:sz w:val="20"/>
                <w:szCs w:val="20"/>
              </w:rPr>
              <w:t xml:space="preserve">    </w:t>
            </w:r>
            <w:hyperlink w:tgtFrame="_blank" w:history="1" r:id="rId58">
              <w:r w:rsidRPr="00826646">
                <w:rPr>
                  <w:rFonts w:ascii="Palatino Linotype" w:hAnsi="Palatino Linotype"/>
                  <w:b/>
                  <w:color w:val="467886" w:themeColor="hyperlink"/>
                  <w:sz w:val="20"/>
                  <w:szCs w:val="20"/>
                  <w:u w:val="single"/>
                </w:rPr>
                <w:t>Resolution G-3601</w:t>
              </w:r>
            </w:hyperlink>
            <w:r w:rsidRPr="00826646">
              <w:rPr>
                <w:rFonts w:ascii="Palatino Linotype" w:hAnsi="Palatino Linotype"/>
                <w:b/>
                <w:sz w:val="20"/>
                <w:szCs w:val="20"/>
              </w:rPr>
              <w:t xml:space="preserve"> (2023) at OP 3d &amp; 6.</w:t>
            </w:r>
          </w:p>
          <w:p w:rsidRPr="00826646" w:rsidR="00633D60" w:rsidRDefault="00633D60" w14:paraId="279D281E" w14:textId="77777777">
            <w:pPr>
              <w:rPr>
                <w:rFonts w:ascii="Palatino Linotype" w:hAnsi="Palatino Linotype"/>
                <w:sz w:val="20"/>
                <w:szCs w:val="20"/>
              </w:rPr>
            </w:pPr>
            <w:r w:rsidRPr="00826646">
              <w:rPr>
                <w:rFonts w:ascii="Palatino Linotype" w:hAnsi="Palatino Linotype"/>
                <w:sz w:val="20"/>
                <w:szCs w:val="20"/>
              </w:rPr>
              <w:t xml:space="preserve">    </w:t>
            </w:r>
            <w:hyperlink w:history="1" r:id="rId59">
              <w:r w:rsidRPr="00826646">
                <w:rPr>
                  <w:rFonts w:ascii="Palatino Linotype" w:hAnsi="Palatino Linotype"/>
                  <w:color w:val="467886" w:themeColor="hyperlink"/>
                  <w:sz w:val="20"/>
                  <w:szCs w:val="20"/>
                  <w:u w:val="single"/>
                </w:rPr>
                <w:t>D.23-11-069</w:t>
              </w:r>
            </w:hyperlink>
            <w:r w:rsidRPr="00826646">
              <w:rPr>
                <w:rFonts w:ascii="Palatino Linotype" w:hAnsi="Palatino Linotype"/>
                <w:sz w:val="20"/>
                <w:szCs w:val="20"/>
              </w:rPr>
              <w:t xml:space="preserve"> at p. 218 &amp; 220-221.</w:t>
            </w:r>
          </w:p>
        </w:tc>
        <w:tc>
          <w:tcPr>
            <w:tcW w:w="3415" w:type="dxa"/>
          </w:tcPr>
          <w:p w:rsidRPr="00826646" w:rsidR="00633D60" w:rsidRDefault="00633D60" w14:paraId="5318C7C9" w14:textId="77777777">
            <w:pPr>
              <w:rPr>
                <w:rFonts w:ascii="Palatino Linotype" w:hAnsi="Palatino Linotype"/>
                <w:sz w:val="20"/>
                <w:szCs w:val="20"/>
              </w:rPr>
            </w:pPr>
            <w:r w:rsidRPr="00826646">
              <w:rPr>
                <w:rFonts w:ascii="Palatino Linotype" w:hAnsi="Palatino Linotype"/>
                <w:sz w:val="20"/>
                <w:szCs w:val="20"/>
              </w:rPr>
              <w:lastRenderedPageBreak/>
              <w:t xml:space="preserve">4. </w:t>
            </w:r>
            <w:r w:rsidRPr="00826646">
              <w:rPr>
                <w:rFonts w:ascii="Palatino Linotype" w:hAnsi="Palatino Linotype"/>
                <w:b/>
                <w:sz w:val="20"/>
                <w:szCs w:val="20"/>
              </w:rPr>
              <w:t>Anticipated Impacts</w:t>
            </w:r>
            <w:r w:rsidRPr="00826646">
              <w:rPr>
                <w:rFonts w:ascii="Palatino Linotype" w:hAnsi="Palatino Linotype"/>
                <w:sz w:val="20"/>
                <w:szCs w:val="20"/>
              </w:rPr>
              <w:t xml:space="preserve">:      </w:t>
            </w:r>
          </w:p>
          <w:p w:rsidRPr="00826646" w:rsidR="00633D60" w:rsidRDefault="00633D60" w14:paraId="78B54F65" w14:textId="77777777">
            <w:pPr>
              <w:spacing w:before="240"/>
              <w:rPr>
                <w:rFonts w:ascii="Palatino Linotype" w:hAnsi="Palatino Linotype" w:eastAsia="Century Gothic" w:cs="Century Gothic"/>
                <w:color w:val="000000" w:themeColor="text1"/>
                <w:sz w:val="20"/>
                <w:szCs w:val="20"/>
              </w:rPr>
            </w:pPr>
            <w:r w:rsidRPr="00826646">
              <w:rPr>
                <w:rFonts w:ascii="Palatino Linotype" w:hAnsi="Palatino Linotype"/>
                <w:sz w:val="20"/>
                <w:szCs w:val="20"/>
              </w:rPr>
              <w:t xml:space="preserve">a. </w:t>
            </w:r>
            <w:r w:rsidRPr="00826646">
              <w:rPr>
                <w:rFonts w:ascii="Palatino Linotype" w:hAnsi="Palatino Linotype" w:eastAsia="Century Gothic" w:cs="Century Gothic"/>
                <w:color w:val="000000" w:themeColor="text1"/>
                <w:sz w:val="20"/>
                <w:szCs w:val="20"/>
              </w:rPr>
              <w:t>Reasonable probability of providing California ratepayer benefit by locating projects in the State of California</w:t>
            </w:r>
            <w:r w:rsidRPr="00826646">
              <w:rPr>
                <w:rFonts w:ascii="Palatino Linotype" w:hAnsi="Palatino Linotype" w:eastAsia="Century Gothic" w:cs="Century Gothic"/>
                <w:color w:val="000000" w:themeColor="text1"/>
                <w:sz w:val="20"/>
                <w:szCs w:val="20"/>
                <w:vertAlign w:val="superscript"/>
              </w:rPr>
              <w:footnoteReference w:id="174"/>
            </w:r>
            <w:r w:rsidRPr="00826646">
              <w:rPr>
                <w:rFonts w:ascii="Palatino Linotype" w:hAnsi="Palatino Linotype" w:eastAsia="Century Gothic" w:cs="Century Gothic"/>
                <w:color w:val="000000" w:themeColor="text1"/>
                <w:sz w:val="20"/>
                <w:szCs w:val="20"/>
              </w:rPr>
              <w:t xml:space="preserve"> and detailed planned methodologies for tracking and evaluating quantitative impacts from investments </w:t>
            </w:r>
            <w:proofErr w:type="gramStart"/>
            <w:r w:rsidRPr="00826646">
              <w:rPr>
                <w:rFonts w:ascii="Palatino Linotype" w:hAnsi="Palatino Linotype" w:eastAsia="Century Gothic" w:cs="Century Gothic"/>
                <w:color w:val="000000" w:themeColor="text1"/>
                <w:sz w:val="20"/>
                <w:szCs w:val="20"/>
              </w:rPr>
              <w:t xml:space="preserve">through the use </w:t>
            </w:r>
            <w:r w:rsidRPr="00826646">
              <w:rPr>
                <w:rFonts w:ascii="Palatino Linotype" w:hAnsi="Palatino Linotype" w:eastAsia="Century Gothic" w:cs="Century Gothic"/>
                <w:color w:val="000000" w:themeColor="text1"/>
                <w:sz w:val="20"/>
                <w:szCs w:val="20"/>
              </w:rPr>
              <w:lastRenderedPageBreak/>
              <w:t>of</w:t>
            </w:r>
            <w:proofErr w:type="gramEnd"/>
            <w:r w:rsidRPr="00826646">
              <w:rPr>
                <w:rFonts w:ascii="Palatino Linotype" w:hAnsi="Palatino Linotype" w:eastAsia="Century Gothic" w:cs="Century Gothic"/>
                <w:color w:val="000000" w:themeColor="text1"/>
                <w:sz w:val="20"/>
                <w:szCs w:val="20"/>
              </w:rPr>
              <w:t xml:space="preserve"> the EPIC Program’s Uniform Impacts Analysis Foundational Principles.</w:t>
            </w:r>
          </w:p>
          <w:p w:rsidRPr="00826646" w:rsidR="00633D60" w:rsidRDefault="00633D60" w14:paraId="5EB3CCAD" w14:textId="77777777">
            <w:pPr>
              <w:spacing w:before="240"/>
              <w:rPr>
                <w:rFonts w:ascii="Palatino Linotype" w:hAnsi="Palatino Linotype" w:eastAsia="Century Gothic" w:cs="Century Gothic"/>
                <w:color w:val="000000" w:themeColor="text1"/>
                <w:sz w:val="20"/>
                <w:szCs w:val="20"/>
              </w:rPr>
            </w:pPr>
            <w:r w:rsidRPr="00826646">
              <w:rPr>
                <w:rFonts w:ascii="Palatino Linotype" w:hAnsi="Palatino Linotype" w:eastAsia="Century Gothic" w:cs="Century Gothic"/>
                <w:color w:val="000000" w:themeColor="text1"/>
                <w:sz w:val="20"/>
                <w:szCs w:val="20"/>
              </w:rPr>
              <w:t>b. Cost-effectiveness and protection of affordability to ratepayers.</w:t>
            </w:r>
          </w:p>
          <w:p w:rsidRPr="00826646" w:rsidR="00633D60" w:rsidRDefault="00633D60" w14:paraId="32BFF3C5" w14:textId="77777777">
            <w:pPr>
              <w:spacing w:before="240"/>
              <w:rPr>
                <w:rFonts w:ascii="Palatino Linotype" w:hAnsi="Palatino Linotype"/>
                <w:sz w:val="20"/>
                <w:szCs w:val="20"/>
              </w:rPr>
            </w:pPr>
            <w:r w:rsidRPr="00826646">
              <w:rPr>
                <w:rFonts w:ascii="Palatino Linotype" w:hAnsi="Palatino Linotype" w:eastAsia="Century Gothic" w:cs="Century Gothic"/>
                <w:color w:val="000000" w:themeColor="text1"/>
                <w:sz w:val="20"/>
                <w:szCs w:val="20"/>
              </w:rPr>
              <w:t>c. Promote equity and provide benefits to Environmental &amp; Social Justice (ESJ) communities, informed by consultation with community-based organizations (CBOs) and the Commission’s most current ESJ Action Plan.</w:t>
            </w:r>
          </w:p>
        </w:tc>
      </w:tr>
    </w:tbl>
    <w:p w:rsidR="00477204" w:rsidP="00E851DF" w:rsidRDefault="00477204" w14:paraId="625982E1" w14:textId="77777777">
      <w:pPr>
        <w:keepNext/>
        <w:spacing w:after="0" w:line="240" w:lineRule="auto"/>
        <w:sectPr w:rsidR="00477204" w:rsidSect="0044638C">
          <w:footerReference w:type="default" r:id="rId60"/>
          <w:pgSz w:w="12240" w:h="15840"/>
          <w:pgMar w:top="1440" w:right="1440" w:bottom="1440" w:left="1440" w:header="720" w:footer="720" w:gutter="0"/>
          <w:cols w:space="720"/>
          <w:titlePg/>
          <w:docGrid w:linePitch="360"/>
        </w:sectPr>
      </w:pPr>
    </w:p>
    <w:p w:rsidR="00073A7A" w:rsidP="00477204" w:rsidRDefault="00073A7A" w14:paraId="711E3814" w14:textId="77777777">
      <w:pPr>
        <w:rPr>
          <w:rFonts w:ascii="Palatino Linotype" w:hAnsi="Palatino Linotype"/>
          <w:b/>
          <w:bCs/>
        </w:rPr>
      </w:pPr>
    </w:p>
    <w:p w:rsidR="00073A7A" w:rsidP="00477204" w:rsidRDefault="00073A7A" w14:paraId="34DAEACC" w14:textId="77777777">
      <w:pPr>
        <w:rPr>
          <w:rFonts w:ascii="Palatino Linotype" w:hAnsi="Palatino Linotype"/>
          <w:b/>
          <w:bCs/>
        </w:rPr>
      </w:pPr>
    </w:p>
    <w:p w:rsidR="00073A7A" w:rsidP="00477204" w:rsidRDefault="00073A7A" w14:paraId="1E970ACF" w14:textId="77777777">
      <w:pPr>
        <w:rPr>
          <w:rFonts w:ascii="Palatino Linotype" w:hAnsi="Palatino Linotype"/>
          <w:b/>
          <w:bCs/>
        </w:rPr>
      </w:pPr>
    </w:p>
    <w:p w:rsidR="00073A7A" w:rsidP="00477204" w:rsidRDefault="00073A7A" w14:paraId="75234713" w14:textId="77777777">
      <w:pPr>
        <w:rPr>
          <w:rFonts w:ascii="Palatino Linotype" w:hAnsi="Palatino Linotype"/>
          <w:b/>
          <w:bCs/>
        </w:rPr>
      </w:pPr>
    </w:p>
    <w:p w:rsidR="00073A7A" w:rsidP="00477204" w:rsidRDefault="00073A7A" w14:paraId="47FE07EE" w14:textId="77777777">
      <w:pPr>
        <w:rPr>
          <w:rFonts w:ascii="Palatino Linotype" w:hAnsi="Palatino Linotype"/>
          <w:b/>
          <w:bCs/>
        </w:rPr>
      </w:pPr>
    </w:p>
    <w:p w:rsidRPr="008D66AE" w:rsidR="00073A7A" w:rsidP="00073A7A" w:rsidRDefault="00073A7A" w14:paraId="2A2F4B63" w14:textId="163B6D2C">
      <w:pPr>
        <w:ind w:right="90"/>
        <w:jc w:val="center"/>
        <w:rPr>
          <w:rFonts w:ascii="Palatino Linotype" w:hAnsi="Palatino Linotype"/>
          <w:b/>
          <w:bCs/>
          <w:color w:val="000000" w:themeColor="text1"/>
          <w:sz w:val="44"/>
          <w:szCs w:val="44"/>
        </w:rPr>
      </w:pPr>
      <w:r w:rsidRPr="008D66AE">
        <w:rPr>
          <w:rFonts w:ascii="Palatino Linotype" w:hAnsi="Palatino Linotype"/>
          <w:b/>
          <w:bCs/>
          <w:color w:val="000000" w:themeColor="text1"/>
          <w:sz w:val="44"/>
          <w:szCs w:val="44"/>
        </w:rPr>
        <w:t xml:space="preserve">APPENDIX </w:t>
      </w:r>
      <w:r>
        <w:rPr>
          <w:rFonts w:ascii="Palatino Linotype" w:hAnsi="Palatino Linotype"/>
          <w:b/>
          <w:bCs/>
          <w:color w:val="000000" w:themeColor="text1"/>
          <w:sz w:val="44"/>
          <w:szCs w:val="44"/>
        </w:rPr>
        <w:t>F</w:t>
      </w:r>
    </w:p>
    <w:p w:rsidR="00073A7A" w:rsidP="00477204" w:rsidRDefault="00073A7A" w14:paraId="7BA0DB1D" w14:textId="77777777">
      <w:pPr>
        <w:rPr>
          <w:rFonts w:ascii="Palatino Linotype" w:hAnsi="Palatino Linotype"/>
          <w:b/>
          <w:bCs/>
        </w:rPr>
      </w:pPr>
    </w:p>
    <w:p w:rsidR="00073A7A" w:rsidP="00477204" w:rsidRDefault="00073A7A" w14:paraId="3A2DDEAB" w14:textId="77777777">
      <w:pPr>
        <w:rPr>
          <w:rFonts w:ascii="Palatino Linotype" w:hAnsi="Palatino Linotype"/>
          <w:b/>
          <w:bCs/>
        </w:rPr>
      </w:pPr>
    </w:p>
    <w:p w:rsidR="00073A7A" w:rsidP="00477204" w:rsidRDefault="00073A7A" w14:paraId="5A27DC41" w14:textId="77777777">
      <w:pPr>
        <w:rPr>
          <w:rFonts w:ascii="Palatino Linotype" w:hAnsi="Palatino Linotype"/>
          <w:b/>
          <w:bCs/>
        </w:rPr>
      </w:pPr>
    </w:p>
    <w:p w:rsidR="00073A7A" w:rsidP="00477204" w:rsidRDefault="00073A7A" w14:paraId="463995A9" w14:textId="77777777">
      <w:pPr>
        <w:rPr>
          <w:rFonts w:ascii="Palatino Linotype" w:hAnsi="Palatino Linotype"/>
          <w:b/>
          <w:bCs/>
        </w:rPr>
        <w:sectPr w:rsidR="00073A7A" w:rsidSect="00B95253">
          <w:footerReference w:type="first" r:id="rId61"/>
          <w:pgSz w:w="12240" w:h="15840"/>
          <w:pgMar w:top="1440" w:right="1440" w:bottom="1440" w:left="1440" w:header="720" w:footer="720" w:gutter="0"/>
          <w:pgNumType w:start="1"/>
          <w:cols w:space="720"/>
          <w:titlePg/>
          <w:docGrid w:linePitch="360"/>
        </w:sectPr>
      </w:pPr>
    </w:p>
    <w:p w:rsidR="00477204" w:rsidP="00477204" w:rsidRDefault="00477204" w14:paraId="03F5E1F7" w14:textId="0CC41A0B">
      <w:pPr>
        <w:rPr>
          <w:rFonts w:ascii="Palatino Linotype" w:hAnsi="Palatino Linotype"/>
          <w:b/>
          <w:bCs/>
        </w:rPr>
      </w:pPr>
      <w:r w:rsidRPr="004C5DBB">
        <w:rPr>
          <w:rFonts w:ascii="Palatino Linotype" w:hAnsi="Palatino Linotype"/>
          <w:b/>
          <w:bCs/>
        </w:rPr>
        <w:lastRenderedPageBreak/>
        <w:t xml:space="preserve">APPENDIX </w:t>
      </w:r>
      <w:r>
        <w:rPr>
          <w:rFonts w:ascii="Palatino Linotype" w:hAnsi="Palatino Linotype"/>
          <w:b/>
          <w:bCs/>
          <w:color w:val="000000" w:themeColor="text1"/>
        </w:rPr>
        <w:t>F</w:t>
      </w:r>
      <w:r w:rsidRPr="00891A31">
        <w:rPr>
          <w:rFonts w:ascii="Palatino Linotype" w:hAnsi="Palatino Linotype"/>
          <w:b/>
          <w:bCs/>
          <w:color w:val="000000" w:themeColor="text1"/>
        </w:rPr>
        <w:t>:</w:t>
      </w:r>
      <w:r w:rsidRPr="004C5DBB">
        <w:rPr>
          <w:rFonts w:ascii="Palatino Linotype" w:hAnsi="Palatino Linotype"/>
          <w:b/>
          <w:bCs/>
        </w:rPr>
        <w:t xml:space="preserve"> EPIC Foundational Principles for the Development of a Uniform Impact Analysis Framework</w:t>
      </w:r>
      <w:r>
        <w:rPr>
          <w:rStyle w:val="FootnoteReference"/>
          <w:rFonts w:ascii="Palatino Linotype" w:hAnsi="Palatino Linotype"/>
          <w:b/>
          <w:bCs/>
        </w:rPr>
        <w:footnoteReference w:id="175"/>
      </w:r>
    </w:p>
    <w:p w:rsidRPr="008844BF" w:rsidR="00477204" w:rsidP="00477204" w:rsidRDefault="00477204" w14:paraId="0AEA73FC" w14:textId="77777777">
      <w:pPr>
        <w:spacing w:line="276" w:lineRule="auto"/>
        <w:ind w:firstLine="720"/>
        <w:contextualSpacing/>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This document outlines the Commission’s expectations of Electric Program Investment Charge (EPIC) administrators in developing a uniform impact analysis framework and metrics, enabling the evaluation and tracking of the impacts of all EPIC projects, that complies with D.21-11-028, Ordering Paragraph 12. These foundational principles include:</w:t>
      </w:r>
    </w:p>
    <w:p w:rsidRPr="008844BF" w:rsidR="00477204" w:rsidP="00477204" w:rsidRDefault="00477204" w14:paraId="5F704750" w14:textId="77777777">
      <w:pPr>
        <w:spacing w:line="276" w:lineRule="auto"/>
        <w:contextualSpacing/>
        <w:rPr>
          <w:rFonts w:ascii="Palatino Linotype" w:hAnsi="Palatino Linotype" w:eastAsia="Calibri" w:cs="Arial"/>
          <w:b/>
          <w:kern w:val="0"/>
          <w14:ligatures w14:val="none"/>
        </w:rPr>
      </w:pPr>
    </w:p>
    <w:p w:rsidRPr="008844BF" w:rsidR="00477204" w:rsidP="00477204" w:rsidRDefault="00477204" w14:paraId="716CADD0"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Purpose</w:t>
      </w:r>
    </w:p>
    <w:p w:rsidRPr="008844BF" w:rsidR="00477204" w:rsidP="00477204" w:rsidRDefault="00477204" w14:paraId="7154F806" w14:textId="77777777">
      <w:pPr>
        <w:pStyle w:val="ListParagraph"/>
        <w:numPr>
          <w:ilvl w:val="0"/>
          <w:numId w:val="35"/>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mandatory guiding principle of EPIC is to provide ratepayer benefits as related to California's electric system.</w:t>
      </w:r>
      <w:r w:rsidRPr="0060382B">
        <w:rPr>
          <w:vertAlign w:val="superscript"/>
        </w:rPr>
        <w:footnoteReference w:id="176"/>
      </w:r>
    </w:p>
    <w:p w:rsidRPr="008844BF" w:rsidR="00477204" w:rsidP="00477204" w:rsidRDefault="00477204" w14:paraId="63BBFAEF" w14:textId="77777777">
      <w:pPr>
        <w:pStyle w:val="ListParagraph"/>
        <w:numPr>
          <w:ilvl w:val="0"/>
          <w:numId w:val="35"/>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EPIC impacts analysis framework should provide EPIC administrators with a uniform methodology to demonstrate with data the realized and potential impacts to ratepayers from EPIC research, development, and demonstration (RD&amp;D) investment.</w:t>
      </w:r>
    </w:p>
    <w:p w:rsidRPr="008844BF" w:rsidR="00477204" w:rsidP="00477204" w:rsidRDefault="00477204" w14:paraId="3D968D4C" w14:textId="77777777">
      <w:pPr>
        <w:spacing w:after="0" w:line="276" w:lineRule="auto"/>
        <w:ind w:left="274"/>
        <w:contextualSpacing/>
        <w:rPr>
          <w:rFonts w:ascii="Palatino Linotype" w:hAnsi="Palatino Linotype" w:eastAsia="Calibri" w:cs="Arial"/>
          <w:kern w:val="0"/>
          <w14:ligatures w14:val="none"/>
        </w:rPr>
      </w:pPr>
    </w:p>
    <w:p w:rsidRPr="008844BF" w:rsidR="00477204" w:rsidP="00477204" w:rsidRDefault="00477204" w14:paraId="53B77AB8"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Overarching Principles</w:t>
      </w:r>
    </w:p>
    <w:p w:rsidRPr="008844BF" w:rsidR="00477204" w:rsidP="00477204" w:rsidRDefault="00477204" w14:paraId="40EBC414" w14:textId="77777777">
      <w:pPr>
        <w:pStyle w:val="ListParagraph"/>
        <w:numPr>
          <w:ilvl w:val="0"/>
          <w:numId w:val="35"/>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In general, each EPIC project should offer a reasonable probability of providing benefits to ratepayers and expenditures on projects which have a low probability for success should be minimized,</w:t>
      </w:r>
      <w:r w:rsidRPr="0060382B">
        <w:rPr>
          <w:vertAlign w:val="superscript"/>
        </w:rPr>
        <w:footnoteReference w:id="177"/>
      </w:r>
      <w:r w:rsidRPr="008844BF">
        <w:rPr>
          <w:rFonts w:ascii="Palatino Linotype" w:hAnsi="Palatino Linotype" w:eastAsia="Calibri" w:cs="Arial"/>
          <w:kern w:val="0"/>
          <w14:ligatures w14:val="none"/>
        </w:rPr>
        <w:t xml:space="preserve"> and the EPIC portfolio </w:t>
      </w:r>
      <w:proofErr w:type="gramStart"/>
      <w:r w:rsidRPr="008844BF">
        <w:rPr>
          <w:rFonts w:ascii="Palatino Linotype" w:hAnsi="Palatino Linotype" w:eastAsia="Calibri" w:cs="Arial"/>
          <w:kern w:val="0"/>
          <w14:ligatures w14:val="none"/>
        </w:rPr>
        <w:t>as a whole should</w:t>
      </w:r>
      <w:proofErr w:type="gramEnd"/>
      <w:r w:rsidRPr="008844BF">
        <w:rPr>
          <w:rFonts w:ascii="Palatino Linotype" w:hAnsi="Palatino Linotype" w:eastAsia="Calibri" w:cs="Arial"/>
          <w:kern w:val="0"/>
          <w14:ligatures w14:val="none"/>
        </w:rPr>
        <w:t xml:space="preserve"> demonstrably benefit ratepayers.</w:t>
      </w:r>
    </w:p>
    <w:p w:rsidRPr="008844BF" w:rsidR="00477204" w:rsidP="00477204" w:rsidRDefault="00477204" w14:paraId="2FCE07F0" w14:textId="77777777">
      <w:pPr>
        <w:pStyle w:val="ListParagraph"/>
        <w:numPr>
          <w:ilvl w:val="0"/>
          <w:numId w:val="35"/>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While in some cases, a targeted group of ratepayers may benefit from an individual project’s output, EPIC investments should result in scalable and </w:t>
      </w:r>
      <w:r w:rsidRPr="008844BF">
        <w:rPr>
          <w:rFonts w:ascii="Palatino Linotype" w:hAnsi="Palatino Linotype" w:eastAsia="Calibri" w:cs="Arial"/>
          <w:kern w:val="0"/>
          <w14:ligatures w14:val="none"/>
        </w:rPr>
        <w:lastRenderedPageBreak/>
        <w:t>replicable innovations that prioritize solutions to address California’s energy and climate goals.</w:t>
      </w:r>
    </w:p>
    <w:p w:rsidRPr="008844BF" w:rsidR="00477204" w:rsidP="00477204" w:rsidRDefault="00477204" w14:paraId="0E133F68" w14:textId="77777777">
      <w:pPr>
        <w:pStyle w:val="ListParagraph"/>
        <w:numPr>
          <w:ilvl w:val="0"/>
          <w:numId w:val="35"/>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Accurate and precise EPIC project and program impacts reporting is paramount to inform policy, decision making, and formulating EPIC strategic goals. Therefore, impacts resulting from the analytical framework must be defensible and not overstated. </w:t>
      </w:r>
    </w:p>
    <w:p w:rsidRPr="008844BF" w:rsidR="00477204" w:rsidP="00477204" w:rsidRDefault="00477204" w14:paraId="13743B9F" w14:textId="77777777">
      <w:pPr>
        <w:pStyle w:val="ListParagraph"/>
        <w:numPr>
          <w:ilvl w:val="0"/>
          <w:numId w:val="35"/>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Clear methods are necessary to calculate past, current, and future EPIC impacts based on published data and reasonable assumptions, such that any party can take the data and assumptions and apply the methodology to recreate the results. Without such foundation, it will be difficult to calculate quantitative impacts of EPIC innovations that lack the market or deployment history to have readily available sufficient data for impacts analysis or project future impacts of pre-commercial innovations. </w:t>
      </w:r>
    </w:p>
    <w:p w:rsidRPr="008844BF" w:rsidR="00477204" w:rsidP="00477204" w:rsidRDefault="00477204" w14:paraId="6D1FF722" w14:textId="77777777">
      <w:pPr>
        <w:spacing w:after="0" w:line="276" w:lineRule="auto"/>
        <w:ind w:left="274"/>
        <w:contextualSpacing/>
        <w:rPr>
          <w:rFonts w:ascii="Palatino Linotype" w:hAnsi="Palatino Linotype" w:eastAsia="Calibri" w:cs="Arial"/>
          <w:kern w:val="0"/>
          <w14:ligatures w14:val="none"/>
        </w:rPr>
      </w:pPr>
    </w:p>
    <w:p w:rsidRPr="008844BF" w:rsidR="00477204" w:rsidP="00477204" w:rsidRDefault="00477204" w14:paraId="7E58D247"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 xml:space="preserve">Net Impacts </w:t>
      </w:r>
    </w:p>
    <w:p w:rsidRPr="008844BF" w:rsidR="00477204" w:rsidP="00477204" w:rsidRDefault="00477204" w14:paraId="3087E29C" w14:textId="77777777">
      <w:pPr>
        <w:pStyle w:val="ListParagraph"/>
        <w:numPr>
          <w:ilvl w:val="0"/>
          <w:numId w:val="34"/>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Realized ratepayer benefits must be demonstrated by the incremental, value-added impact of EPIC innovation. </w:t>
      </w:r>
    </w:p>
    <w:p w:rsidRPr="008844BF" w:rsidR="00477204" w:rsidP="00477204" w:rsidRDefault="00477204" w14:paraId="680D350A" w14:textId="77777777">
      <w:pPr>
        <w:pStyle w:val="ListParagraph"/>
        <w:numPr>
          <w:ilvl w:val="1"/>
          <w:numId w:val="34"/>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For example, if a ratepayer spends $20 to save $30, the ratepayer benefit realized is the net $10 savings, not the gross $30 impact. Thus, the metric by which EPIC investments should be evaluated is </w:t>
      </w:r>
      <w:r w:rsidRPr="008844BF">
        <w:rPr>
          <w:rFonts w:ascii="Palatino Linotype" w:hAnsi="Palatino Linotype" w:eastAsia="Calibri" w:cs="Arial"/>
          <w:i/>
          <w:kern w:val="0"/>
          <w14:ligatures w14:val="none"/>
        </w:rPr>
        <w:t>net</w:t>
      </w:r>
      <w:r w:rsidRPr="008844BF">
        <w:rPr>
          <w:rFonts w:ascii="Palatino Linotype" w:hAnsi="Palatino Linotype" w:eastAsia="Calibri" w:cs="Arial"/>
          <w:kern w:val="0"/>
          <w14:ligatures w14:val="none"/>
        </w:rPr>
        <w:t xml:space="preserve">, not gross, impacts. </w:t>
      </w:r>
    </w:p>
    <w:p w:rsidRPr="008844BF" w:rsidR="00477204" w:rsidP="00477204" w:rsidRDefault="00477204" w14:paraId="5DB8AD94" w14:textId="77777777">
      <w:pPr>
        <w:pStyle w:val="ListParagraph"/>
        <w:numPr>
          <w:ilvl w:val="0"/>
          <w:numId w:val="34"/>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Net impacts are required to calculate project or program benefit-cost ratios and rates of return on investment.</w:t>
      </w:r>
    </w:p>
    <w:p w:rsidRPr="008844BF" w:rsidR="00477204" w:rsidP="00477204" w:rsidRDefault="00477204" w14:paraId="10E7E4A7" w14:textId="77777777">
      <w:pPr>
        <w:spacing w:after="0" w:line="276" w:lineRule="auto"/>
        <w:rPr>
          <w:rFonts w:ascii="Palatino Linotype" w:hAnsi="Palatino Linotype" w:eastAsia="Calibri" w:cs="Arial"/>
          <w:kern w:val="0"/>
          <w14:ligatures w14:val="none"/>
        </w:rPr>
      </w:pPr>
    </w:p>
    <w:p w:rsidRPr="008844BF" w:rsidR="00477204" w:rsidP="00477204" w:rsidRDefault="00477204" w14:paraId="2B3BA500"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Attribution</w:t>
      </w:r>
    </w:p>
    <w:p w:rsidRPr="008844BF" w:rsidR="00477204" w:rsidP="00477204" w:rsidRDefault="00477204" w14:paraId="2A35ABAC" w14:textId="77777777">
      <w:pPr>
        <w:pStyle w:val="ListParagraph"/>
        <w:numPr>
          <w:ilvl w:val="0"/>
          <w:numId w:val="33"/>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To understand the impact of EPIC accurately and precisely, and therefore, inform continuance or improvements in EPIC strategic goals and strategic objectives, administrators should demonstrate to the CPUC what impacts have or are forecasted to occur that would not have otherwise occurred without EPIC investment (i.e., only these impacts should be attributed to EPIC.)</w:t>
      </w:r>
    </w:p>
    <w:p w:rsidRPr="008844BF" w:rsidR="00477204" w:rsidP="00477204" w:rsidRDefault="00477204" w14:paraId="6807A193" w14:textId="77777777">
      <w:pPr>
        <w:pStyle w:val="ListParagraph"/>
        <w:numPr>
          <w:ilvl w:val="0"/>
          <w:numId w:val="33"/>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The portion of the observed change that is only due to EPIC investment must be documented with data, and a set of reasonable and acceptable rules for determining the share of credit attributed to EPIC developed, including attribution for the value of cost-shared, matching, or leveraged funding. </w:t>
      </w:r>
    </w:p>
    <w:p w:rsidRPr="008844BF" w:rsidR="00477204" w:rsidP="00477204" w:rsidRDefault="00477204" w14:paraId="07CE782C" w14:textId="77777777">
      <w:pPr>
        <w:pStyle w:val="ListParagraph"/>
        <w:numPr>
          <w:ilvl w:val="0"/>
          <w:numId w:val="33"/>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lastRenderedPageBreak/>
        <w:t xml:space="preserve">Comparable scenarios should be used to estimate when the market would have produced an innovation had EPIC funding not been available. Where innovation would have eventually occurred without EPIC, impacts should be based on the acceleration in the time to market readiness of the innovation, rather than the lifetime of the technology itself. </w:t>
      </w:r>
    </w:p>
    <w:p w:rsidRPr="008844BF" w:rsidR="00477204" w:rsidP="00477204" w:rsidRDefault="00477204" w14:paraId="16E4D574" w14:textId="77777777">
      <w:pPr>
        <w:pStyle w:val="ListParagraph"/>
        <w:numPr>
          <w:ilvl w:val="1"/>
          <w:numId w:val="33"/>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For example, if a deployed EPIC innovation provides impacts for 20 years between 2025 and 2045, and it is determined the innovation would have occurred and been deployed without EPIC in 2030, then the period of market acceleration due to EPIC is five years and EPIC impacts are calculated only for that 5-year period.</w:t>
      </w:r>
    </w:p>
    <w:p w:rsidRPr="008844BF" w:rsidR="00477204" w:rsidP="00477204" w:rsidRDefault="00477204" w14:paraId="63DD6FB9" w14:textId="77777777">
      <w:pPr>
        <w:spacing w:line="276" w:lineRule="auto"/>
        <w:contextualSpacing/>
        <w:rPr>
          <w:rFonts w:ascii="Palatino Linotype" w:hAnsi="Palatino Linotype" w:eastAsia="Calibri" w:cs="Arial"/>
          <w:kern w:val="0"/>
          <w14:ligatures w14:val="none"/>
        </w:rPr>
      </w:pPr>
    </w:p>
    <w:p w:rsidRPr="008844BF" w:rsidR="00477204" w:rsidP="00477204" w:rsidRDefault="00477204" w14:paraId="4113E8F8"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Methods</w:t>
      </w:r>
    </w:p>
    <w:p w:rsidRPr="008844BF" w:rsidR="00477204" w:rsidP="00477204" w:rsidRDefault="00477204" w14:paraId="33DD46FD" w14:textId="77777777">
      <w:pPr>
        <w:pStyle w:val="ListParagraph"/>
        <w:numPr>
          <w:ilvl w:val="0"/>
          <w:numId w:val="32"/>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Administrators should use or adapt existing accepted methodologies where possible for efficiencies of resources, time, cost, and effort.</w:t>
      </w:r>
      <w:r w:rsidRPr="0060382B">
        <w:rPr>
          <w:vertAlign w:val="superscript"/>
        </w:rPr>
        <w:footnoteReference w:id="178"/>
      </w:r>
    </w:p>
    <w:p w:rsidRPr="008844BF" w:rsidR="00477204" w:rsidP="00477204" w:rsidRDefault="00477204" w14:paraId="4AF92A08" w14:textId="77777777">
      <w:pPr>
        <w:pStyle w:val="ListParagraph"/>
        <w:numPr>
          <w:ilvl w:val="0"/>
          <w:numId w:val="32"/>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The methodology used to calculate benefits should be grounded in theory (i.e., if funding certain small businesses is seen as beneficial, data documentation and impact demonstration of this strategy should be provided).</w:t>
      </w:r>
    </w:p>
    <w:p w:rsidRPr="008844BF" w:rsidR="00477204" w:rsidP="00477204" w:rsidRDefault="00477204" w14:paraId="53CE51BE" w14:textId="77777777">
      <w:pPr>
        <w:pStyle w:val="ListParagraph"/>
        <w:numPr>
          <w:ilvl w:val="0"/>
          <w:numId w:val="32"/>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Impacts evaluation may involve expert elicitation. Clearly and succinctly framing questions </w:t>
      </w:r>
      <w:proofErr w:type="gramStart"/>
      <w:r w:rsidRPr="008844BF">
        <w:rPr>
          <w:rFonts w:ascii="Palatino Linotype" w:hAnsi="Palatino Linotype" w:eastAsia="Calibri" w:cs="Arial"/>
          <w:kern w:val="0"/>
          <w14:ligatures w14:val="none"/>
        </w:rPr>
        <w:t>is</w:t>
      </w:r>
      <w:proofErr w:type="gramEnd"/>
      <w:r w:rsidRPr="008844BF">
        <w:rPr>
          <w:rFonts w:ascii="Palatino Linotype" w:hAnsi="Palatino Linotype" w:eastAsia="Calibri" w:cs="Arial"/>
          <w:kern w:val="0"/>
          <w14:ligatures w14:val="none"/>
        </w:rPr>
        <w:t xml:space="preserve"> required to guide experts in obtaining pertinent data. </w:t>
      </w:r>
    </w:p>
    <w:p w:rsidRPr="008844BF" w:rsidR="00477204" w:rsidP="00477204" w:rsidRDefault="00477204" w14:paraId="2D22C1E3" w14:textId="77777777">
      <w:pPr>
        <w:spacing w:after="0" w:line="276" w:lineRule="auto"/>
        <w:rPr>
          <w:rFonts w:ascii="Palatino Linotype" w:hAnsi="Palatino Linotype" w:eastAsia="Calibri" w:cs="Arial"/>
          <w:kern w:val="0"/>
          <w14:ligatures w14:val="none"/>
        </w:rPr>
      </w:pPr>
    </w:p>
    <w:p w:rsidRPr="008844BF" w:rsidR="00477204" w:rsidP="00477204" w:rsidRDefault="00477204" w14:paraId="2974EF78"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Metrics</w:t>
      </w:r>
    </w:p>
    <w:p w:rsidRPr="008844BF" w:rsidR="00477204" w:rsidP="00477204" w:rsidRDefault="00477204" w14:paraId="06138572" w14:textId="77777777">
      <w:pPr>
        <w:pStyle w:val="ListParagraph"/>
        <w:numPr>
          <w:ilvl w:val="0"/>
          <w:numId w:val="31"/>
        </w:numPr>
        <w:spacing w:after="120" w:line="276" w:lineRule="auto"/>
        <w:rPr>
          <w:rFonts w:ascii="Palatino Linotype" w:hAnsi="Palatino Linotype" w:eastAsia="Calibri" w:cs="Arial"/>
          <w:kern w:val="0"/>
          <w14:ligatures w14:val="none"/>
        </w:rPr>
      </w:pPr>
      <w:hyperlink w:history="1" r:id="rId62">
        <w:r w:rsidRPr="008844BF">
          <w:rPr>
            <w:rFonts w:ascii="Palatino Linotype" w:hAnsi="Palatino Linotype" w:eastAsia="Calibri" w:cs="Arial"/>
            <w:color w:val="0563C1"/>
            <w:kern w:val="0"/>
            <w:u w:val="single"/>
            <w14:ligatures w14:val="none"/>
          </w:rPr>
          <w:t>D.13-11-025</w:t>
        </w:r>
      </w:hyperlink>
      <w:r w:rsidRPr="008844BF">
        <w:rPr>
          <w:rFonts w:ascii="Palatino Linotype" w:hAnsi="Palatino Linotype" w:eastAsia="Calibri" w:cs="Arial"/>
          <w:kern w:val="0"/>
          <w14:ligatures w14:val="none"/>
        </w:rPr>
        <w:t>, Attachment 4 provides a list of impacts (</w:t>
      </w:r>
      <w:r w:rsidRPr="008844BF">
        <w:rPr>
          <w:rFonts w:ascii="Palatino Linotype" w:hAnsi="Palatino Linotype" w:eastAsia="Calibri" w:cs="Arial"/>
          <w:i/>
          <w:kern w:val="0"/>
          <w14:ligatures w14:val="none"/>
        </w:rPr>
        <w:t xml:space="preserve">Metrics and Potential Areas of Measurement) </w:t>
      </w:r>
      <w:r w:rsidRPr="008844BF">
        <w:rPr>
          <w:rFonts w:ascii="Palatino Linotype" w:hAnsi="Palatino Linotype" w:eastAsia="Calibri" w:cs="Arial"/>
          <w:kern w:val="0"/>
          <w14:ligatures w14:val="none"/>
        </w:rPr>
        <w:t xml:space="preserve">proposed by the EPIC administrators and approved by the CPUC, which can serve as the basis for discussion of metrics. The list includes 10 impact </w:t>
      </w:r>
      <w:r w:rsidRPr="008844BF">
        <w:rPr>
          <w:rFonts w:ascii="Palatino Linotype" w:hAnsi="Palatino Linotype" w:eastAsia="Calibri" w:cs="Arial"/>
          <w:kern w:val="0"/>
          <w14:ligatures w14:val="none"/>
        </w:rPr>
        <w:lastRenderedPageBreak/>
        <w:t>metric categories and 59 potential areas of measurement. The decision allows creation of new project-specific impact metrics to consider for revisions.</w:t>
      </w:r>
    </w:p>
    <w:p w:rsidRPr="008844BF" w:rsidR="00477204" w:rsidP="00477204" w:rsidRDefault="00477204" w14:paraId="35F31864" w14:textId="77777777">
      <w:pPr>
        <w:pStyle w:val="ListParagraph"/>
        <w:numPr>
          <w:ilvl w:val="0"/>
          <w:numId w:val="31"/>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Because units of measure have not been defined for many of these metrics, additional definitions are required for uniform impact reporting. This impacts metrics list may be modified and updated based on new information and must be used consistently across all administrators. </w:t>
      </w:r>
    </w:p>
    <w:p w:rsidRPr="008844BF" w:rsidR="00477204" w:rsidP="00477204" w:rsidRDefault="00477204" w14:paraId="49FB9416" w14:textId="77777777">
      <w:pPr>
        <w:spacing w:after="0" w:line="276" w:lineRule="auto"/>
        <w:rPr>
          <w:rFonts w:ascii="Palatino Linotype" w:hAnsi="Palatino Linotype" w:eastAsia="Calibri" w:cs="Arial"/>
          <w:kern w:val="0"/>
          <w14:ligatures w14:val="none"/>
        </w:rPr>
      </w:pPr>
    </w:p>
    <w:p w:rsidRPr="008844BF" w:rsidR="00477204" w:rsidP="00477204" w:rsidRDefault="00477204" w14:paraId="536CEF13"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Assumptions</w:t>
      </w:r>
    </w:p>
    <w:p w:rsidRPr="008844BF" w:rsidR="00477204" w:rsidP="00477204" w:rsidRDefault="00477204" w14:paraId="151C9900" w14:textId="77777777">
      <w:pPr>
        <w:pStyle w:val="ListParagraph"/>
        <w:numPr>
          <w:ilvl w:val="0"/>
          <w:numId w:val="30"/>
        </w:numPr>
        <w:spacing w:after="12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To the extent possible, administrators should use the same core data set for basic assumptions, such as the emissions profile of peak power in each service area. If administrators do not use the same data set, they should provide rationale for why not.</w:t>
      </w:r>
    </w:p>
    <w:p w:rsidRPr="008844BF" w:rsidR="00477204" w:rsidP="00477204" w:rsidRDefault="00477204" w14:paraId="05265A76" w14:textId="77777777">
      <w:pPr>
        <w:pStyle w:val="ListParagraph"/>
        <w:numPr>
          <w:ilvl w:val="0"/>
          <w:numId w:val="30"/>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 xml:space="preserve">While market penetration assumptions may vary by innovation, the method by which these assumptions </w:t>
      </w:r>
      <w:proofErr w:type="gramStart"/>
      <w:r w:rsidRPr="008844BF">
        <w:rPr>
          <w:rFonts w:ascii="Palatino Linotype" w:hAnsi="Palatino Linotype" w:eastAsia="Calibri" w:cs="Arial"/>
          <w:kern w:val="0"/>
          <w14:ligatures w14:val="none"/>
        </w:rPr>
        <w:t>are arrived</w:t>
      </w:r>
      <w:proofErr w:type="gramEnd"/>
      <w:r w:rsidRPr="008844BF">
        <w:rPr>
          <w:rFonts w:ascii="Palatino Linotype" w:hAnsi="Palatino Linotype" w:eastAsia="Calibri" w:cs="Arial"/>
          <w:kern w:val="0"/>
          <w14:ligatures w14:val="none"/>
        </w:rPr>
        <w:t xml:space="preserve"> should be consistent. </w:t>
      </w:r>
    </w:p>
    <w:p w:rsidRPr="008844BF" w:rsidR="00477204" w:rsidP="00477204" w:rsidRDefault="00477204" w14:paraId="2B6922F5" w14:textId="77777777">
      <w:pPr>
        <w:spacing w:after="0" w:line="276" w:lineRule="auto"/>
        <w:ind w:left="274"/>
        <w:contextualSpacing/>
        <w:rPr>
          <w:rFonts w:ascii="Palatino Linotype" w:hAnsi="Palatino Linotype" w:eastAsia="Calibri" w:cs="Arial"/>
          <w:kern w:val="0"/>
          <w14:ligatures w14:val="none"/>
        </w:rPr>
      </w:pPr>
    </w:p>
    <w:p w:rsidRPr="008844BF" w:rsidR="00477204" w:rsidP="00477204" w:rsidRDefault="00477204" w14:paraId="7B6ECC6B" w14:textId="77777777">
      <w:pPr>
        <w:spacing w:before="200"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Impact Reporting</w:t>
      </w:r>
    </w:p>
    <w:p w:rsidRPr="008844BF" w:rsidR="00477204" w:rsidP="00477204" w:rsidRDefault="00477204" w14:paraId="64A526A5" w14:textId="77777777">
      <w:pPr>
        <w:pStyle w:val="ListParagraph"/>
        <w:numPr>
          <w:ilvl w:val="0"/>
          <w:numId w:val="29"/>
        </w:numPr>
        <w:spacing w:after="0" w:line="276" w:lineRule="auto"/>
        <w:rPr>
          <w:rFonts w:ascii="Palatino Linotype" w:hAnsi="Palatino Linotype" w:eastAsia="Calibri" w:cs="Arial"/>
          <w:kern w:val="0"/>
          <w14:ligatures w14:val="none"/>
        </w:rPr>
      </w:pPr>
      <w:r w:rsidRPr="008844BF">
        <w:rPr>
          <w:rFonts w:ascii="Palatino Linotype" w:hAnsi="Palatino Linotype" w:eastAsia="Calibri" w:cs="Arial"/>
          <w:kern w:val="0"/>
          <w14:ligatures w14:val="none"/>
        </w:rPr>
        <w:t>For clarity of impacts on different economic sectors, direct, indirect, and induced impacts should be disaggregated in reporting.</w:t>
      </w:r>
    </w:p>
    <w:p w:rsidRPr="008844BF" w:rsidR="00477204" w:rsidP="00477204" w:rsidRDefault="00477204" w14:paraId="2EC878DC" w14:textId="77777777">
      <w:pPr>
        <w:spacing w:after="0" w:line="276" w:lineRule="auto"/>
        <w:ind w:left="274"/>
        <w:contextualSpacing/>
        <w:rPr>
          <w:rFonts w:ascii="Palatino Linotype" w:hAnsi="Palatino Linotype" w:eastAsia="Calibri" w:cs="Arial"/>
          <w:kern w:val="0"/>
          <w14:ligatures w14:val="none"/>
        </w:rPr>
      </w:pPr>
    </w:p>
    <w:p w:rsidRPr="008844BF" w:rsidR="00477204" w:rsidP="00477204" w:rsidRDefault="00477204" w14:paraId="5BD15F7F" w14:textId="77777777">
      <w:pPr>
        <w:spacing w:after="0" w:line="276" w:lineRule="auto"/>
        <w:contextualSpacing/>
        <w:rPr>
          <w:rFonts w:ascii="Palatino Linotype" w:hAnsi="Palatino Linotype" w:eastAsia="Calibri" w:cs="Arial"/>
          <w:b/>
          <w:kern w:val="0"/>
          <w14:ligatures w14:val="none"/>
        </w:rPr>
      </w:pPr>
      <w:r w:rsidRPr="008844BF">
        <w:rPr>
          <w:rFonts w:ascii="Palatino Linotype" w:hAnsi="Palatino Linotype" w:eastAsia="Calibri" w:cs="Arial"/>
          <w:b/>
          <w:kern w:val="0"/>
          <w14:ligatures w14:val="none"/>
        </w:rPr>
        <w:t>Iterative Process</w:t>
      </w:r>
    </w:p>
    <w:p w:rsidRPr="008844BF" w:rsidR="00477204" w:rsidP="00477204" w:rsidRDefault="00477204" w14:paraId="0A49613C" w14:textId="77777777">
      <w:pPr>
        <w:pStyle w:val="ListParagraph"/>
        <w:numPr>
          <w:ilvl w:val="0"/>
          <w:numId w:val="28"/>
        </w:numPr>
        <w:spacing w:after="0" w:line="276" w:lineRule="auto"/>
      </w:pPr>
      <w:r w:rsidRPr="008844BF">
        <w:rPr>
          <w:rFonts w:ascii="Palatino Linotype" w:hAnsi="Palatino Linotype" w:eastAsia="Calibri" w:cs="Arial"/>
          <w:kern w:val="0"/>
          <w14:ligatures w14:val="none"/>
        </w:rPr>
        <w:t>Guidelines may be revised and clarified as the EPIC Impacts Analysis Framework is developed to achieve the goals and principles outlined above.</w:t>
      </w:r>
    </w:p>
    <w:p w:rsidR="00477204" w:rsidP="00E851DF" w:rsidRDefault="00477204" w14:paraId="73E91ADB" w14:textId="77777777">
      <w:pPr>
        <w:keepNext/>
        <w:spacing w:after="0" w:line="240" w:lineRule="auto"/>
      </w:pPr>
    </w:p>
    <w:p w:rsidR="005E7EC1" w:rsidP="00E851DF" w:rsidRDefault="005E7EC1" w14:paraId="646178EF" w14:textId="77777777">
      <w:pPr>
        <w:keepNext/>
        <w:spacing w:after="0" w:line="240" w:lineRule="auto"/>
        <w:sectPr w:rsidR="005E7EC1" w:rsidSect="0044638C">
          <w:headerReference w:type="default" r:id="rId63"/>
          <w:footerReference w:type="default" r:id="rId64"/>
          <w:pgSz w:w="12240" w:h="15840"/>
          <w:pgMar w:top="1440" w:right="1440" w:bottom="1440" w:left="1440" w:header="720" w:footer="720" w:gutter="0"/>
          <w:cols w:space="720"/>
          <w:titlePg/>
          <w:docGrid w:linePitch="360"/>
        </w:sectPr>
      </w:pPr>
    </w:p>
    <w:p w:rsidR="0023749D" w:rsidP="00226CE4" w:rsidRDefault="0023749D" w14:paraId="2308BA2B" w14:textId="77777777">
      <w:pPr>
        <w:keepNext/>
        <w:spacing w:line="240" w:lineRule="auto"/>
        <w:rPr>
          <w:rFonts w:ascii="Palatino Linotype" w:hAnsi="Palatino Linotype"/>
          <w:b/>
        </w:rPr>
      </w:pPr>
    </w:p>
    <w:p w:rsidR="0023749D" w:rsidP="00226CE4" w:rsidRDefault="0023749D" w14:paraId="022D8611" w14:textId="77777777">
      <w:pPr>
        <w:keepNext/>
        <w:spacing w:line="240" w:lineRule="auto"/>
        <w:rPr>
          <w:rFonts w:ascii="Palatino Linotype" w:hAnsi="Palatino Linotype"/>
          <w:b/>
          <w:sz w:val="36"/>
          <w:szCs w:val="36"/>
        </w:rPr>
      </w:pPr>
    </w:p>
    <w:p w:rsidR="0023749D" w:rsidP="00226CE4" w:rsidRDefault="0023749D" w14:paraId="00372004" w14:textId="77777777">
      <w:pPr>
        <w:keepNext/>
        <w:spacing w:line="240" w:lineRule="auto"/>
        <w:rPr>
          <w:rFonts w:ascii="Palatino Linotype" w:hAnsi="Palatino Linotype"/>
          <w:b/>
          <w:sz w:val="36"/>
          <w:szCs w:val="36"/>
        </w:rPr>
      </w:pPr>
    </w:p>
    <w:p w:rsidR="0023749D" w:rsidP="00226CE4" w:rsidRDefault="0023749D" w14:paraId="2751CB55" w14:textId="77777777">
      <w:pPr>
        <w:keepNext/>
        <w:spacing w:line="240" w:lineRule="auto"/>
        <w:rPr>
          <w:rFonts w:ascii="Palatino Linotype" w:hAnsi="Palatino Linotype"/>
          <w:b/>
          <w:sz w:val="36"/>
          <w:szCs w:val="36"/>
        </w:rPr>
      </w:pPr>
    </w:p>
    <w:p w:rsidRPr="007B7F5F" w:rsidR="00A76F4A" w:rsidP="00226CE4" w:rsidRDefault="006007F6" w14:paraId="1FD216D4" w14:textId="5DD3F458">
      <w:pPr>
        <w:keepNext/>
        <w:spacing w:line="240" w:lineRule="auto"/>
        <w:rPr>
          <w:rFonts w:ascii="Palatino Linotype" w:hAnsi="Palatino Linotype"/>
          <w:b/>
          <w:bCs/>
          <w:sz w:val="36"/>
          <w:szCs w:val="36"/>
        </w:rPr>
      </w:pPr>
      <w:r w:rsidRPr="007B7F5F">
        <w:rPr>
          <w:rFonts w:ascii="Palatino Linotype" w:hAnsi="Palatino Linotype"/>
          <w:b/>
          <w:sz w:val="36"/>
          <w:szCs w:val="36"/>
        </w:rPr>
        <w:t xml:space="preserve">Appendix G: Compliance Assessment of Advice </w:t>
      </w:r>
      <w:r w:rsidRPr="007B7F5F">
        <w:rPr>
          <w:rFonts w:ascii="Palatino Linotype" w:hAnsi="Palatino Linotype"/>
          <w:b/>
          <w:color w:val="000000" w:themeColor="text1"/>
          <w:sz w:val="36"/>
          <w:szCs w:val="36"/>
        </w:rPr>
        <w:t>Letter 6495-G-A – 2024 Plan</w:t>
      </w:r>
    </w:p>
    <w:tbl>
      <w:tblPr>
        <w:tblStyle w:val="TableGrid"/>
        <w:tblW w:w="0" w:type="auto"/>
        <w:tblLook w:val="04A0" w:firstRow="1" w:lastRow="0" w:firstColumn="1" w:lastColumn="0" w:noHBand="0" w:noVBand="1"/>
      </w:tblPr>
      <w:tblGrid>
        <w:gridCol w:w="3744"/>
        <w:gridCol w:w="6912"/>
        <w:gridCol w:w="3600"/>
      </w:tblGrid>
      <w:tr w:rsidRPr="006F5335" w:rsidR="00860D16" w:rsidTr="00EE197B" w14:paraId="034E3DEE" w14:textId="77777777">
        <w:trPr>
          <w:trHeight w:val="330"/>
        </w:trPr>
        <w:tc>
          <w:tcPr>
            <w:tcW w:w="3744" w:type="dxa"/>
            <w:vAlign w:val="center"/>
          </w:tcPr>
          <w:p w:rsidRPr="006F5335" w:rsidR="00860D16" w:rsidP="00226CE4" w:rsidRDefault="00860D16" w14:paraId="3BE0A459" w14:textId="77777777">
            <w:pPr>
              <w:keepNext/>
              <w:rPr>
                <w:rFonts w:ascii="Palatino Linotype" w:hAnsi="Palatino Linotype"/>
                <w:b/>
                <w:bCs w:val="0"/>
                <w:sz w:val="20"/>
                <w:szCs w:val="20"/>
              </w:rPr>
            </w:pPr>
            <w:r w:rsidRPr="006F5335">
              <w:rPr>
                <w:rFonts w:ascii="Palatino Linotype" w:hAnsi="Palatino Linotype"/>
                <w:b/>
                <w:sz w:val="20"/>
                <w:szCs w:val="20"/>
              </w:rPr>
              <w:t>CPUC Requirement</w:t>
            </w:r>
          </w:p>
        </w:tc>
        <w:tc>
          <w:tcPr>
            <w:tcW w:w="6912" w:type="dxa"/>
            <w:vAlign w:val="center"/>
          </w:tcPr>
          <w:p w:rsidRPr="006F5335" w:rsidR="00860D16" w:rsidP="00226CE4" w:rsidRDefault="00860D16" w14:paraId="340DD029" w14:textId="77777777">
            <w:pPr>
              <w:keepNext/>
              <w:rPr>
                <w:rFonts w:ascii="Palatino Linotype" w:hAnsi="Palatino Linotype"/>
                <w:b/>
                <w:bCs w:val="0"/>
                <w:sz w:val="20"/>
                <w:szCs w:val="20"/>
              </w:rPr>
            </w:pPr>
            <w:r w:rsidRPr="006F5335">
              <w:rPr>
                <w:rFonts w:ascii="Palatino Linotype" w:hAnsi="Palatino Linotype"/>
                <w:b/>
                <w:sz w:val="20"/>
                <w:szCs w:val="20"/>
              </w:rPr>
              <w:t>SoCalGas Response in AL 6495-G-A</w:t>
            </w:r>
          </w:p>
        </w:tc>
        <w:tc>
          <w:tcPr>
            <w:tcW w:w="3600" w:type="dxa"/>
            <w:vAlign w:val="center"/>
          </w:tcPr>
          <w:p w:rsidRPr="006F5335" w:rsidR="00860D16" w:rsidP="00226CE4" w:rsidRDefault="00860D16" w14:paraId="10F788F8" w14:textId="77777777">
            <w:pPr>
              <w:keepNext/>
              <w:rPr>
                <w:rFonts w:ascii="Palatino Linotype" w:hAnsi="Palatino Linotype"/>
                <w:b/>
                <w:bCs w:val="0"/>
                <w:color w:val="EE0000"/>
                <w:sz w:val="20"/>
                <w:szCs w:val="20"/>
              </w:rPr>
            </w:pPr>
            <w:r w:rsidRPr="006F5335">
              <w:rPr>
                <w:rFonts w:ascii="Palatino Linotype" w:hAnsi="Palatino Linotype"/>
                <w:b/>
                <w:sz w:val="20"/>
                <w:szCs w:val="20"/>
              </w:rPr>
              <w:t>Compliance Assessment</w:t>
            </w:r>
          </w:p>
        </w:tc>
      </w:tr>
      <w:tr w:rsidRPr="006F5335" w:rsidR="00860D16" w:rsidTr="00EE197B" w14:paraId="04179C40" w14:textId="77777777">
        <w:trPr>
          <w:trHeight w:val="638"/>
        </w:trPr>
        <w:tc>
          <w:tcPr>
            <w:tcW w:w="3744" w:type="dxa"/>
          </w:tcPr>
          <w:p w:rsidRPr="006F5335" w:rsidR="00860D16" w:rsidP="00226CE4" w:rsidRDefault="00860D16" w14:paraId="6BAA90E6" w14:textId="77777777">
            <w:pPr>
              <w:rPr>
                <w:rFonts w:ascii="Palatino Linotype" w:hAnsi="Palatino Linotype" w:eastAsia="Palatino Linotype" w:cs="Palatino Linotype"/>
                <w:color w:val="000000" w:themeColor="text1"/>
                <w:sz w:val="20"/>
                <w:szCs w:val="20"/>
              </w:rPr>
            </w:pPr>
            <w:r w:rsidRPr="006F5335">
              <w:rPr>
                <w:rFonts w:ascii="Palatino Linotype" w:hAnsi="Palatino Linotype"/>
                <w:b/>
                <w:sz w:val="20"/>
                <w:szCs w:val="20"/>
              </w:rPr>
              <w:t xml:space="preserve">[1] </w:t>
            </w:r>
            <w:hyperlink w:history="1" r:id="rId65">
              <w:r w:rsidRPr="006F5335">
                <w:rPr>
                  <w:rStyle w:val="Hyperlink"/>
                  <w:rFonts w:ascii="Palatino Linotype" w:hAnsi="Palatino Linotype"/>
                  <w:sz w:val="20"/>
                  <w:szCs w:val="20"/>
                </w:rPr>
                <w:t>D.19-09-051</w:t>
              </w:r>
            </w:hyperlink>
            <w:r w:rsidRPr="006F5335">
              <w:rPr>
                <w:rFonts w:ascii="Palatino Linotype" w:hAnsi="Palatino Linotype"/>
                <w:sz w:val="20"/>
                <w:szCs w:val="20"/>
              </w:rPr>
              <w:t xml:space="preserve"> at p. 378-379 &amp; OP 30. </w:t>
            </w:r>
            <w:r w:rsidRPr="006F5335">
              <w:rPr>
                <w:rFonts w:ascii="Palatino Linotype" w:hAnsi="Palatino Linotype"/>
                <w:i/>
                <w:iCs/>
                <w:sz w:val="20"/>
                <w:szCs w:val="20"/>
              </w:rPr>
              <w:t>[SoCalGas shall] provide Energy Division staff with the workshop presentation materials as well as documentation of stakeholders consulted in the development of RD&amp;D projects… [and host an annual workshop to] present the result of the previous year’s RD&amp;D program and obtain input regarding its intended spending for the following calendar year.</w:t>
            </w:r>
            <w:r w:rsidRPr="006F5335">
              <w:rPr>
                <w:rStyle w:val="FootnoteReference"/>
                <w:rFonts w:ascii="Palatino Linotype" w:hAnsi="Palatino Linotype"/>
                <w:i/>
                <w:iCs/>
                <w:sz w:val="20"/>
                <w:szCs w:val="20"/>
              </w:rPr>
              <w:footnoteReference w:id="179"/>
            </w:r>
            <w:r w:rsidRPr="006F5335">
              <w:rPr>
                <w:rFonts w:ascii="Palatino Linotype" w:hAnsi="Palatino Linotype" w:eastAsia="Palatino Linotype" w:cs="Palatino Linotype"/>
                <w:color w:val="000000" w:themeColor="text1"/>
                <w:sz w:val="20"/>
                <w:szCs w:val="20"/>
              </w:rPr>
              <w:t xml:space="preserve"> </w:t>
            </w:r>
          </w:p>
          <w:p w:rsidRPr="006F5335" w:rsidR="00860D16" w:rsidP="00226CE4" w:rsidRDefault="00860D16" w14:paraId="0985C5AA" w14:textId="77777777">
            <w:pPr>
              <w:rPr>
                <w:rFonts w:ascii="Palatino Linotype" w:hAnsi="Palatino Linotype" w:eastAsia="Palatino Linotype" w:cs="Palatino Linotype"/>
                <w:color w:val="000000" w:themeColor="text1"/>
                <w:sz w:val="20"/>
                <w:szCs w:val="20"/>
              </w:rPr>
            </w:pPr>
          </w:p>
          <w:p w:rsidRPr="006F5335" w:rsidR="00860D16" w:rsidP="00226CE4" w:rsidRDefault="00860D16" w14:paraId="6BFCC9C5" w14:textId="77777777">
            <w:pPr>
              <w:rPr>
                <w:rFonts w:ascii="Palatino Linotype" w:hAnsi="Palatino Linotype"/>
                <w:i/>
                <w:iCs/>
                <w:sz w:val="20"/>
                <w:szCs w:val="20"/>
              </w:rPr>
            </w:pPr>
            <w:r w:rsidRPr="006F5335">
              <w:rPr>
                <w:rFonts w:ascii="Palatino Linotype" w:hAnsi="Palatino Linotype" w:eastAsia="Palatino Linotype" w:cs="Palatino Linotype"/>
                <w:color w:val="000000" w:themeColor="text1"/>
                <w:sz w:val="20"/>
                <w:szCs w:val="20"/>
              </w:rPr>
              <w:t>See also: [20] on integration of public stakeholder feedback</w:t>
            </w:r>
            <w:r w:rsidRPr="006F5335">
              <w:rPr>
                <w:rFonts w:ascii="Palatino Linotype" w:hAnsi="Palatino Linotype" w:eastAsia="Palatino Linotype" w:cs="Palatino Linotype"/>
                <w:color w:val="0070C0"/>
                <w:sz w:val="20"/>
                <w:szCs w:val="20"/>
              </w:rPr>
              <w:t xml:space="preserve">.  </w:t>
            </w:r>
          </w:p>
        </w:tc>
        <w:tc>
          <w:tcPr>
            <w:tcW w:w="6912" w:type="dxa"/>
          </w:tcPr>
          <w:p w:rsidRPr="0016671C" w:rsidR="00860D16" w:rsidP="00226CE4" w:rsidRDefault="00860D16" w14:paraId="5BD5818D"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states the following: </w:t>
            </w:r>
          </w:p>
          <w:p w:rsidRPr="0016671C" w:rsidR="00860D16" w:rsidP="00226CE4" w:rsidRDefault="00860D16" w14:paraId="28D7E926" w14:textId="77777777">
            <w:pPr>
              <w:pStyle w:val="ListParagraph"/>
              <w:numPr>
                <w:ilvl w:val="0"/>
                <w:numId w:val="28"/>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“On April 21, 2025, SoCalGas submitted its workshop presentation materials to CPUC Energy Division staff for review. The presentation included documentation of the stakeholders consulted in the development of the workshop presentation.”</w:t>
            </w:r>
            <w:r w:rsidRPr="0016671C">
              <w:rPr>
                <w:rStyle w:val="FootnoteReference"/>
                <w:rFonts w:ascii="Palatino Linotype" w:hAnsi="Palatino Linotype"/>
                <w:color w:val="000000" w:themeColor="text1"/>
                <w:sz w:val="20"/>
                <w:szCs w:val="20"/>
              </w:rPr>
              <w:footnoteReference w:id="180"/>
            </w:r>
            <w:r w:rsidRPr="0016671C">
              <w:rPr>
                <w:rFonts w:ascii="Palatino Linotype" w:hAnsi="Palatino Linotype"/>
                <w:color w:val="000000" w:themeColor="text1"/>
                <w:sz w:val="20"/>
                <w:szCs w:val="20"/>
              </w:rPr>
              <w:t xml:space="preserve"> </w:t>
            </w:r>
          </w:p>
          <w:p w:rsidRPr="0016671C" w:rsidR="00860D16" w:rsidP="00226CE4" w:rsidRDefault="00860D16" w14:paraId="7E1811FF" w14:textId="77777777">
            <w:pPr>
              <w:pStyle w:val="ListParagraph"/>
              <w:numPr>
                <w:ilvl w:val="0"/>
                <w:numId w:val="28"/>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“On April 28, 2025, RD&amp;D staff hosted a public workshop in a hybrid format. In consultation with Energy Division staff, SoCalGas extended invitations to approximately 340 stakeholders and encouraged both in-person and virtual participation. Notifications of the workshop were also sent to several relevant service lists.</w:t>
            </w:r>
            <w:r w:rsidRPr="0016671C">
              <w:rPr>
                <w:rStyle w:val="FootnoteReference"/>
                <w:rFonts w:ascii="Palatino Linotype" w:hAnsi="Palatino Linotype"/>
                <w:color w:val="000000" w:themeColor="text1"/>
                <w:sz w:val="20"/>
                <w:szCs w:val="20"/>
              </w:rPr>
              <w:footnoteReference w:id="181"/>
            </w:r>
            <w:r w:rsidRPr="0016671C">
              <w:rPr>
                <w:rFonts w:ascii="Palatino Linotype" w:hAnsi="Palatino Linotype"/>
                <w:color w:val="000000" w:themeColor="text1"/>
                <w:sz w:val="20"/>
                <w:szCs w:val="20"/>
              </w:rPr>
              <w:t xml:space="preserve"> Approximately 200 individuals attended the workshop, representing a broad range of research organizations.”</w:t>
            </w:r>
            <w:r w:rsidRPr="0016671C">
              <w:rPr>
                <w:rStyle w:val="FootnoteReference"/>
                <w:rFonts w:ascii="Palatino Linotype" w:hAnsi="Palatino Linotype"/>
                <w:color w:val="000000" w:themeColor="text1"/>
                <w:sz w:val="20"/>
                <w:szCs w:val="20"/>
              </w:rPr>
              <w:footnoteReference w:id="182"/>
            </w:r>
          </w:p>
          <w:p w:rsidRPr="0016671C" w:rsidR="00860D16" w:rsidP="00226CE4" w:rsidRDefault="00860D16" w14:paraId="7C775081" w14:textId="77777777">
            <w:pPr>
              <w:pStyle w:val="ListParagraph"/>
              <w:numPr>
                <w:ilvl w:val="0"/>
                <w:numId w:val="28"/>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“During the two-hour workshop, RD&amp;D team members presented results from 2024 RD&amp;D activities and outlined proposed spending and activities for the 2024 and 2025 Research Plans.”</w:t>
            </w:r>
            <w:r w:rsidRPr="0016671C">
              <w:rPr>
                <w:rStyle w:val="FootnoteReference"/>
                <w:rFonts w:ascii="Palatino Linotype" w:hAnsi="Palatino Linotype"/>
                <w:color w:val="000000" w:themeColor="text1"/>
                <w:sz w:val="20"/>
                <w:szCs w:val="20"/>
              </w:rPr>
              <w:footnoteReference w:id="183"/>
            </w:r>
            <w:r w:rsidRPr="0016671C">
              <w:rPr>
                <w:rFonts w:ascii="Palatino Linotype" w:hAnsi="Palatino Linotype"/>
                <w:color w:val="000000" w:themeColor="text1"/>
                <w:sz w:val="20"/>
                <w:szCs w:val="20"/>
              </w:rPr>
              <w:t xml:space="preserve"> </w:t>
            </w:r>
          </w:p>
          <w:p w:rsidRPr="0016671C" w:rsidR="00860D16" w:rsidP="00226CE4" w:rsidRDefault="00860D16" w14:paraId="08586239" w14:textId="77777777">
            <w:pPr>
              <w:spacing w:before="240"/>
              <w:rPr>
                <w:color w:val="000000" w:themeColor="text1"/>
              </w:rPr>
            </w:pPr>
            <w:r w:rsidRPr="0016671C">
              <w:rPr>
                <w:rFonts w:ascii="Palatino Linotype" w:hAnsi="Palatino Linotype"/>
                <w:color w:val="000000" w:themeColor="text1"/>
                <w:sz w:val="20"/>
                <w:szCs w:val="20"/>
              </w:rPr>
              <w:lastRenderedPageBreak/>
              <w:t>SoCalGas discusses feedback received from public workshop attendees for each Initiative.</w:t>
            </w:r>
            <w:r w:rsidRPr="0016671C">
              <w:rPr>
                <w:rStyle w:val="FootnoteReference"/>
                <w:rFonts w:ascii="Palatino Linotype" w:hAnsi="Palatino Linotype"/>
                <w:color w:val="000000" w:themeColor="text1"/>
                <w:sz w:val="20"/>
                <w:szCs w:val="20"/>
              </w:rPr>
              <w:footnoteReference w:id="184"/>
            </w:r>
            <w:r w:rsidRPr="0016671C">
              <w:rPr>
                <w:rFonts w:ascii="Palatino Linotype" w:hAnsi="Palatino Linotype"/>
                <w:color w:val="000000" w:themeColor="text1"/>
                <w:sz w:val="20"/>
                <w:szCs w:val="20"/>
              </w:rPr>
              <w:t xml:space="preserve"> </w:t>
            </w:r>
          </w:p>
        </w:tc>
        <w:tc>
          <w:tcPr>
            <w:tcW w:w="3600" w:type="dxa"/>
          </w:tcPr>
          <w:p w:rsidRPr="0016671C" w:rsidR="00860D16" w:rsidP="00226CE4" w:rsidRDefault="00860D16" w14:paraId="41BCD3D6" w14:textId="77777777">
            <w:pPr>
              <w:rPr>
                <w:color w:val="000000" w:themeColor="text1"/>
              </w:rPr>
            </w:pPr>
            <w:r w:rsidRPr="0016671C">
              <w:rPr>
                <w:rFonts w:ascii="Palatino Linotype" w:hAnsi="Palatino Linotype"/>
                <w:color w:val="000000" w:themeColor="text1"/>
                <w:sz w:val="20"/>
                <w:szCs w:val="20"/>
              </w:rPr>
              <w:lastRenderedPageBreak/>
              <w:t xml:space="preserve">SoCalGas provided Energy Division staff with workshop materials in advance of hosting an annual public workshop to seek input on proposed Plans. </w:t>
            </w:r>
            <w:r w:rsidRPr="0016671C">
              <w:rPr>
                <w:rFonts w:ascii="Palatino Linotype" w:hAnsi="Palatino Linotype"/>
                <w:b/>
                <w:color w:val="000000" w:themeColor="text1"/>
                <w:sz w:val="20"/>
                <w:szCs w:val="20"/>
              </w:rPr>
              <w:t>SoCalGas is compliant with this requirement.</w:t>
            </w:r>
            <w:r w:rsidRPr="0016671C">
              <w:rPr>
                <w:rFonts w:ascii="Palatino Linotype" w:hAnsi="Palatino Linotype"/>
                <w:color w:val="000000" w:themeColor="text1"/>
                <w:sz w:val="20"/>
                <w:szCs w:val="20"/>
              </w:rPr>
              <w:t xml:space="preserve"> </w:t>
            </w:r>
          </w:p>
        </w:tc>
      </w:tr>
      <w:tr w:rsidRPr="006F5335" w:rsidR="00860D16" w:rsidTr="00EE197B" w14:paraId="708151B5" w14:textId="77777777">
        <w:trPr>
          <w:trHeight w:val="638"/>
        </w:trPr>
        <w:tc>
          <w:tcPr>
            <w:tcW w:w="3744" w:type="dxa"/>
          </w:tcPr>
          <w:p w:rsidRPr="006F5335" w:rsidR="00860D16" w:rsidP="00790309" w:rsidRDefault="00860D16" w14:paraId="18D1FF1F" w14:textId="77777777">
            <w:pPr>
              <w:widowControl w:val="0"/>
              <w:rPr>
                <w:rFonts w:ascii="Palatino Linotype" w:hAnsi="Palatino Linotype"/>
                <w:i/>
                <w:iCs/>
                <w:sz w:val="20"/>
                <w:szCs w:val="20"/>
              </w:rPr>
            </w:pPr>
            <w:r w:rsidRPr="006F5335">
              <w:rPr>
                <w:rFonts w:ascii="Palatino Linotype" w:hAnsi="Palatino Linotype"/>
                <w:b/>
                <w:sz w:val="20"/>
                <w:szCs w:val="20"/>
              </w:rPr>
              <w:t xml:space="preserve">[2] </w:t>
            </w:r>
            <w:hyperlink w:history="1" r:id="rId66">
              <w:r w:rsidRPr="006F5335">
                <w:rPr>
                  <w:rStyle w:val="Hyperlink"/>
                  <w:rFonts w:ascii="Palatino Linotype" w:hAnsi="Palatino Linotype"/>
                  <w:sz w:val="20"/>
                  <w:szCs w:val="20"/>
                </w:rPr>
                <w:t>D.19-09-051</w:t>
              </w:r>
            </w:hyperlink>
            <w:r w:rsidRPr="006F5335">
              <w:rPr>
                <w:rFonts w:ascii="Palatino Linotype" w:hAnsi="Palatino Linotype"/>
                <w:sz w:val="20"/>
                <w:szCs w:val="20"/>
              </w:rPr>
              <w:t xml:space="preserve"> at p. 378 &amp; OP 30. </w:t>
            </w:r>
            <w:r w:rsidRPr="006F5335">
              <w:rPr>
                <w:rFonts w:ascii="Palatino Linotype" w:hAnsi="Palatino Linotype"/>
                <w:i/>
                <w:iCs/>
                <w:sz w:val="20"/>
                <w:szCs w:val="20"/>
              </w:rPr>
              <w:t>[</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xml:space="preserve"> shall] submit a report to Energy Division staff describing prior years’ RD&amp;D program. This should include a summary of ongoing and completed projects; funds expended, funding recipients, and leveraged funding; and an explanation of the process used for selecting RD&amp;D project areas as well as the structure of SoCalGas’ RD&amp;D portfolio.</w:t>
            </w:r>
            <w:r w:rsidRPr="006F5335">
              <w:rPr>
                <w:rStyle w:val="FootnoteReference"/>
                <w:rFonts w:ascii="Palatino Linotype" w:hAnsi="Palatino Linotype"/>
                <w:i/>
                <w:iCs/>
                <w:sz w:val="20"/>
                <w:szCs w:val="20"/>
              </w:rPr>
              <w:footnoteReference w:id="185"/>
            </w:r>
          </w:p>
        </w:tc>
        <w:tc>
          <w:tcPr>
            <w:tcW w:w="6912" w:type="dxa"/>
          </w:tcPr>
          <w:p w:rsidRPr="0016671C" w:rsidR="00860D16" w:rsidP="00790309" w:rsidRDefault="00860D16" w14:paraId="4B3500C2" w14:textId="77777777">
            <w:pPr>
              <w:widowControl w:val="0"/>
              <w:rPr>
                <w:rStyle w:val="FootnoteReference"/>
                <w:rFonts w:ascii="Palatino Linotype" w:hAnsi="Palatino Linotype"/>
                <w:color w:val="000000" w:themeColor="text1"/>
                <w:sz w:val="20"/>
                <w:szCs w:val="20"/>
              </w:rPr>
            </w:pPr>
            <w:r w:rsidRPr="0016671C">
              <w:rPr>
                <w:rFonts w:ascii="Palatino Linotype" w:hAnsi="Palatino Linotype"/>
                <w:color w:val="000000" w:themeColor="text1"/>
                <w:sz w:val="20"/>
                <w:szCs w:val="20"/>
              </w:rPr>
              <w:t>In April 2025, SoCalGas submitted its 2024 Gas RD&amp;D Annual Report (2024 Annual Report)</w:t>
            </w:r>
            <w:r w:rsidRPr="0016671C">
              <w:rPr>
                <w:rStyle w:val="FootnoteReference"/>
                <w:rFonts w:ascii="Palatino Linotype" w:hAnsi="Palatino Linotype"/>
                <w:color w:val="000000" w:themeColor="text1"/>
                <w:sz w:val="20"/>
                <w:szCs w:val="20"/>
              </w:rPr>
              <w:footnoteReference w:id="186"/>
            </w:r>
            <w:r w:rsidRPr="0016671C">
              <w:rPr>
                <w:rFonts w:ascii="Palatino Linotype" w:hAnsi="Palatino Linotype"/>
                <w:color w:val="000000" w:themeColor="text1"/>
                <w:sz w:val="20"/>
                <w:szCs w:val="20"/>
              </w:rPr>
              <w:t xml:space="preserve"> to </w:t>
            </w:r>
            <w:proofErr w:type="gramStart"/>
            <w:r w:rsidRPr="0016671C">
              <w:rPr>
                <w:rFonts w:ascii="Palatino Linotype" w:hAnsi="Palatino Linotype" w:eastAsia="Palatino Linotype" w:cs="Palatino Linotype"/>
                <w:color w:val="000000" w:themeColor="text1"/>
                <w:sz w:val="20"/>
                <w:szCs w:val="20"/>
              </w:rPr>
              <w:t>CPUC‘</w:t>
            </w:r>
            <w:proofErr w:type="gramEnd"/>
            <w:r w:rsidRPr="0016671C">
              <w:rPr>
                <w:rFonts w:ascii="Palatino Linotype" w:hAnsi="Palatino Linotype" w:eastAsia="Palatino Linotype" w:cs="Palatino Linotype"/>
                <w:color w:val="000000" w:themeColor="text1"/>
                <w:sz w:val="20"/>
                <w:szCs w:val="20"/>
              </w:rPr>
              <w:t>s Energy Division.</w:t>
            </w:r>
            <w:r w:rsidRPr="0016671C">
              <w:rPr>
                <w:rFonts w:ascii="Palatino Linotype" w:hAnsi="Palatino Linotype"/>
                <w:color w:val="000000" w:themeColor="text1"/>
                <w:sz w:val="20"/>
                <w:szCs w:val="20"/>
              </w:rPr>
              <w:t xml:space="preserve"> </w:t>
            </w:r>
          </w:p>
          <w:p w:rsidRPr="0016671C" w:rsidR="00860D16" w:rsidP="00790309" w:rsidRDefault="00860D16" w14:paraId="4B6AEAAB" w14:textId="77777777">
            <w:pPr>
              <w:widowControl w:val="0"/>
              <w:rPr>
                <w:rFonts w:ascii="Palatino Linotype" w:hAnsi="Palatino Linotype"/>
                <w:color w:val="000000" w:themeColor="text1"/>
                <w:sz w:val="20"/>
                <w:szCs w:val="20"/>
              </w:rPr>
            </w:pPr>
          </w:p>
          <w:p w:rsidRPr="0016671C" w:rsidR="00860D16" w:rsidP="00790309" w:rsidRDefault="00860D16" w14:paraId="5FB973F1" w14:textId="77777777">
            <w:pPr>
              <w:widowControl w:val="0"/>
              <w:rPr>
                <w:rFonts w:ascii="Palatino Linotype" w:hAnsi="Palatino Linotype"/>
                <w:color w:val="000000" w:themeColor="text1"/>
                <w:sz w:val="20"/>
                <w:szCs w:val="20"/>
              </w:rPr>
            </w:pPr>
          </w:p>
        </w:tc>
        <w:tc>
          <w:tcPr>
            <w:tcW w:w="3600" w:type="dxa"/>
          </w:tcPr>
          <w:p w:rsidRPr="0016671C" w:rsidR="00860D16" w:rsidP="00790309" w:rsidRDefault="00860D16" w14:paraId="68A1CBE0" w14:textId="77777777">
            <w:pPr>
              <w:widowControl w:val="0"/>
              <w:rPr>
                <w:rFonts w:ascii="Palatino Linotype" w:hAnsi="Palatino Linotype"/>
                <w:color w:val="000000" w:themeColor="text1"/>
                <w:sz w:val="20"/>
                <w:szCs w:val="20"/>
              </w:rPr>
            </w:pPr>
            <w:r w:rsidRPr="0016671C">
              <w:rPr>
                <w:rFonts w:ascii="Palatino Linotype" w:hAnsi="Palatino Linotype"/>
                <w:color w:val="000000" w:themeColor="text1"/>
                <w:sz w:val="20"/>
                <w:szCs w:val="20"/>
              </w:rPr>
              <w:t xml:space="preserve">SoCalGas does not discuss the submittal of its 2023 Gas RD&amp;D Annual Report in 2024, correlated with this Plan. </w:t>
            </w:r>
            <w:r w:rsidRPr="0016671C">
              <w:rPr>
                <w:rFonts w:ascii="Palatino Linotype" w:hAnsi="Palatino Linotype"/>
                <w:b/>
                <w:color w:val="000000" w:themeColor="text1"/>
                <w:sz w:val="20"/>
                <w:szCs w:val="20"/>
              </w:rPr>
              <w:t xml:space="preserve">SoCalGas is </w:t>
            </w:r>
            <w:r w:rsidRPr="0016671C">
              <w:rPr>
                <w:rFonts w:ascii="Palatino Linotype" w:hAnsi="Palatino Linotype"/>
                <w:b/>
                <w:i/>
                <w:iCs/>
                <w:color w:val="000000" w:themeColor="text1"/>
                <w:sz w:val="20"/>
                <w:szCs w:val="20"/>
              </w:rPr>
              <w:t>not</w:t>
            </w:r>
            <w:r w:rsidRPr="0016671C">
              <w:rPr>
                <w:rFonts w:ascii="Palatino Linotype" w:hAnsi="Palatino Linotype"/>
                <w:b/>
                <w:color w:val="000000" w:themeColor="text1"/>
                <w:sz w:val="20"/>
                <w:szCs w:val="20"/>
              </w:rPr>
              <w:t xml:space="preserve"> compliant with this requirement.</w:t>
            </w:r>
            <w:r w:rsidRPr="0016671C">
              <w:rPr>
                <w:rFonts w:ascii="Palatino Linotype" w:hAnsi="Palatino Linotype"/>
                <w:color w:val="000000" w:themeColor="text1"/>
                <w:sz w:val="20"/>
                <w:szCs w:val="20"/>
              </w:rPr>
              <w:t xml:space="preserve">  </w:t>
            </w:r>
          </w:p>
          <w:p w:rsidRPr="0016671C" w:rsidR="00860D16" w:rsidP="00790309" w:rsidRDefault="00860D16" w14:paraId="22173CB9" w14:textId="77777777">
            <w:pPr>
              <w:widowControl w:val="0"/>
              <w:rPr>
                <w:rFonts w:ascii="Palatino Linotype" w:hAnsi="Palatino Linotype"/>
                <w:bCs w:val="0"/>
                <w:color w:val="000000" w:themeColor="text1"/>
                <w:sz w:val="20"/>
                <w:szCs w:val="20"/>
              </w:rPr>
            </w:pPr>
          </w:p>
        </w:tc>
      </w:tr>
      <w:tr w:rsidRPr="006F5335" w:rsidR="00860D16" w:rsidTr="00EE197B" w14:paraId="72DAFBD0" w14:textId="77777777">
        <w:trPr>
          <w:trHeight w:val="638"/>
        </w:trPr>
        <w:tc>
          <w:tcPr>
            <w:tcW w:w="3744" w:type="dxa"/>
          </w:tcPr>
          <w:p w:rsidRPr="006F5335" w:rsidR="00860D16" w:rsidP="00790309" w:rsidRDefault="00860D16" w14:paraId="2C28780E" w14:textId="77777777">
            <w:pPr>
              <w:widowControl w:val="0"/>
              <w:rPr>
                <w:rFonts w:ascii="Palatino Linotype" w:hAnsi="Palatino Linotype"/>
                <w:i/>
                <w:iCs/>
                <w:sz w:val="20"/>
                <w:szCs w:val="20"/>
              </w:rPr>
            </w:pPr>
            <w:r w:rsidRPr="006F5335">
              <w:rPr>
                <w:rFonts w:ascii="Palatino Linotype" w:hAnsi="Palatino Linotype"/>
                <w:b/>
                <w:sz w:val="20"/>
                <w:szCs w:val="20"/>
              </w:rPr>
              <w:t xml:space="preserve">[3] </w:t>
            </w:r>
            <w:hyperlink r:id="rId67">
              <w:r w:rsidRPr="006F5335">
                <w:rPr>
                  <w:rStyle w:val="Hyperlink"/>
                  <w:rFonts w:ascii="Palatino Linotype" w:hAnsi="Palatino Linotype"/>
                  <w:sz w:val="20"/>
                  <w:szCs w:val="20"/>
                </w:rPr>
                <w:t>D.19-09-051</w:t>
              </w:r>
            </w:hyperlink>
            <w:r w:rsidRPr="006F5335">
              <w:rPr>
                <w:rFonts w:ascii="Palatino Linotype" w:hAnsi="Palatino Linotype"/>
                <w:sz w:val="20"/>
                <w:szCs w:val="20"/>
              </w:rPr>
              <w:t xml:space="preserve"> at p. 379 &amp; OP 30. </w:t>
            </w:r>
            <w:r w:rsidRPr="006F5335">
              <w:rPr>
                <w:rFonts w:ascii="Palatino Linotype" w:hAnsi="Palatino Linotype"/>
                <w:i/>
                <w:iCs/>
                <w:sz w:val="20"/>
                <w:szCs w:val="20"/>
              </w:rPr>
              <w:t>After considering stakeholder comments during the workshop, SoCalGas shall file a Tier 3 Advice Letter with its research plan for the following calendar year.</w:t>
            </w:r>
            <w:r w:rsidRPr="006F5335">
              <w:rPr>
                <w:rStyle w:val="FootnoteReference"/>
                <w:rFonts w:ascii="Palatino Linotype" w:hAnsi="Palatino Linotype"/>
                <w:i/>
                <w:iCs/>
                <w:sz w:val="20"/>
                <w:szCs w:val="20"/>
              </w:rPr>
              <w:footnoteReference w:id="187"/>
            </w:r>
          </w:p>
        </w:tc>
        <w:tc>
          <w:tcPr>
            <w:tcW w:w="6912" w:type="dxa"/>
          </w:tcPr>
          <w:p w:rsidRPr="0016671C" w:rsidR="00860D16" w:rsidP="00790309" w:rsidRDefault="00860D16" w14:paraId="279268C2" w14:textId="77777777">
            <w:pPr>
              <w:widowControl w:val="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submitted its proposed 2024 Plan via Tier 3 AL 6182-G on August 30, 2023. SoCalGas later withdrew AL 6182-G on May 24, 2024, after consultation with CPUC staff. SoCalGas resubmitted its 2024 Plan (AL 6495-G) on June 27, 2025, and subsequently submitted its modified 2024 Plan via supplemental AL 6495-G-A on April 3, 2026.</w:t>
            </w:r>
          </w:p>
        </w:tc>
        <w:tc>
          <w:tcPr>
            <w:tcW w:w="3600" w:type="dxa"/>
          </w:tcPr>
          <w:p w:rsidRPr="0016671C" w:rsidR="00860D16" w:rsidP="00790309" w:rsidRDefault="00860D16" w14:paraId="36C9B2BE" w14:textId="77777777">
            <w:pPr>
              <w:widowControl w:val="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filed a Tier 3 AL with its proposed 2024 Plan. </w:t>
            </w:r>
            <w:r w:rsidRPr="0016671C">
              <w:rPr>
                <w:rFonts w:ascii="Palatino Linotype" w:hAnsi="Palatino Linotype"/>
                <w:b/>
                <w:color w:val="000000" w:themeColor="text1"/>
                <w:sz w:val="20"/>
                <w:szCs w:val="20"/>
              </w:rPr>
              <w:t xml:space="preserve">SoCalGas is compliant with this requirement. </w:t>
            </w:r>
          </w:p>
        </w:tc>
      </w:tr>
      <w:tr w:rsidRPr="006F5335" w:rsidR="00860D16" w:rsidTr="00EE197B" w14:paraId="2DAF85DD" w14:textId="77777777">
        <w:trPr>
          <w:trHeight w:val="638"/>
        </w:trPr>
        <w:tc>
          <w:tcPr>
            <w:tcW w:w="3744" w:type="dxa"/>
          </w:tcPr>
          <w:p w:rsidRPr="006F5335" w:rsidR="00860D16" w:rsidRDefault="00860D16" w14:paraId="55FB3DC4" w14:textId="77777777">
            <w:pPr>
              <w:rPr>
                <w:rFonts w:ascii="Palatino Linotype" w:hAnsi="Palatino Linotype"/>
                <w:i/>
                <w:iCs/>
                <w:sz w:val="20"/>
                <w:szCs w:val="20"/>
              </w:rPr>
            </w:pPr>
            <w:r w:rsidRPr="006F5335">
              <w:rPr>
                <w:rFonts w:ascii="Palatino Linotype" w:hAnsi="Palatino Linotype"/>
                <w:b/>
                <w:sz w:val="20"/>
                <w:szCs w:val="20"/>
              </w:rPr>
              <w:t xml:space="preserve">[4] </w:t>
            </w:r>
            <w:hyperlink w:history="1" r:id="rId68">
              <w:r w:rsidRPr="006F5335">
                <w:rPr>
                  <w:rStyle w:val="Hyperlink"/>
                  <w:rFonts w:ascii="Palatino Linotype" w:hAnsi="Palatino Linotype"/>
                  <w:sz w:val="20"/>
                  <w:szCs w:val="20"/>
                </w:rPr>
                <w:t>D.19-09-051</w:t>
              </w:r>
            </w:hyperlink>
            <w:r w:rsidRPr="006F5335">
              <w:rPr>
                <w:rFonts w:ascii="Palatino Linotype" w:hAnsi="Palatino Linotype"/>
                <w:sz w:val="20"/>
                <w:szCs w:val="20"/>
              </w:rPr>
              <w:t xml:space="preserve"> at p. 379 &amp; OP 30. </w:t>
            </w:r>
            <w:r w:rsidRPr="006F5335">
              <w:rPr>
                <w:rFonts w:ascii="Palatino Linotype" w:hAnsi="Palatino Linotype"/>
                <w:i/>
                <w:iCs/>
                <w:sz w:val="20"/>
                <w:szCs w:val="20"/>
              </w:rPr>
              <w:t xml:space="preserve">SoCalGas must also present its budget broken down by research projects, </w:t>
            </w:r>
          </w:p>
          <w:p w:rsidRPr="006F5335" w:rsidR="00860D16" w:rsidRDefault="00860D16" w14:paraId="227D74ED" w14:textId="77777777">
            <w:pPr>
              <w:rPr>
                <w:rFonts w:ascii="Palatino Linotype" w:hAnsi="Palatino Linotype"/>
                <w:sz w:val="20"/>
                <w:szCs w:val="20"/>
              </w:rPr>
            </w:pPr>
            <w:r w:rsidRPr="006F5335">
              <w:rPr>
                <w:rFonts w:ascii="Palatino Linotype" w:hAnsi="Palatino Linotype"/>
                <w:i/>
                <w:iCs/>
                <w:sz w:val="20"/>
                <w:szCs w:val="20"/>
              </w:rPr>
              <w:t>request for proposals, and funding amounts… [and] detail budgets broken down by research sub-program area.</w:t>
            </w:r>
          </w:p>
        </w:tc>
        <w:tc>
          <w:tcPr>
            <w:tcW w:w="6912" w:type="dxa"/>
          </w:tcPr>
          <w:p w:rsidRPr="0016671C" w:rsidR="00860D16" w:rsidRDefault="00860D16" w14:paraId="41FB7114"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proposes budgets allocations to several Initiatives or research sub-program areas: </w:t>
            </w:r>
          </w:p>
          <w:p w:rsidRPr="0016671C" w:rsidR="00860D16" w:rsidP="00860D16" w:rsidRDefault="00860D16" w14:paraId="662DE2F5"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Gas System Integrity Investment Theme: </w:t>
            </w:r>
          </w:p>
          <w:p w:rsidRPr="0016671C" w:rsidR="00860D16" w:rsidP="00860D16" w:rsidRDefault="00860D16" w14:paraId="0968B0EA"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Environmental &amp; Safety</w:t>
            </w:r>
          </w:p>
          <w:p w:rsidRPr="0016671C" w:rsidR="00860D16" w:rsidP="00860D16" w:rsidRDefault="00860D16" w14:paraId="1057C7AB"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Operations Technology</w:t>
            </w:r>
          </w:p>
          <w:p w:rsidRPr="0016671C" w:rsidR="00860D16" w:rsidP="00860D16" w:rsidRDefault="00860D16" w14:paraId="1293A99D"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System Design &amp; Materials</w:t>
            </w:r>
          </w:p>
          <w:p w:rsidRPr="0016671C" w:rsidR="00860D16" w:rsidP="00860D16" w:rsidRDefault="00860D16" w14:paraId="45DEB23E"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System Inspection &amp; Monitoring</w:t>
            </w:r>
          </w:p>
          <w:p w:rsidRPr="0016671C" w:rsidR="00860D16" w:rsidP="00860D16" w:rsidRDefault="00860D16" w14:paraId="0B68D5EF"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RNG Infrastructure Optimization</w:t>
            </w:r>
          </w:p>
          <w:p w:rsidRPr="0016671C" w:rsidR="00860D16" w:rsidP="00860D16" w:rsidRDefault="00860D16" w14:paraId="4FE3EA65"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Gas &amp; Energy Storage</w:t>
            </w:r>
          </w:p>
          <w:p w:rsidRPr="0016671C" w:rsidR="00860D16" w:rsidP="00860D16" w:rsidRDefault="00860D16" w14:paraId="75A403D9"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Decarbonization: </w:t>
            </w:r>
          </w:p>
          <w:p w:rsidRPr="0016671C" w:rsidR="00860D16" w:rsidP="00860D16" w:rsidRDefault="00860D16" w14:paraId="30348FE6"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Low-Carbon Fuels Technologies</w:t>
            </w:r>
          </w:p>
          <w:p w:rsidRPr="0016671C" w:rsidR="00860D16" w:rsidP="00860D16" w:rsidRDefault="00860D16" w14:paraId="6B812BF7"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Low-Carbon Fuels Integration</w:t>
            </w:r>
          </w:p>
          <w:p w:rsidRPr="0016671C" w:rsidR="00860D16" w:rsidP="00860D16" w:rsidRDefault="00860D16" w14:paraId="55809286"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Energy Reliability &amp; Resilience</w:t>
            </w:r>
          </w:p>
          <w:p w:rsidRPr="0016671C" w:rsidR="00860D16" w:rsidP="00860D16" w:rsidRDefault="00860D16" w14:paraId="4081F8D2" w14:textId="77777777">
            <w:pPr>
              <w:pStyle w:val="ListParagraph"/>
              <w:numPr>
                <w:ilvl w:val="1"/>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Building &amp; Facility Systems</w:t>
            </w:r>
          </w:p>
        </w:tc>
        <w:tc>
          <w:tcPr>
            <w:tcW w:w="3600" w:type="dxa"/>
          </w:tcPr>
          <w:p w:rsidRPr="0016671C" w:rsidR="00860D16" w:rsidRDefault="00860D16" w14:paraId="55335778"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 xml:space="preserve">SoCalGas details budgets broken down by research sub-program area. </w:t>
            </w:r>
            <w:r w:rsidRPr="0016671C">
              <w:rPr>
                <w:rFonts w:ascii="Palatino Linotype" w:hAnsi="Palatino Linotype"/>
                <w:b/>
                <w:color w:val="000000" w:themeColor="text1"/>
                <w:sz w:val="20"/>
                <w:szCs w:val="20"/>
              </w:rPr>
              <w:t>SoCalGas is compliant with this requirement.</w:t>
            </w:r>
          </w:p>
        </w:tc>
      </w:tr>
      <w:tr w:rsidRPr="006F5335" w:rsidR="00860D16" w:rsidTr="00EE197B" w14:paraId="17DC5E01" w14:textId="77777777">
        <w:trPr>
          <w:trHeight w:val="638"/>
        </w:trPr>
        <w:tc>
          <w:tcPr>
            <w:tcW w:w="3744" w:type="dxa"/>
          </w:tcPr>
          <w:p w:rsidRPr="006F5335" w:rsidR="00860D16" w:rsidRDefault="00860D16" w14:paraId="41AF3F02" w14:textId="77777777">
            <w:pPr>
              <w:rPr>
                <w:rFonts w:ascii="Palatino Linotype" w:hAnsi="Palatino Linotype"/>
                <w:sz w:val="20"/>
                <w:szCs w:val="20"/>
              </w:rPr>
            </w:pPr>
            <w:r w:rsidRPr="006F5335">
              <w:rPr>
                <w:rFonts w:ascii="Palatino Linotype" w:hAnsi="Palatino Linotype"/>
                <w:b/>
                <w:sz w:val="20"/>
                <w:szCs w:val="20"/>
              </w:rPr>
              <w:t xml:space="preserve">[5] </w:t>
            </w:r>
            <w:hyperlink r:id="rId69">
              <w:r w:rsidRPr="006F5335">
                <w:rPr>
                  <w:rStyle w:val="Hyperlink"/>
                  <w:rFonts w:ascii="Palatino Linotype" w:hAnsi="Palatino Linotype"/>
                  <w:sz w:val="20"/>
                  <w:szCs w:val="20"/>
                </w:rPr>
                <w:t>D.24-12-074</w:t>
              </w:r>
            </w:hyperlink>
            <w:r w:rsidRPr="006F5335">
              <w:rPr>
                <w:rFonts w:ascii="Palatino Linotype" w:hAnsi="Palatino Linotype"/>
              </w:rPr>
              <w:t xml:space="preserve"> </w:t>
            </w:r>
            <w:r w:rsidRPr="006F5335">
              <w:rPr>
                <w:rFonts w:ascii="Palatino Linotype" w:hAnsi="Palatino Linotype"/>
                <w:sz w:val="20"/>
                <w:szCs w:val="20"/>
              </w:rPr>
              <w:t xml:space="preserve">authorized a $17.853M budget for </w:t>
            </w:r>
            <w:r w:rsidRPr="006F5335">
              <w:rPr>
                <w:rFonts w:ascii="Palatino Linotype" w:hAnsi="Palatino Linotype"/>
                <w:color w:val="000000" w:themeColor="text1"/>
                <w:sz w:val="20"/>
                <w:szCs w:val="20"/>
              </w:rPr>
              <w:t>SoCalGas</w:t>
            </w:r>
            <w:r w:rsidRPr="006F5335">
              <w:rPr>
                <w:rFonts w:ascii="Palatino Linotype" w:hAnsi="Palatino Linotype"/>
                <w:sz w:val="20"/>
                <w:szCs w:val="20"/>
              </w:rPr>
              <w:t>’ 2024 Gas RD&amp;D Plan.</w:t>
            </w:r>
            <w:r w:rsidRPr="006F5335">
              <w:rPr>
                <w:rStyle w:val="FootnoteReference"/>
                <w:rFonts w:ascii="Palatino Linotype" w:hAnsi="Palatino Linotype"/>
                <w:sz w:val="20"/>
                <w:szCs w:val="20"/>
              </w:rPr>
              <w:footnoteReference w:id="188"/>
            </w:r>
          </w:p>
        </w:tc>
        <w:tc>
          <w:tcPr>
            <w:tcW w:w="6912" w:type="dxa"/>
          </w:tcPr>
          <w:p w:rsidRPr="0016671C" w:rsidR="00860D16" w:rsidRDefault="00860D16" w14:paraId="7B1113C1"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requests an annual budget of $17.853M for its 2024 Gas RD&amp;D Plan.</w:t>
            </w:r>
            <w:r w:rsidRPr="0016671C">
              <w:rPr>
                <w:rStyle w:val="FootnoteReference"/>
                <w:rFonts w:ascii="Palatino Linotype" w:hAnsi="Palatino Linotype"/>
                <w:color w:val="000000" w:themeColor="text1"/>
                <w:sz w:val="20"/>
                <w:szCs w:val="20"/>
              </w:rPr>
              <w:footnoteReference w:id="189"/>
            </w:r>
          </w:p>
        </w:tc>
        <w:tc>
          <w:tcPr>
            <w:tcW w:w="3600" w:type="dxa"/>
          </w:tcPr>
          <w:p w:rsidRPr="0016671C" w:rsidR="00860D16" w:rsidRDefault="00860D16" w14:paraId="592FBFC2"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request for $17.853M for its 2024 Gas RD&amp;D Plan is consistent with the authorized budget. </w:t>
            </w:r>
            <w:r w:rsidRPr="0016671C">
              <w:rPr>
                <w:rFonts w:ascii="Palatino Linotype" w:hAnsi="Palatino Linotype"/>
                <w:b/>
                <w:color w:val="000000" w:themeColor="text1"/>
                <w:sz w:val="20"/>
                <w:szCs w:val="20"/>
              </w:rPr>
              <w:t>SoCalGas is compliant with this requirement.</w:t>
            </w:r>
          </w:p>
        </w:tc>
      </w:tr>
      <w:tr w:rsidRPr="006F5335" w:rsidR="00860D16" w:rsidTr="00EE197B" w14:paraId="742C9C92" w14:textId="77777777">
        <w:trPr>
          <w:trHeight w:val="638"/>
        </w:trPr>
        <w:tc>
          <w:tcPr>
            <w:tcW w:w="3744" w:type="dxa"/>
          </w:tcPr>
          <w:p w:rsidRPr="006F5335" w:rsidR="00860D16" w:rsidRDefault="00860D16" w14:paraId="7C0F0EBF" w14:textId="77777777">
            <w:pPr>
              <w:rPr>
                <w:rFonts w:ascii="Palatino Linotype" w:hAnsi="Palatino Linotype"/>
                <w:sz w:val="20"/>
                <w:szCs w:val="20"/>
              </w:rPr>
            </w:pPr>
            <w:r w:rsidRPr="006F5335">
              <w:rPr>
                <w:rFonts w:ascii="Palatino Linotype" w:hAnsi="Palatino Linotype"/>
                <w:b/>
                <w:sz w:val="20"/>
                <w:szCs w:val="20"/>
              </w:rPr>
              <w:t>[6]</w:t>
            </w:r>
            <w:r w:rsidRPr="006F5335">
              <w:rPr>
                <w:rFonts w:ascii="Palatino Linotype" w:hAnsi="Palatino Linotype"/>
                <w:sz w:val="20"/>
                <w:szCs w:val="20"/>
              </w:rPr>
              <w:t xml:space="preserve"> California Public Utilities Code Section 740.1 at:</w:t>
            </w:r>
          </w:p>
          <w:p w:rsidRPr="006F5335" w:rsidR="00860D16" w:rsidRDefault="00860D16" w14:paraId="68B5B30A" w14:textId="77777777">
            <w:pPr>
              <w:rPr>
                <w:rFonts w:ascii="Palatino Linotype" w:hAnsi="Palatino Linotype" w:eastAsia="Palatino Linotype" w:cs="Times New Roman"/>
                <w:bCs w:val="0"/>
                <w:i/>
                <w:iCs/>
                <w:color w:val="000000" w:themeColor="text1"/>
                <w:sz w:val="20"/>
                <w:szCs w:val="20"/>
              </w:rPr>
            </w:pPr>
            <w:r w:rsidRPr="006F5335">
              <w:rPr>
                <w:rFonts w:ascii="Palatino Linotype" w:hAnsi="Palatino Linotype" w:eastAsia="Palatino Linotype" w:cs="Times New Roman"/>
                <w:color w:val="000000" w:themeColor="text1"/>
                <w:sz w:val="20"/>
                <w:szCs w:val="20"/>
              </w:rPr>
              <w:t>(a)</w:t>
            </w:r>
            <w:r w:rsidRPr="006F5335">
              <w:rPr>
                <w:rFonts w:ascii="Palatino Linotype" w:hAnsi="Palatino Linotype" w:eastAsia="Palatino Linotype" w:cs="Times New Roman"/>
                <w:i/>
                <w:iCs/>
                <w:color w:val="000000" w:themeColor="text1"/>
                <w:sz w:val="20"/>
                <w:szCs w:val="20"/>
              </w:rPr>
              <w:t xml:space="preserve"> Projects should offer a reasonable probability of providing benefits to ratepayers.</w:t>
            </w:r>
          </w:p>
          <w:p w:rsidRPr="006F5335" w:rsidR="00860D16" w:rsidRDefault="00860D16" w14:paraId="1DA27800" w14:textId="77777777">
            <w:pPr>
              <w:rPr>
                <w:rFonts w:ascii="Palatino Linotype" w:hAnsi="Palatino Linotype" w:eastAsia="Palatino Linotype" w:cs="Times New Roman"/>
                <w:bCs w:val="0"/>
                <w:i/>
                <w:iCs/>
                <w:color w:val="000000" w:themeColor="text1"/>
                <w:sz w:val="20"/>
                <w:szCs w:val="20"/>
              </w:rPr>
            </w:pPr>
            <w:r w:rsidRPr="006F5335">
              <w:rPr>
                <w:rFonts w:ascii="Palatino Linotype" w:hAnsi="Palatino Linotype" w:eastAsia="Palatino Linotype" w:cs="Times New Roman"/>
                <w:color w:val="000000" w:themeColor="text1"/>
                <w:sz w:val="20"/>
                <w:szCs w:val="20"/>
              </w:rPr>
              <w:t>(b)</w:t>
            </w:r>
            <w:r w:rsidRPr="006F5335">
              <w:rPr>
                <w:rFonts w:ascii="Palatino Linotype" w:hAnsi="Palatino Linotype" w:eastAsia="Palatino Linotype" w:cs="Times New Roman"/>
                <w:i/>
                <w:iCs/>
                <w:color w:val="000000" w:themeColor="text1"/>
                <w:sz w:val="20"/>
                <w:szCs w:val="20"/>
              </w:rPr>
              <w:t xml:space="preserve"> Expenditures on projects which have a low probability for success </w:t>
            </w:r>
            <w:r w:rsidRPr="006F5335">
              <w:rPr>
                <w:rFonts w:ascii="Palatino Linotype" w:hAnsi="Palatino Linotype" w:eastAsia="Palatino Linotype" w:cs="Times New Roman"/>
                <w:i/>
                <w:color w:val="000000" w:themeColor="text1"/>
                <w:sz w:val="20"/>
                <w:szCs w:val="20"/>
              </w:rPr>
              <w:t>should be minimized.</w:t>
            </w:r>
          </w:p>
          <w:p w:rsidRPr="006F5335" w:rsidR="00860D16" w:rsidRDefault="00860D16" w14:paraId="7CE26B04" w14:textId="77777777">
            <w:pPr>
              <w:rPr>
                <w:rFonts w:ascii="Palatino Linotype" w:hAnsi="Palatino Linotype" w:eastAsia="Palatino Linotype" w:cs="Times New Roman"/>
                <w:bCs w:val="0"/>
                <w:i/>
                <w:iCs/>
                <w:color w:val="000000" w:themeColor="text1"/>
                <w:sz w:val="20"/>
                <w:szCs w:val="20"/>
              </w:rPr>
            </w:pPr>
          </w:p>
          <w:p w:rsidRPr="006F5335" w:rsidR="00860D16" w:rsidRDefault="00860D16" w14:paraId="1530828D" w14:textId="77777777">
            <w:pPr>
              <w:rPr>
                <w:rFonts w:ascii="Palatino Linotype" w:hAnsi="Palatino Linotype" w:eastAsia="Palatino Linotype" w:cs="Times New Roman"/>
                <w:bCs w:val="0"/>
                <w:color w:val="000000" w:themeColor="text1"/>
                <w:sz w:val="20"/>
                <w:szCs w:val="20"/>
              </w:rPr>
            </w:pPr>
            <w:r w:rsidRPr="006F5335">
              <w:rPr>
                <w:rFonts w:ascii="Palatino Linotype" w:hAnsi="Palatino Linotype" w:eastAsia="Palatino Linotype" w:cs="Times New Roman"/>
                <w:color w:val="000000" w:themeColor="text1"/>
                <w:sz w:val="20"/>
                <w:szCs w:val="20"/>
              </w:rPr>
              <w:t>See also: [21].</w:t>
            </w:r>
          </w:p>
        </w:tc>
        <w:tc>
          <w:tcPr>
            <w:tcW w:w="6912" w:type="dxa"/>
          </w:tcPr>
          <w:p w:rsidRPr="0016671C" w:rsidR="00860D16" w:rsidRDefault="00860D16" w14:paraId="010D05B6"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lists anticipated ratepayer benefits, including affordability, improved air quality, reduced GHG emissions, reliability, and improved safety, and provides justification for the use of ratepayer funds for each Initiative.</w:t>
            </w:r>
            <w:r w:rsidRPr="0016671C">
              <w:rPr>
                <w:rStyle w:val="FootnoteReference"/>
                <w:rFonts w:ascii="Palatino Linotype" w:hAnsi="Palatino Linotype"/>
                <w:color w:val="000000" w:themeColor="text1"/>
                <w:sz w:val="20"/>
                <w:szCs w:val="20"/>
              </w:rPr>
              <w:footnoteReference w:id="190"/>
            </w:r>
          </w:p>
          <w:p w:rsidRPr="0016671C" w:rsidR="00860D16" w:rsidRDefault="00860D16" w14:paraId="6BA0CA37" w14:textId="03FF64E3">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requests funding for carbon capture activities under the “Integrating carbon management </w:t>
            </w:r>
            <w:r w:rsidR="00F05482">
              <w:rPr>
                <w:rFonts w:ascii="Palatino Linotype" w:hAnsi="Palatino Linotype"/>
                <w:color w:val="000000" w:themeColor="text1"/>
                <w:sz w:val="20"/>
                <w:szCs w:val="20"/>
              </w:rPr>
              <w:t>solutions</w:t>
            </w:r>
            <w:r w:rsidRPr="0016671C">
              <w:rPr>
                <w:rFonts w:ascii="Palatino Linotype" w:hAnsi="Palatino Linotype"/>
                <w:color w:val="000000" w:themeColor="text1"/>
                <w:sz w:val="20"/>
                <w:szCs w:val="20"/>
              </w:rPr>
              <w:t xml:space="preserve">” Research Topic for its </w:t>
            </w:r>
            <w:r w:rsidRPr="0016671C">
              <w:rPr>
                <w:rFonts w:ascii="Palatino Linotype" w:hAnsi="Palatino Linotype"/>
                <w:color w:val="000000" w:themeColor="text1"/>
                <w:sz w:val="20"/>
                <w:szCs w:val="20"/>
                <w:u w:val="single"/>
              </w:rPr>
              <w:t>Energy Reliability &amp; Resilience</w:t>
            </w:r>
            <w:r w:rsidRPr="0016671C">
              <w:rPr>
                <w:rFonts w:ascii="Palatino Linotype" w:hAnsi="Palatino Linotype"/>
                <w:color w:val="000000" w:themeColor="text1"/>
                <w:sz w:val="20"/>
                <w:szCs w:val="20"/>
              </w:rPr>
              <w:t xml:space="preserve"> Initiative.</w:t>
            </w:r>
            <w:r w:rsidRPr="0016671C">
              <w:rPr>
                <w:rStyle w:val="FootnoteReference"/>
                <w:rFonts w:ascii="Palatino Linotype" w:hAnsi="Palatino Linotype"/>
                <w:color w:val="000000" w:themeColor="text1"/>
                <w:sz w:val="20"/>
                <w:szCs w:val="20"/>
              </w:rPr>
              <w:footnoteReference w:id="191"/>
            </w:r>
            <w:r w:rsidRPr="0016671C">
              <w:rPr>
                <w:rFonts w:ascii="Palatino Linotype" w:hAnsi="Palatino Linotype"/>
                <w:color w:val="000000" w:themeColor="text1"/>
                <w:sz w:val="20"/>
                <w:szCs w:val="20"/>
              </w:rPr>
              <w:t xml:space="preserve"> SoCalGas requests both new and further funding for hydrogen-related RD&amp;D projects under the following Initiatives:</w:t>
            </w:r>
            <w:r w:rsidRPr="0016671C">
              <w:rPr>
                <w:rStyle w:val="FootnoteReference"/>
                <w:rFonts w:ascii="Palatino Linotype" w:hAnsi="Palatino Linotype"/>
                <w:color w:val="000000" w:themeColor="text1"/>
                <w:sz w:val="20"/>
                <w:szCs w:val="20"/>
              </w:rPr>
              <w:footnoteReference w:id="192"/>
            </w:r>
            <w:r w:rsidRPr="0016671C">
              <w:rPr>
                <w:rFonts w:ascii="Palatino Linotype" w:hAnsi="Palatino Linotype"/>
                <w:color w:val="000000" w:themeColor="text1"/>
                <w:sz w:val="20"/>
                <w:szCs w:val="20"/>
              </w:rPr>
              <w:t xml:space="preserve"> </w:t>
            </w:r>
          </w:p>
          <w:p w:rsidRPr="0016671C" w:rsidR="00860D16" w:rsidP="00860D16" w:rsidRDefault="00860D16" w14:paraId="127A9B8B" w14:textId="77777777">
            <w:pPr>
              <w:pStyle w:val="ListParagraph"/>
              <w:numPr>
                <w:ilvl w:val="0"/>
                <w:numId w:val="49"/>
              </w:numPr>
              <w:rPr>
                <w:rFonts w:ascii="Palatino Linotype" w:hAnsi="Palatino Linotype"/>
                <w:bCs w:val="0"/>
                <w:color w:val="000000" w:themeColor="text1"/>
                <w:sz w:val="20"/>
                <w:szCs w:val="20"/>
                <w:u w:val="single"/>
              </w:rPr>
            </w:pPr>
            <w:r w:rsidRPr="0016671C">
              <w:rPr>
                <w:rFonts w:ascii="Palatino Linotype" w:hAnsi="Palatino Linotype"/>
                <w:color w:val="000000" w:themeColor="text1"/>
                <w:sz w:val="20"/>
                <w:szCs w:val="20"/>
                <w:u w:val="single"/>
              </w:rPr>
              <w:t>Environmental &amp; Safety.</w:t>
            </w:r>
          </w:p>
          <w:p w:rsidRPr="0016671C" w:rsidR="00860D16" w:rsidP="00860D16" w:rsidRDefault="00860D16" w14:paraId="04ADD062" w14:textId="77777777">
            <w:pPr>
              <w:pStyle w:val="ListParagraph"/>
              <w:numPr>
                <w:ilvl w:val="0"/>
                <w:numId w:val="49"/>
              </w:numPr>
              <w:rPr>
                <w:rFonts w:ascii="Palatino Linotype" w:hAnsi="Palatino Linotype"/>
                <w:bCs w:val="0"/>
                <w:color w:val="000000" w:themeColor="text1"/>
                <w:sz w:val="20"/>
                <w:szCs w:val="20"/>
                <w:u w:val="single"/>
              </w:rPr>
            </w:pPr>
            <w:r w:rsidRPr="0016671C">
              <w:rPr>
                <w:rFonts w:ascii="Palatino Linotype" w:hAnsi="Palatino Linotype"/>
                <w:color w:val="000000" w:themeColor="text1"/>
                <w:sz w:val="20"/>
                <w:szCs w:val="20"/>
                <w:u w:val="single"/>
              </w:rPr>
              <w:t xml:space="preserve">Operations Technology. </w:t>
            </w:r>
          </w:p>
          <w:p w:rsidRPr="0016671C" w:rsidR="00860D16" w:rsidP="00860D16" w:rsidRDefault="00860D16" w14:paraId="1B1FEB83" w14:textId="77777777">
            <w:pPr>
              <w:pStyle w:val="ListParagraph"/>
              <w:numPr>
                <w:ilvl w:val="0"/>
                <w:numId w:val="49"/>
              </w:numPr>
              <w:rPr>
                <w:rFonts w:ascii="Palatino Linotype" w:hAnsi="Palatino Linotype"/>
                <w:bCs w:val="0"/>
                <w:color w:val="000000" w:themeColor="text1"/>
                <w:sz w:val="20"/>
                <w:szCs w:val="20"/>
                <w:u w:val="single"/>
              </w:rPr>
            </w:pPr>
            <w:r w:rsidRPr="0016671C">
              <w:rPr>
                <w:rFonts w:ascii="Palatino Linotype" w:hAnsi="Palatino Linotype"/>
                <w:color w:val="000000" w:themeColor="text1"/>
                <w:sz w:val="20"/>
                <w:szCs w:val="20"/>
                <w:u w:val="single"/>
              </w:rPr>
              <w:t xml:space="preserve">Gas &amp; Energy Storage. </w:t>
            </w:r>
          </w:p>
          <w:p w:rsidRPr="0016671C" w:rsidR="00860D16" w:rsidP="00860D16" w:rsidRDefault="00860D16" w14:paraId="329AC500" w14:textId="77777777">
            <w:pPr>
              <w:pStyle w:val="ListParagraph"/>
              <w:numPr>
                <w:ilvl w:val="0"/>
                <w:numId w:val="49"/>
              </w:numPr>
              <w:rPr>
                <w:rFonts w:ascii="Palatino Linotype" w:hAnsi="Palatino Linotype"/>
                <w:bCs w:val="0"/>
                <w:color w:val="000000" w:themeColor="text1"/>
                <w:sz w:val="20"/>
                <w:szCs w:val="20"/>
                <w:u w:val="single"/>
              </w:rPr>
            </w:pPr>
            <w:r w:rsidRPr="0016671C">
              <w:rPr>
                <w:rFonts w:ascii="Palatino Linotype" w:hAnsi="Palatino Linotype"/>
                <w:color w:val="000000" w:themeColor="text1"/>
                <w:sz w:val="20"/>
                <w:szCs w:val="20"/>
                <w:u w:val="single"/>
              </w:rPr>
              <w:t xml:space="preserve">Low Carbon Fuel Technologies. </w:t>
            </w:r>
          </w:p>
          <w:p w:rsidRPr="0016671C" w:rsidR="00860D16" w:rsidP="00860D16" w:rsidRDefault="00860D16" w14:paraId="7684649E" w14:textId="77777777">
            <w:pPr>
              <w:pStyle w:val="ListParagraph"/>
              <w:numPr>
                <w:ilvl w:val="0"/>
                <w:numId w:val="49"/>
              </w:numPr>
              <w:rPr>
                <w:rFonts w:ascii="Palatino Linotype" w:hAnsi="Palatino Linotype"/>
                <w:bCs w:val="0"/>
                <w:color w:val="000000" w:themeColor="text1"/>
                <w:sz w:val="20"/>
                <w:szCs w:val="20"/>
                <w:u w:val="single"/>
              </w:rPr>
            </w:pPr>
            <w:r w:rsidRPr="0016671C">
              <w:rPr>
                <w:rFonts w:ascii="Palatino Linotype" w:hAnsi="Palatino Linotype"/>
                <w:color w:val="000000" w:themeColor="text1"/>
                <w:sz w:val="20"/>
                <w:szCs w:val="20"/>
                <w:u w:val="single"/>
              </w:rPr>
              <w:t xml:space="preserve">Low Carbon Fuel Integration. </w:t>
            </w:r>
          </w:p>
          <w:p w:rsidRPr="0016671C" w:rsidR="00860D16" w:rsidP="00860D16" w:rsidRDefault="00860D16" w14:paraId="5014F683" w14:textId="77777777">
            <w:pPr>
              <w:pStyle w:val="ListParagraph"/>
              <w:numPr>
                <w:ilvl w:val="0"/>
                <w:numId w:val="49"/>
              </w:numPr>
              <w:rPr>
                <w:rFonts w:ascii="Palatino Linotype" w:hAnsi="Palatino Linotype"/>
                <w:bCs w:val="0"/>
                <w:color w:val="000000" w:themeColor="text1"/>
                <w:sz w:val="20"/>
                <w:szCs w:val="20"/>
                <w:u w:val="single"/>
              </w:rPr>
            </w:pPr>
            <w:r w:rsidRPr="0016671C">
              <w:rPr>
                <w:rFonts w:ascii="Palatino Linotype" w:hAnsi="Palatino Linotype"/>
                <w:color w:val="000000" w:themeColor="text1"/>
                <w:sz w:val="20"/>
                <w:szCs w:val="20"/>
                <w:u w:val="single"/>
              </w:rPr>
              <w:t>Energy Reliability &amp; Resilience.</w:t>
            </w:r>
          </w:p>
          <w:p w:rsidRPr="0016671C" w:rsidR="00860D16" w:rsidRDefault="00860D16" w14:paraId="4F41D5D5" w14:textId="77777777">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states that:  </w:t>
            </w:r>
          </w:p>
          <w:p w:rsidRPr="0016671C" w:rsidR="00860D16" w:rsidP="00860D16" w:rsidRDefault="00860D16" w14:paraId="2BB528D8" w14:textId="77777777">
            <w:pPr>
              <w:numPr>
                <w:ilvl w:val="0"/>
                <w:numId w:val="50"/>
              </w:numPr>
              <w:tabs>
                <w:tab w:val="num" w:pos="720"/>
              </w:tabs>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It has “managed its project portfolio consistent with prior CPUC rulings,</w:t>
            </w:r>
            <w:r w:rsidRPr="0016671C">
              <w:rPr>
                <w:rStyle w:val="FootnoteReference"/>
                <w:rFonts w:ascii="Palatino Linotype" w:hAnsi="Palatino Linotype"/>
                <w:color w:val="000000" w:themeColor="text1"/>
                <w:sz w:val="20"/>
                <w:szCs w:val="20"/>
              </w:rPr>
              <w:footnoteReference w:id="193"/>
            </w:r>
            <w:r w:rsidRPr="0016671C">
              <w:rPr>
                <w:rFonts w:ascii="Palatino Linotype" w:hAnsi="Palatino Linotype"/>
                <w:color w:val="000000" w:themeColor="text1"/>
                <w:sz w:val="20"/>
                <w:szCs w:val="20"/>
              </w:rPr>
              <w:t xml:space="preserve"> which concluded that it is reasonable for utilities to continue incurring costs on multi-year RD&amp;D projects that are part of programs included in previously approved Research Plans, until a new RD&amp;D Plan resolution is issued. Therefore, in the absence of an approved Research Plan for over two and a half years, there was no prohibition on incurring hydrogen-related costs in 2024 and </w:t>
            </w:r>
            <w:proofErr w:type="gramStart"/>
            <w:r w:rsidRPr="0016671C">
              <w:rPr>
                <w:rFonts w:ascii="Palatino Linotype" w:hAnsi="Palatino Linotype"/>
                <w:color w:val="000000" w:themeColor="text1"/>
                <w:sz w:val="20"/>
                <w:szCs w:val="20"/>
              </w:rPr>
              <w:t>2025.”</w:t>
            </w:r>
            <w:proofErr w:type="gramEnd"/>
            <w:r w:rsidRPr="0016671C">
              <w:rPr>
                <w:rFonts w:ascii="Palatino Linotype" w:hAnsi="Palatino Linotype"/>
                <w:color w:val="000000" w:themeColor="text1"/>
                <w:sz w:val="20"/>
                <w:szCs w:val="20"/>
              </w:rPr>
              <w:t> </w:t>
            </w:r>
          </w:p>
          <w:p w:rsidRPr="0016671C" w:rsidR="00860D16" w:rsidP="00860D16" w:rsidRDefault="00860D16" w14:paraId="5FEC9F7D" w14:textId="77777777">
            <w:pPr>
              <w:numPr>
                <w:ilvl w:val="0"/>
                <w:numId w:val="51"/>
              </w:numPr>
              <w:tabs>
                <w:tab w:val="num" w:pos="720"/>
              </w:tabs>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It “requests approval to see through to completion all hydrogen-related projects currently in-progress that are part of the programs included in previously approved Research Plans by the CPUC (e.g., Resolutions G-3601, G-3586, and G-3573). Ratepayer funds previously authorized to be used on these projects would be for naught if the projects were to</w:t>
            </w:r>
            <w:r w:rsidRPr="0016671C">
              <w:rPr>
                <w:rFonts w:ascii="Palatino Linotype" w:hAnsi="Palatino Linotype"/>
                <w:color w:val="000000" w:themeColor="text1"/>
                <w:sz w:val="20"/>
                <w:szCs w:val="20"/>
                <w:u w:val="single"/>
              </w:rPr>
              <w:t xml:space="preserve"> </w:t>
            </w:r>
            <w:r w:rsidRPr="0016671C">
              <w:rPr>
                <w:rFonts w:ascii="Palatino Linotype" w:hAnsi="Palatino Linotype"/>
                <w:color w:val="000000" w:themeColor="text1"/>
                <w:sz w:val="20"/>
                <w:szCs w:val="20"/>
              </w:rPr>
              <w:t>be abandoned prior to completion. Furthermore, completing these projects is a reasonable and prudent use of funds to help achieve anticipated benefits. There are currently 25 hydrogen related projects in-progress, with approximately $3 million in remaining future payments expected prior to project completion. These projects span several initiatives, including Energy Reliability and Resilience, Low Carbon Fuel Technologies, Low Carbon Fuel Integration, Operations Technology, and Environmental &amp; Safety.”</w:t>
            </w:r>
            <w:r w:rsidRPr="0016671C">
              <w:rPr>
                <w:rStyle w:val="FootnoteReference"/>
                <w:rFonts w:ascii="Palatino Linotype" w:hAnsi="Palatino Linotype"/>
                <w:color w:val="000000" w:themeColor="text1"/>
                <w:sz w:val="20"/>
                <w:szCs w:val="20"/>
              </w:rPr>
              <w:footnoteReference w:id="194"/>
            </w:r>
          </w:p>
          <w:p w:rsidRPr="0016671C" w:rsidR="00860D16" w:rsidP="00860D16" w:rsidRDefault="00860D16" w14:paraId="13AF6105" w14:textId="77777777">
            <w:pPr>
              <w:numPr>
                <w:ilvl w:val="0"/>
                <w:numId w:val="52"/>
              </w:numPr>
              <w:rPr>
                <w:rFonts w:ascii="Palatino Linotype" w:hAnsi="Palatino Linotype"/>
                <w:bCs w:val="0"/>
                <w:color w:val="000000" w:themeColor="text1"/>
                <w:sz w:val="20"/>
                <w:szCs w:val="20"/>
                <w:u w:val="single"/>
              </w:rPr>
            </w:pPr>
            <w:r w:rsidRPr="0016671C">
              <w:rPr>
                <w:rFonts w:ascii="Palatino Linotype" w:hAnsi="Palatino Linotype"/>
                <w:color w:val="000000" w:themeColor="text1"/>
                <w:sz w:val="20"/>
                <w:szCs w:val="20"/>
              </w:rPr>
              <w:t>For the Gas &amp; Energy Storage Initiative, its proposed Research Topic is “[e]valuating geological hydrogen storage,”</w:t>
            </w:r>
            <w:r w:rsidRPr="0016671C">
              <w:rPr>
                <w:rStyle w:val="FootnoteReference"/>
                <w:rFonts w:ascii="Palatino Linotype" w:hAnsi="Palatino Linotype"/>
                <w:color w:val="000000" w:themeColor="text1"/>
                <w:sz w:val="20"/>
                <w:szCs w:val="20"/>
              </w:rPr>
              <w:footnoteReference w:id="195"/>
            </w:r>
            <w:r w:rsidRPr="0016671C">
              <w:rPr>
                <w:rFonts w:ascii="Palatino Linotype" w:hAnsi="Palatino Linotype"/>
                <w:color w:val="000000" w:themeColor="text1"/>
                <w:sz w:val="20"/>
                <w:szCs w:val="20"/>
              </w:rPr>
              <w:t xml:space="preserve"> but requests that if this is not approved, “to evenly reallocate the $400,000 to the RNG </w:t>
            </w:r>
            <w:r w:rsidRPr="0016671C">
              <w:rPr>
                <w:rFonts w:ascii="Palatino Linotype" w:hAnsi="Palatino Linotype"/>
                <w:color w:val="000000" w:themeColor="text1"/>
                <w:sz w:val="20"/>
                <w:szCs w:val="20"/>
              </w:rPr>
              <w:lastRenderedPageBreak/>
              <w:t>Infrastructure Optimization and System Design &amp; Materials initiatives.”</w:t>
            </w:r>
            <w:r w:rsidRPr="0016671C">
              <w:rPr>
                <w:rStyle w:val="FootnoteReference"/>
                <w:rFonts w:ascii="Palatino Linotype" w:hAnsi="Palatino Linotype"/>
                <w:color w:val="000000" w:themeColor="text1"/>
                <w:sz w:val="20"/>
                <w:szCs w:val="20"/>
              </w:rPr>
              <w:footnoteReference w:id="196"/>
            </w:r>
          </w:p>
        </w:tc>
        <w:tc>
          <w:tcPr>
            <w:tcW w:w="3600" w:type="dxa"/>
          </w:tcPr>
          <w:p w:rsidRPr="00212807" w:rsidR="00860D16" w:rsidRDefault="00860D16" w14:paraId="4A29B1CA"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 xml:space="preserve">SoCalGas demonstrates that many projects offer a reasonable probability of providing benefits to ratepayers. </w:t>
            </w:r>
            <w:r w:rsidRPr="0016671C">
              <w:rPr>
                <w:rFonts w:ascii="Palatino Linotype" w:hAnsi="Palatino Linotype"/>
                <w:b/>
                <w:color w:val="000000" w:themeColor="text1"/>
                <w:sz w:val="20"/>
                <w:szCs w:val="20"/>
              </w:rPr>
              <w:t>SoCalGas is compliant with this requirement</w:t>
            </w:r>
            <w:r w:rsidRPr="0016671C">
              <w:rPr>
                <w:rFonts w:ascii="Palatino Linotype" w:hAnsi="Palatino Linotype"/>
                <w:color w:val="000000" w:themeColor="text1"/>
                <w:sz w:val="20"/>
                <w:szCs w:val="20"/>
              </w:rPr>
              <w:t xml:space="preserve"> for some Initiatives: System Design &amp; Materials; System Inspection &amp; Monitoring; RNG Infrastructure Optimization; and </w:t>
            </w:r>
            <w:r w:rsidRPr="00212807">
              <w:rPr>
                <w:rFonts w:ascii="Palatino Linotype" w:hAnsi="Palatino Linotype"/>
                <w:color w:val="000000" w:themeColor="text1"/>
                <w:sz w:val="20"/>
                <w:szCs w:val="20"/>
              </w:rPr>
              <w:t>Building &amp; Facility Systems.</w:t>
            </w:r>
          </w:p>
          <w:p w:rsidRPr="00700FD1" w:rsidR="00860D16" w:rsidRDefault="00860D16" w14:paraId="3C967C55" w14:textId="6C9452B9">
            <w:pPr>
              <w:spacing w:before="240"/>
              <w:rPr>
                <w:rFonts w:ascii="Palatino Linotype" w:hAnsi="Palatino Linotype"/>
                <w:color w:val="000000" w:themeColor="text1"/>
                <w:sz w:val="20"/>
                <w:szCs w:val="20"/>
              </w:rPr>
            </w:pPr>
            <w:r w:rsidRPr="00212807">
              <w:rPr>
                <w:rFonts w:ascii="Palatino Linotype" w:hAnsi="Palatino Linotype"/>
                <w:color w:val="000000" w:themeColor="text1"/>
                <w:sz w:val="20"/>
                <w:szCs w:val="20"/>
              </w:rPr>
              <w:t xml:space="preserve">However, </w:t>
            </w:r>
            <w:r w:rsidRPr="00212807" w:rsidR="00A02604">
              <w:rPr>
                <w:rFonts w:ascii="Palatino Linotype" w:hAnsi="Palatino Linotype"/>
                <w:color w:val="000000" w:themeColor="text1"/>
                <w:sz w:val="20"/>
                <w:szCs w:val="20"/>
              </w:rPr>
              <w:t xml:space="preserve">as described in this Resolution, </w:t>
            </w:r>
            <w:r w:rsidRPr="00212807">
              <w:rPr>
                <w:rFonts w:ascii="Palatino Linotype" w:hAnsi="Palatino Linotype"/>
                <w:color w:val="000000" w:themeColor="text1"/>
                <w:sz w:val="20"/>
                <w:szCs w:val="20"/>
              </w:rPr>
              <w:t>SoCalGas’ requests</w:t>
            </w:r>
            <w:r w:rsidRPr="00212807" w:rsidR="00DC76D9">
              <w:rPr>
                <w:rFonts w:ascii="Palatino Linotype" w:hAnsi="Palatino Linotype"/>
                <w:color w:val="000000" w:themeColor="text1"/>
                <w:sz w:val="20"/>
                <w:szCs w:val="20"/>
              </w:rPr>
              <w:t xml:space="preserve"> </w:t>
            </w:r>
            <w:r w:rsidRPr="00212807">
              <w:rPr>
                <w:rFonts w:ascii="Palatino Linotype" w:hAnsi="Palatino Linotype"/>
                <w:color w:val="000000" w:themeColor="text1"/>
                <w:sz w:val="20"/>
                <w:szCs w:val="20"/>
              </w:rPr>
              <w:t xml:space="preserve">for hydrogen-related RD&amp;D projects </w:t>
            </w:r>
            <w:proofErr w:type="gramStart"/>
            <w:r w:rsidRPr="00212807">
              <w:rPr>
                <w:rFonts w:ascii="Palatino Linotype" w:hAnsi="Palatino Linotype"/>
                <w:color w:val="000000" w:themeColor="text1"/>
                <w:sz w:val="20"/>
                <w:szCs w:val="20"/>
              </w:rPr>
              <w:t>are</w:t>
            </w:r>
            <w:proofErr w:type="gramEnd"/>
            <w:r w:rsidRPr="00212807">
              <w:rPr>
                <w:rFonts w:ascii="Palatino Linotype" w:hAnsi="Palatino Linotype"/>
                <w:color w:val="000000" w:themeColor="text1"/>
                <w:sz w:val="20"/>
                <w:szCs w:val="20"/>
              </w:rPr>
              <w:t xml:space="preserve"> not </w:t>
            </w:r>
            <w:r w:rsidRPr="00212807" w:rsidR="000833AC">
              <w:rPr>
                <w:rFonts w:ascii="Palatino Linotype" w:hAnsi="Palatino Linotype"/>
                <w:color w:val="000000" w:themeColor="text1"/>
                <w:sz w:val="20"/>
                <w:szCs w:val="20"/>
              </w:rPr>
              <w:t xml:space="preserve">complaint </w:t>
            </w:r>
            <w:proofErr w:type="gramStart"/>
            <w:r w:rsidRPr="00212807" w:rsidR="000833AC">
              <w:rPr>
                <w:rFonts w:ascii="Palatino Linotype" w:hAnsi="Palatino Linotype"/>
                <w:color w:val="000000" w:themeColor="text1"/>
                <w:sz w:val="20"/>
                <w:szCs w:val="20"/>
              </w:rPr>
              <w:t>with</w:t>
            </w:r>
            <w:proofErr w:type="gramEnd"/>
            <w:r w:rsidRPr="00212807" w:rsidR="000833AC">
              <w:rPr>
                <w:rFonts w:ascii="Palatino Linotype" w:hAnsi="Palatino Linotype"/>
                <w:color w:val="000000" w:themeColor="text1"/>
                <w:sz w:val="20"/>
                <w:szCs w:val="20"/>
              </w:rPr>
              <w:t xml:space="preserve"> </w:t>
            </w:r>
            <w:r w:rsidRPr="00212807" w:rsidR="00DA6FAB">
              <w:rPr>
                <w:rFonts w:ascii="Palatino Linotype" w:hAnsi="Palatino Linotype"/>
                <w:color w:val="000000" w:themeColor="text1"/>
                <w:sz w:val="20"/>
                <w:szCs w:val="20"/>
              </w:rPr>
              <w:t>this requirement to demonstrate clear ratepayer benefit</w:t>
            </w:r>
            <w:r w:rsidRPr="00212807" w:rsidR="00012516">
              <w:rPr>
                <w:rFonts w:ascii="Palatino Linotype" w:hAnsi="Palatino Linotype"/>
                <w:color w:val="000000" w:themeColor="text1"/>
                <w:sz w:val="20"/>
                <w:szCs w:val="20"/>
              </w:rPr>
              <w:t>.</w:t>
            </w:r>
            <w:r w:rsidRPr="00212807">
              <w:rPr>
                <w:rStyle w:val="FootnoteReference"/>
                <w:rFonts w:ascii="Palatino Linotype" w:hAnsi="Palatino Linotype"/>
                <w:color w:val="000000" w:themeColor="text1"/>
                <w:sz w:val="20"/>
                <w:szCs w:val="20"/>
              </w:rPr>
              <w:footnoteReference w:id="197"/>
            </w:r>
            <w:r w:rsidRPr="00212807">
              <w:rPr>
                <w:rFonts w:ascii="Palatino Linotype" w:hAnsi="Palatino Linotype"/>
                <w:color w:val="000000" w:themeColor="text1"/>
                <w:sz w:val="20"/>
                <w:szCs w:val="20"/>
              </w:rPr>
              <w:t xml:space="preserve"> The </w:t>
            </w:r>
            <w:r w:rsidRPr="0016671C">
              <w:rPr>
                <w:rFonts w:ascii="Palatino Linotype" w:hAnsi="Palatino Linotype"/>
                <w:color w:val="000000" w:themeColor="text1"/>
                <w:sz w:val="20"/>
                <w:szCs w:val="20"/>
              </w:rPr>
              <w:t xml:space="preserve">Commission does not authorize additional funding for hydrogen-related RD&amp;D projects. The Commission authorized SoCalGas to continue funding multi-year projects approved and contracted under its </w:t>
            </w:r>
            <w:r w:rsidRPr="0016671C">
              <w:rPr>
                <w:rFonts w:ascii="Palatino Linotype" w:hAnsi="Palatino Linotype"/>
                <w:color w:val="000000" w:themeColor="text1"/>
                <w:sz w:val="20"/>
                <w:szCs w:val="20"/>
              </w:rPr>
              <w:lastRenderedPageBreak/>
              <w:t>previous Gas RD&amp;D Program (prior to D.19-09-051) to their planned completion. However, the Commission clarifies that this only pertained to projects under SoCalGas’ previous Gas RD&amp;D program in the interim between the Decision being issued and the Commission issuing its</w:t>
            </w:r>
            <w:r w:rsidRPr="0016671C">
              <w:rPr>
                <w:rFonts w:ascii="Palatino Linotype" w:hAnsi="Palatino Linotype"/>
                <w:i/>
                <w:color w:val="000000" w:themeColor="text1"/>
                <w:sz w:val="20"/>
                <w:szCs w:val="20"/>
              </w:rPr>
              <w:t xml:space="preserve"> first</w:t>
            </w:r>
            <w:r w:rsidRPr="0016671C">
              <w:rPr>
                <w:rFonts w:ascii="Palatino Linotype" w:hAnsi="Palatino Linotype"/>
                <w:color w:val="000000" w:themeColor="text1"/>
                <w:sz w:val="20"/>
                <w:szCs w:val="20"/>
              </w:rPr>
              <w:t xml:space="preserve"> SoCalGas Gas RD&amp;D Resolution in 2021,</w:t>
            </w:r>
            <w:r w:rsidRPr="0016671C">
              <w:rPr>
                <w:rStyle w:val="FootnoteReference"/>
                <w:rFonts w:ascii="Palatino Linotype" w:hAnsi="Palatino Linotype"/>
                <w:color w:val="000000" w:themeColor="text1"/>
                <w:sz w:val="20"/>
                <w:szCs w:val="20"/>
              </w:rPr>
              <w:footnoteReference w:id="198"/>
            </w:r>
            <w:r w:rsidRPr="0016671C">
              <w:rPr>
                <w:rFonts w:ascii="Palatino Linotype" w:hAnsi="Palatino Linotype"/>
                <w:color w:val="000000" w:themeColor="text1"/>
                <w:sz w:val="20"/>
                <w:szCs w:val="20"/>
              </w:rPr>
              <w:t xml:space="preserve"> because following the Decision, SoCalGas must now have an AL approved prior to recording expenses.</w:t>
            </w:r>
            <w:r w:rsidRPr="0016671C">
              <w:rPr>
                <w:rStyle w:val="FootnoteReference"/>
                <w:rFonts w:ascii="Palatino Linotype" w:hAnsi="Palatino Linotype"/>
                <w:color w:val="000000" w:themeColor="text1"/>
                <w:sz w:val="20"/>
                <w:szCs w:val="20"/>
              </w:rPr>
              <w:footnoteReference w:id="199"/>
            </w:r>
            <w:r w:rsidRPr="0016671C">
              <w:rPr>
                <w:rFonts w:ascii="Palatino Linotype" w:hAnsi="Palatino Linotype"/>
                <w:color w:val="000000" w:themeColor="text1"/>
                <w:sz w:val="20"/>
                <w:szCs w:val="20"/>
              </w:rPr>
              <w:t xml:space="preserve"> D.19-09-051 does not necessarily approve the budget allocations SoCalGas proposes in Annual Plans.</w:t>
            </w:r>
            <w:r w:rsidRPr="0016671C">
              <w:rPr>
                <w:rStyle w:val="FootnoteReference"/>
                <w:rFonts w:ascii="Palatino Linotype" w:hAnsi="Palatino Linotype"/>
                <w:color w:val="000000" w:themeColor="text1"/>
                <w:sz w:val="20"/>
                <w:szCs w:val="20"/>
              </w:rPr>
              <w:footnoteReference w:id="200"/>
            </w:r>
            <w:r w:rsidRPr="0016671C">
              <w:rPr>
                <w:rFonts w:ascii="Palatino Linotype" w:hAnsi="Palatino Linotype"/>
                <w:color w:val="000000" w:themeColor="text1"/>
                <w:sz w:val="20"/>
                <w:szCs w:val="20"/>
              </w:rPr>
              <w:t xml:space="preserve"> SoCalGas must reallocate funds proposed for hydrogen projects for eligible purposes. Further,</w:t>
            </w:r>
            <w:r w:rsidR="001E2DA3">
              <w:rPr>
                <w:rFonts w:ascii="Palatino Linotype" w:hAnsi="Palatino Linotype"/>
                <w:color w:val="000000" w:themeColor="text1"/>
                <w:sz w:val="20"/>
                <w:szCs w:val="20"/>
              </w:rPr>
              <w:t xml:space="preserve"> SoCalGas must p</w:t>
            </w:r>
            <w:r w:rsidRPr="001E2DA3" w:rsidR="001E2DA3">
              <w:rPr>
                <w:rFonts w:ascii="Palatino Linotype" w:hAnsi="Palatino Linotype"/>
                <w:color w:val="000000" w:themeColor="text1"/>
                <w:sz w:val="20"/>
                <w:szCs w:val="20"/>
              </w:rPr>
              <w:t xml:space="preserve">rovide further detail on the </w:t>
            </w:r>
            <w:r w:rsidRPr="00BD2528" w:rsidR="00D07834">
              <w:rPr>
                <w:rFonts w:ascii="Palatino Linotype" w:hAnsi="Palatino Linotype"/>
                <w:color w:val="000000" w:themeColor="text1"/>
                <w:sz w:val="20"/>
                <w:szCs w:val="20"/>
              </w:rPr>
              <w:t xml:space="preserve">“Integrating carbon management </w:t>
            </w:r>
            <w:r w:rsidR="00D07834">
              <w:rPr>
                <w:rFonts w:ascii="Palatino Linotype" w:hAnsi="Palatino Linotype"/>
                <w:color w:val="000000" w:themeColor="text1"/>
                <w:sz w:val="20"/>
                <w:szCs w:val="20"/>
              </w:rPr>
              <w:t>solutions</w:t>
            </w:r>
            <w:r w:rsidRPr="00BD2528" w:rsidR="00D07834">
              <w:rPr>
                <w:rFonts w:ascii="Palatino Linotype" w:hAnsi="Palatino Linotype"/>
                <w:color w:val="000000" w:themeColor="text1"/>
                <w:sz w:val="20"/>
                <w:szCs w:val="20"/>
              </w:rPr>
              <w:t xml:space="preserve">” </w:t>
            </w:r>
            <w:r w:rsidRPr="001E2DA3" w:rsidR="001E2DA3">
              <w:rPr>
                <w:rFonts w:ascii="Palatino Linotype" w:hAnsi="Palatino Linotype"/>
                <w:color w:val="000000" w:themeColor="text1"/>
                <w:sz w:val="20"/>
                <w:szCs w:val="20"/>
              </w:rPr>
              <w:t>Research Topic under its Energy Reliability &amp; Resilience Initiative as described herein.</w:t>
            </w:r>
            <w:r w:rsidR="00700FD1">
              <w:rPr>
                <w:rFonts w:ascii="Palatino Linotype" w:hAnsi="Palatino Linotype"/>
                <w:color w:val="000000" w:themeColor="text1"/>
                <w:sz w:val="20"/>
                <w:szCs w:val="20"/>
              </w:rPr>
              <w:t xml:space="preserve"> </w:t>
            </w:r>
            <w:r w:rsidRPr="0016671C">
              <w:rPr>
                <w:rFonts w:ascii="Palatino Linotype" w:hAnsi="Palatino Linotype"/>
                <w:color w:val="000000" w:themeColor="text1"/>
                <w:sz w:val="20"/>
                <w:szCs w:val="20"/>
              </w:rPr>
              <w:t xml:space="preserve">For </w:t>
            </w:r>
            <w:r w:rsidRPr="0016671C">
              <w:rPr>
                <w:rFonts w:ascii="Palatino Linotype" w:hAnsi="Palatino Linotype"/>
                <w:color w:val="000000" w:themeColor="text1"/>
                <w:sz w:val="20"/>
                <w:szCs w:val="20"/>
              </w:rPr>
              <w:lastRenderedPageBreak/>
              <w:t xml:space="preserve">these Initiatives, </w:t>
            </w:r>
            <w:r w:rsidRPr="0016671C">
              <w:rPr>
                <w:rFonts w:ascii="Palatino Linotype" w:hAnsi="Palatino Linotype"/>
                <w:b/>
                <w:color w:val="000000" w:themeColor="text1"/>
                <w:sz w:val="20"/>
                <w:szCs w:val="20"/>
              </w:rPr>
              <w:t xml:space="preserve">SoCalGas </w:t>
            </w:r>
            <w:proofErr w:type="gramStart"/>
            <w:r w:rsidRPr="0016671C">
              <w:rPr>
                <w:rFonts w:ascii="Palatino Linotype" w:hAnsi="Palatino Linotype"/>
                <w:b/>
                <w:color w:val="000000" w:themeColor="text1"/>
                <w:sz w:val="20"/>
                <w:szCs w:val="20"/>
              </w:rPr>
              <w:t>is</w:t>
            </w:r>
            <w:proofErr w:type="gramEnd"/>
            <w:r w:rsidRPr="0016671C">
              <w:rPr>
                <w:rFonts w:ascii="Palatino Linotype" w:hAnsi="Palatino Linotype"/>
                <w:b/>
                <w:color w:val="000000" w:themeColor="text1"/>
                <w:sz w:val="20"/>
                <w:szCs w:val="20"/>
              </w:rPr>
              <w:t xml:space="preserve"> </w:t>
            </w:r>
            <w:r w:rsidRPr="0016671C">
              <w:rPr>
                <w:rFonts w:ascii="Palatino Linotype" w:hAnsi="Palatino Linotype"/>
                <w:b/>
                <w:i/>
                <w:iCs/>
                <w:color w:val="000000" w:themeColor="text1"/>
                <w:sz w:val="20"/>
                <w:szCs w:val="20"/>
              </w:rPr>
              <w:t xml:space="preserve">not </w:t>
            </w:r>
            <w:proofErr w:type="gramStart"/>
            <w:r w:rsidRPr="0016671C">
              <w:rPr>
                <w:rFonts w:ascii="Palatino Linotype" w:hAnsi="Palatino Linotype"/>
                <w:b/>
                <w:color w:val="000000" w:themeColor="text1"/>
                <w:sz w:val="20"/>
                <w:szCs w:val="20"/>
              </w:rPr>
              <w:t>compliant</w:t>
            </w:r>
            <w:proofErr w:type="gramEnd"/>
            <w:r w:rsidRPr="0016671C">
              <w:rPr>
                <w:rFonts w:ascii="Palatino Linotype" w:hAnsi="Palatino Linotype"/>
                <w:b/>
                <w:color w:val="000000" w:themeColor="text1"/>
                <w:sz w:val="20"/>
                <w:szCs w:val="20"/>
              </w:rPr>
              <w:t xml:space="preserve"> with this requirement.</w:t>
            </w:r>
          </w:p>
        </w:tc>
      </w:tr>
      <w:tr w:rsidRPr="006F5335" w:rsidR="00860D16" w:rsidTr="00EE197B" w14:paraId="40C2B4E9" w14:textId="77777777">
        <w:trPr>
          <w:trHeight w:val="638"/>
        </w:trPr>
        <w:tc>
          <w:tcPr>
            <w:tcW w:w="3744" w:type="dxa"/>
          </w:tcPr>
          <w:p w:rsidRPr="006F5335" w:rsidR="00860D16" w:rsidRDefault="00860D16" w14:paraId="6E7F891E" w14:textId="77777777">
            <w:pPr>
              <w:rPr>
                <w:rFonts w:ascii="Palatino Linotype" w:hAnsi="Palatino Linotype"/>
                <w:sz w:val="20"/>
                <w:szCs w:val="20"/>
              </w:rPr>
            </w:pPr>
            <w:r w:rsidRPr="006F5335">
              <w:rPr>
                <w:rFonts w:ascii="Palatino Linotype" w:hAnsi="Palatino Linotype"/>
                <w:b/>
                <w:sz w:val="20"/>
                <w:szCs w:val="20"/>
              </w:rPr>
              <w:lastRenderedPageBreak/>
              <w:t>[7]</w:t>
            </w:r>
            <w:r w:rsidRPr="006F5335">
              <w:rPr>
                <w:rFonts w:ascii="Palatino Linotype" w:hAnsi="Palatino Linotype"/>
                <w:sz w:val="20"/>
                <w:szCs w:val="20"/>
              </w:rPr>
              <w:t xml:space="preserve"> California Public Utilities Code Section 740.1 at (c) </w:t>
            </w:r>
            <w:r w:rsidRPr="006F5335">
              <w:rPr>
                <w:rFonts w:ascii="Palatino Linotype" w:hAnsi="Palatino Linotype"/>
                <w:i/>
                <w:iCs/>
                <w:sz w:val="20"/>
                <w:szCs w:val="20"/>
              </w:rPr>
              <w:t>Projects should be consistent with the corporation's resource plan.</w:t>
            </w:r>
          </w:p>
        </w:tc>
        <w:tc>
          <w:tcPr>
            <w:tcW w:w="6912" w:type="dxa"/>
          </w:tcPr>
          <w:p w:rsidRPr="0016671C" w:rsidR="00860D16" w:rsidRDefault="00860D16" w14:paraId="2DBC3C4F" w14:textId="77777777">
            <w:pPr>
              <w:rPr>
                <w:rFonts w:ascii="Palatino Linotype" w:hAnsi="Palatino Linotype"/>
                <w:color w:val="000000" w:themeColor="text1"/>
                <w:sz w:val="20"/>
                <w:szCs w:val="20"/>
              </w:rPr>
            </w:pPr>
            <w:r w:rsidRPr="0016671C">
              <w:rPr>
                <w:rFonts w:ascii="Palatino Linotype" w:hAnsi="Palatino Linotype"/>
                <w:color w:val="000000" w:themeColor="text1"/>
                <w:sz w:val="20"/>
                <w:szCs w:val="20"/>
              </w:rPr>
              <w:t>SoCalGas states that, as a company, it seeks to “deliver increasingly clean, safe, affordable, and reliable energy.”</w:t>
            </w:r>
            <w:r w:rsidRPr="0016671C">
              <w:rPr>
                <w:rStyle w:val="FootnoteReference"/>
                <w:rFonts w:ascii="Palatino Linotype" w:hAnsi="Palatino Linotype"/>
                <w:color w:val="000000" w:themeColor="text1"/>
                <w:sz w:val="20"/>
                <w:szCs w:val="20"/>
              </w:rPr>
              <w:footnoteReference w:id="201"/>
            </w:r>
          </w:p>
          <w:p w:rsidRPr="0016671C" w:rsidR="00860D16" w:rsidRDefault="00860D16" w14:paraId="296278A5"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 Consistent with this, SoCalGas states that Initiatives in its Gas System Integrity theme “support supply, transmission, distribution, storage, and customer operations through innovations that enhance pipeline, public, and employee safety, maintain system reliability, increase operational efficiency, improve affordability, and reduce GHG impacts to the environment.”</w:t>
            </w:r>
            <w:r w:rsidRPr="0016671C">
              <w:rPr>
                <w:rStyle w:val="FootnoteReference"/>
                <w:rFonts w:ascii="Palatino Linotype" w:hAnsi="Palatino Linotype"/>
                <w:color w:val="000000" w:themeColor="text1"/>
                <w:sz w:val="20"/>
                <w:szCs w:val="20"/>
              </w:rPr>
              <w:footnoteReference w:id="202"/>
            </w:r>
            <w:r w:rsidRPr="0016671C">
              <w:rPr>
                <w:rFonts w:ascii="Palatino Linotype" w:hAnsi="Palatino Linotype"/>
                <w:color w:val="000000" w:themeColor="text1"/>
                <w:sz w:val="20"/>
                <w:szCs w:val="20"/>
              </w:rPr>
              <w:t xml:space="preserve"> </w:t>
            </w:r>
            <w:r w:rsidRPr="0016671C">
              <w:rPr>
                <w:rFonts w:ascii="Palatino Linotype" w:hAnsi="Palatino Linotype" w:eastAsia="Palatino Linotype" w:cs="Palatino Linotype"/>
                <w:color w:val="000000" w:themeColor="text1"/>
                <w:sz w:val="20"/>
                <w:szCs w:val="20"/>
              </w:rPr>
              <w:t>Initiatives</w:t>
            </w:r>
            <w:r w:rsidRPr="0016671C">
              <w:rPr>
                <w:rFonts w:ascii="Palatino Linotype" w:hAnsi="Palatino Linotype"/>
                <w:color w:val="000000" w:themeColor="text1"/>
                <w:sz w:val="20"/>
                <w:szCs w:val="20"/>
              </w:rPr>
              <w:t xml:space="preserve"> in the Decarbonization theme support advancing “technologies that improve the affordability, availability, reliability, and integration of low-carbon fuels and energy systems.”</w:t>
            </w:r>
            <w:r w:rsidRPr="0016671C">
              <w:rPr>
                <w:rStyle w:val="FootnoteReference"/>
                <w:rFonts w:ascii="Palatino Linotype" w:hAnsi="Palatino Linotype"/>
                <w:color w:val="000000" w:themeColor="text1"/>
                <w:sz w:val="20"/>
                <w:szCs w:val="20"/>
              </w:rPr>
              <w:footnoteReference w:id="203"/>
            </w:r>
          </w:p>
        </w:tc>
        <w:tc>
          <w:tcPr>
            <w:tcW w:w="3600" w:type="dxa"/>
          </w:tcPr>
          <w:p w:rsidRPr="0016671C" w:rsidR="00860D16" w:rsidRDefault="00860D16" w14:paraId="41BB1288"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demonstrates that its proposed Initiatives and Plan are consistent with its resource plan. </w:t>
            </w:r>
            <w:r w:rsidRPr="0016671C">
              <w:rPr>
                <w:rFonts w:ascii="Palatino Linotype" w:hAnsi="Palatino Linotype"/>
                <w:b/>
                <w:color w:val="000000" w:themeColor="text1"/>
                <w:sz w:val="20"/>
                <w:szCs w:val="20"/>
              </w:rPr>
              <w:t>SoCalGas is compliant with this requirement.</w:t>
            </w:r>
          </w:p>
        </w:tc>
      </w:tr>
      <w:tr w:rsidRPr="006F5335" w:rsidR="00860D16" w:rsidTr="00EE197B" w14:paraId="0A921C05" w14:textId="77777777">
        <w:trPr>
          <w:trHeight w:val="638"/>
        </w:trPr>
        <w:tc>
          <w:tcPr>
            <w:tcW w:w="3744" w:type="dxa"/>
          </w:tcPr>
          <w:p w:rsidRPr="006F5335" w:rsidR="00860D16" w:rsidRDefault="00860D16" w14:paraId="08A32FC1" w14:textId="77777777">
            <w:pPr>
              <w:rPr>
                <w:rFonts w:ascii="Palatino Linotype" w:hAnsi="Palatino Linotype"/>
                <w:i/>
                <w:iCs/>
                <w:sz w:val="20"/>
                <w:szCs w:val="20"/>
              </w:rPr>
            </w:pPr>
            <w:r w:rsidRPr="006F5335">
              <w:rPr>
                <w:rFonts w:ascii="Palatino Linotype" w:hAnsi="Palatino Linotype"/>
                <w:b/>
                <w:sz w:val="20"/>
                <w:szCs w:val="20"/>
              </w:rPr>
              <w:t>[8]</w:t>
            </w:r>
            <w:r w:rsidRPr="006F5335">
              <w:rPr>
                <w:rFonts w:ascii="Palatino Linotype" w:hAnsi="Palatino Linotype"/>
                <w:sz w:val="20"/>
                <w:szCs w:val="20"/>
              </w:rPr>
              <w:t xml:space="preserve"> California Public Utilities Code Section 740.1 at (e) </w:t>
            </w:r>
            <w:r w:rsidRPr="006F5335">
              <w:rPr>
                <w:rFonts w:ascii="Palatino Linotype" w:hAnsi="Palatino Linotype"/>
                <w:i/>
                <w:iCs/>
                <w:sz w:val="20"/>
                <w:szCs w:val="20"/>
              </w:rPr>
              <w:t>Each project should also support one or more of the following objectives:</w:t>
            </w:r>
          </w:p>
          <w:p w:rsidRPr="006F5335" w:rsidR="00860D16" w:rsidP="00860D16" w:rsidRDefault="00860D16" w14:paraId="776BC22C" w14:textId="77777777">
            <w:pPr>
              <w:pStyle w:val="ListParagraph"/>
              <w:numPr>
                <w:ilvl w:val="0"/>
                <w:numId w:val="36"/>
              </w:numPr>
              <w:rPr>
                <w:rFonts w:ascii="Palatino Linotype" w:hAnsi="Palatino Linotype"/>
                <w:i/>
                <w:iCs/>
                <w:sz w:val="20"/>
                <w:szCs w:val="20"/>
              </w:rPr>
            </w:pPr>
            <w:r w:rsidRPr="006F5335">
              <w:rPr>
                <w:rFonts w:ascii="Palatino Linotype" w:hAnsi="Palatino Linotype"/>
                <w:i/>
                <w:iCs/>
                <w:sz w:val="20"/>
                <w:szCs w:val="20"/>
              </w:rPr>
              <w:t>Environmental improvement.</w:t>
            </w:r>
          </w:p>
          <w:p w:rsidRPr="006F5335" w:rsidR="00860D16" w:rsidP="00860D16" w:rsidRDefault="00860D16" w14:paraId="7C0501A0" w14:textId="77777777">
            <w:pPr>
              <w:pStyle w:val="ListParagraph"/>
              <w:numPr>
                <w:ilvl w:val="0"/>
                <w:numId w:val="36"/>
              </w:numPr>
              <w:rPr>
                <w:rFonts w:ascii="Palatino Linotype" w:hAnsi="Palatino Linotype"/>
                <w:i/>
                <w:iCs/>
                <w:sz w:val="20"/>
                <w:szCs w:val="20"/>
              </w:rPr>
            </w:pPr>
            <w:r w:rsidRPr="006F5335">
              <w:rPr>
                <w:rFonts w:ascii="Palatino Linotype" w:hAnsi="Palatino Linotype"/>
                <w:i/>
                <w:iCs/>
                <w:sz w:val="20"/>
                <w:szCs w:val="20"/>
              </w:rPr>
              <w:t>Public and employee safety.</w:t>
            </w:r>
          </w:p>
          <w:p w:rsidRPr="006F5335" w:rsidR="00860D16" w:rsidP="00860D16" w:rsidRDefault="00860D16" w14:paraId="671C49D7" w14:textId="77777777">
            <w:pPr>
              <w:pStyle w:val="ListParagraph"/>
              <w:numPr>
                <w:ilvl w:val="0"/>
                <w:numId w:val="36"/>
              </w:numPr>
              <w:rPr>
                <w:rFonts w:ascii="Palatino Linotype" w:hAnsi="Palatino Linotype"/>
                <w:i/>
                <w:iCs/>
                <w:sz w:val="20"/>
                <w:szCs w:val="20"/>
              </w:rPr>
            </w:pPr>
            <w:r w:rsidRPr="006F5335">
              <w:rPr>
                <w:rFonts w:ascii="Palatino Linotype" w:hAnsi="Palatino Linotype"/>
                <w:i/>
                <w:iCs/>
                <w:sz w:val="20"/>
                <w:szCs w:val="20"/>
              </w:rPr>
              <w:t>Conservation by efficient resource use or by reducing or shifting system load.</w:t>
            </w:r>
          </w:p>
          <w:p w:rsidRPr="006F5335" w:rsidR="00860D16" w:rsidP="00860D16" w:rsidRDefault="00860D16" w14:paraId="43499A8B" w14:textId="77777777">
            <w:pPr>
              <w:pStyle w:val="ListParagraph"/>
              <w:numPr>
                <w:ilvl w:val="0"/>
                <w:numId w:val="36"/>
              </w:numPr>
              <w:rPr>
                <w:rFonts w:ascii="Palatino Linotype" w:hAnsi="Palatino Linotype"/>
                <w:i/>
                <w:iCs/>
                <w:sz w:val="20"/>
                <w:szCs w:val="20"/>
              </w:rPr>
            </w:pPr>
            <w:r w:rsidRPr="006F5335">
              <w:rPr>
                <w:rFonts w:ascii="Palatino Linotype" w:hAnsi="Palatino Linotype"/>
                <w:i/>
                <w:iCs/>
                <w:sz w:val="20"/>
                <w:szCs w:val="20"/>
              </w:rPr>
              <w:t>Development of new resources and processes, particularly renewable resources and processes which further supply technologies.</w:t>
            </w:r>
          </w:p>
          <w:p w:rsidRPr="006F5335" w:rsidR="00860D16" w:rsidP="00860D16" w:rsidRDefault="00860D16" w14:paraId="79BA8D60" w14:textId="77777777">
            <w:pPr>
              <w:pStyle w:val="ListParagraph"/>
              <w:numPr>
                <w:ilvl w:val="0"/>
                <w:numId w:val="36"/>
              </w:numPr>
              <w:rPr>
                <w:rFonts w:ascii="Palatino Linotype" w:hAnsi="Palatino Linotype"/>
                <w:i/>
                <w:iCs/>
                <w:sz w:val="20"/>
                <w:szCs w:val="20"/>
              </w:rPr>
            </w:pPr>
            <w:r w:rsidRPr="006F5335">
              <w:rPr>
                <w:rFonts w:ascii="Palatino Linotype" w:hAnsi="Palatino Linotype"/>
                <w:i/>
                <w:iCs/>
                <w:sz w:val="20"/>
                <w:szCs w:val="20"/>
              </w:rPr>
              <w:t>Improve operating efficiency and reliability or otherwise reduce operating costs.</w:t>
            </w:r>
          </w:p>
        </w:tc>
        <w:tc>
          <w:tcPr>
            <w:tcW w:w="6912" w:type="dxa"/>
          </w:tcPr>
          <w:p w:rsidRPr="0016671C" w:rsidR="00860D16" w:rsidRDefault="00860D16" w14:paraId="04CE95A3"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proposes the following Initiatives in its 2024 Plan:</w:t>
            </w:r>
          </w:p>
          <w:p w:rsidRPr="0016671C" w:rsidR="00860D16" w:rsidP="00860D16" w:rsidRDefault="00860D16" w14:paraId="044F4823"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Environmental &amp; Safety</w:t>
            </w:r>
          </w:p>
          <w:p w:rsidRPr="0016671C" w:rsidR="00860D16" w:rsidP="00860D16" w:rsidRDefault="00860D16" w14:paraId="708F29D9"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Operations Technology</w:t>
            </w:r>
          </w:p>
          <w:p w:rsidRPr="0016671C" w:rsidR="00860D16" w:rsidP="00860D16" w:rsidRDefault="00860D16" w14:paraId="3F456072"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System Design &amp; Materials</w:t>
            </w:r>
          </w:p>
          <w:p w:rsidRPr="0016671C" w:rsidR="00860D16" w:rsidP="00860D16" w:rsidRDefault="00860D16" w14:paraId="6391BD91"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System Inspection &amp; Monitoring</w:t>
            </w:r>
          </w:p>
          <w:p w:rsidRPr="0016671C" w:rsidR="00860D16" w:rsidP="00860D16" w:rsidRDefault="00860D16" w14:paraId="692260CE"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RNG Infrastructure Optimization</w:t>
            </w:r>
          </w:p>
          <w:p w:rsidRPr="0016671C" w:rsidR="00860D16" w:rsidP="00860D16" w:rsidRDefault="00860D16" w14:paraId="66E8A5B6"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eastAsia="Palatino Linotype" w:cs="Times New Roman"/>
                <w:color w:val="000000" w:themeColor="text1"/>
                <w:sz w:val="20"/>
                <w:szCs w:val="20"/>
              </w:rPr>
              <w:t>Gas &amp; Energy Storage</w:t>
            </w:r>
          </w:p>
          <w:p w:rsidRPr="0016671C" w:rsidR="00860D16" w:rsidP="00860D16" w:rsidRDefault="00860D16" w14:paraId="062A2005"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Low-Carbon Fuels Technologies</w:t>
            </w:r>
          </w:p>
          <w:p w:rsidRPr="0016671C" w:rsidR="00860D16" w:rsidP="00860D16" w:rsidRDefault="00860D16" w14:paraId="191B1EAF"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Low-Carbon Fuels Integration</w:t>
            </w:r>
          </w:p>
          <w:p w:rsidRPr="0016671C" w:rsidR="00860D16" w:rsidP="00860D16" w:rsidRDefault="00860D16" w14:paraId="4074E243"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Energy Reliability &amp; Resilience</w:t>
            </w:r>
          </w:p>
          <w:p w:rsidRPr="0016671C" w:rsidR="00860D16" w:rsidP="00860D16" w:rsidRDefault="00860D16" w14:paraId="5F18F124" w14:textId="77777777">
            <w:pPr>
              <w:pStyle w:val="ListParagraph"/>
              <w:numPr>
                <w:ilvl w:val="0"/>
                <w:numId w:val="37"/>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Building &amp; Facility Systems</w:t>
            </w:r>
          </w:p>
        </w:tc>
        <w:tc>
          <w:tcPr>
            <w:tcW w:w="3600" w:type="dxa"/>
          </w:tcPr>
          <w:p w:rsidRPr="0016671C" w:rsidR="00860D16" w:rsidRDefault="00860D16" w14:paraId="5AE7D2E2"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Each of SoCalGas’ proposed Initiatives support one or more of the required objectives. </w:t>
            </w:r>
            <w:r w:rsidRPr="0016671C">
              <w:rPr>
                <w:rFonts w:ascii="Palatino Linotype" w:hAnsi="Palatino Linotype"/>
                <w:b/>
                <w:color w:val="000000" w:themeColor="text1"/>
                <w:sz w:val="20"/>
                <w:szCs w:val="20"/>
              </w:rPr>
              <w:t>SoCalGas is compliant with this requirement.</w:t>
            </w:r>
          </w:p>
        </w:tc>
      </w:tr>
      <w:tr w:rsidRPr="006F5335" w:rsidR="00860D16" w:rsidTr="00EE197B" w14:paraId="51949FDD" w14:textId="77777777">
        <w:trPr>
          <w:trHeight w:val="638"/>
        </w:trPr>
        <w:tc>
          <w:tcPr>
            <w:tcW w:w="3744" w:type="dxa"/>
          </w:tcPr>
          <w:p w:rsidRPr="006F5335" w:rsidR="00860D16" w:rsidRDefault="00860D16" w14:paraId="22499F38" w14:textId="77777777">
            <w:pPr>
              <w:rPr>
                <w:rFonts w:ascii="Palatino Linotype" w:hAnsi="Palatino Linotype"/>
                <w:sz w:val="20"/>
                <w:szCs w:val="20"/>
              </w:rPr>
            </w:pPr>
            <w:r w:rsidRPr="006F5335">
              <w:rPr>
                <w:rFonts w:ascii="Palatino Linotype" w:hAnsi="Palatino Linotype"/>
                <w:b/>
                <w:sz w:val="20"/>
                <w:szCs w:val="20"/>
              </w:rPr>
              <w:lastRenderedPageBreak/>
              <w:t>[9]</w:t>
            </w:r>
            <w:r w:rsidRPr="006F5335">
              <w:rPr>
                <w:rFonts w:ascii="Palatino Linotype" w:hAnsi="Palatino Linotype"/>
                <w:sz w:val="20"/>
                <w:szCs w:val="20"/>
              </w:rPr>
              <w:t xml:space="preserve"> </w:t>
            </w:r>
            <w:hyperlink w:history="1" r:id="rId70">
              <w:r w:rsidRPr="006F5335">
                <w:rPr>
                  <w:rStyle w:val="Hyperlink"/>
                  <w:rFonts w:ascii="Palatino Linotype" w:hAnsi="Palatino Linotype"/>
                  <w:sz w:val="20"/>
                  <w:szCs w:val="20"/>
                </w:rPr>
                <w:t>Resolution G-3573</w:t>
              </w:r>
            </w:hyperlink>
            <w:r w:rsidRPr="006F5335">
              <w:rPr>
                <w:rFonts w:ascii="Palatino Linotype" w:hAnsi="Palatino Linotype"/>
                <w:sz w:val="20"/>
                <w:szCs w:val="20"/>
              </w:rPr>
              <w:t xml:space="preserve"> (2021) at OP 3. </w:t>
            </w:r>
            <w:r w:rsidRPr="006F5335">
              <w:rPr>
                <w:rFonts w:ascii="Palatino Linotype" w:hAnsi="Palatino Linotype"/>
                <w:i/>
                <w:iCs/>
                <w:sz w:val="20"/>
                <w:szCs w:val="20"/>
              </w:rPr>
              <w:t>In developing the subsequent Research Plans, SoCalGas shall: Continue to increase transparency in project area selection processes and criteria.</w:t>
            </w:r>
          </w:p>
        </w:tc>
        <w:tc>
          <w:tcPr>
            <w:tcW w:w="6912" w:type="dxa"/>
          </w:tcPr>
          <w:p w:rsidRPr="0016671C" w:rsidR="00860D16" w:rsidRDefault="00860D16" w14:paraId="7D6DF20B"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outlines a high-level internal RD&amp;D project proposal review process, stating it “enables them to 1) identify potential projects most in alignment with CPUC policies and objectives, RD&amp;D Department goals, state and federal policy 2) initiate projects that have a reasonable probability of providing benefits to ratepayers; 3) assess the likelihood of potential projects to succeed; 4) work with proven organizations and technologies over time; and 5) respond nimbly to changing market, technology, and policy drivers. Attachment A at Appendix 2: Project Selection Process.”</w:t>
            </w:r>
            <w:r w:rsidRPr="0016671C">
              <w:rPr>
                <w:rStyle w:val="FootnoteReference"/>
                <w:rFonts w:ascii="Palatino Linotype" w:hAnsi="Palatino Linotype"/>
                <w:color w:val="000000" w:themeColor="text1"/>
                <w:sz w:val="20"/>
                <w:szCs w:val="20"/>
              </w:rPr>
              <w:footnoteReference w:id="204"/>
            </w:r>
            <w:r w:rsidRPr="0016671C">
              <w:rPr>
                <w:rFonts w:ascii="Palatino Linotype" w:hAnsi="Palatino Linotype"/>
                <w:color w:val="000000" w:themeColor="text1"/>
                <w:sz w:val="20"/>
                <w:szCs w:val="20"/>
              </w:rPr>
              <w:t xml:space="preserve"> SoCalGas lists specific evaluation criteria and states that “[a]</w:t>
            </w:r>
            <w:proofErr w:type="spellStart"/>
            <w:r w:rsidRPr="0016671C">
              <w:rPr>
                <w:rFonts w:ascii="Palatino Linotype" w:hAnsi="Palatino Linotype"/>
                <w:color w:val="000000" w:themeColor="text1"/>
                <w:sz w:val="20"/>
                <w:szCs w:val="20"/>
              </w:rPr>
              <w:t>fter</w:t>
            </w:r>
            <w:proofErr w:type="spellEnd"/>
            <w:r w:rsidRPr="0016671C">
              <w:rPr>
                <w:rFonts w:ascii="Palatino Linotype" w:hAnsi="Palatino Linotype"/>
                <w:color w:val="000000" w:themeColor="text1"/>
                <w:sz w:val="20"/>
                <w:szCs w:val="20"/>
              </w:rPr>
              <w:t xml:space="preserve"> approval of the Research Plan by the CPUC’s Energy Division, RD&amp;D staff follow a defined project selection and approval process to identify and select projects for RD&amp;D support. The approval process includes development of project concepts, multiple stages of review and project development, and selection of those projects with the greatest potential benefit to natural gas ratepayers.”</w:t>
            </w:r>
            <w:r w:rsidRPr="0016671C">
              <w:rPr>
                <w:rStyle w:val="FootnoteReference"/>
                <w:rFonts w:ascii="Palatino Linotype" w:hAnsi="Palatino Linotype"/>
                <w:color w:val="000000" w:themeColor="text1"/>
                <w:sz w:val="20"/>
                <w:szCs w:val="20"/>
              </w:rPr>
              <w:footnoteReference w:id="205"/>
            </w:r>
            <w:r w:rsidRPr="0016671C">
              <w:rPr>
                <w:rFonts w:ascii="Palatino Linotype" w:hAnsi="Palatino Linotype"/>
                <w:color w:val="000000" w:themeColor="text1"/>
                <w:sz w:val="20"/>
                <w:szCs w:val="20"/>
              </w:rPr>
              <w:t xml:space="preserve"> </w:t>
            </w:r>
          </w:p>
        </w:tc>
        <w:tc>
          <w:tcPr>
            <w:tcW w:w="3600" w:type="dxa"/>
          </w:tcPr>
          <w:p w:rsidRPr="0016671C" w:rsidR="00860D16" w:rsidRDefault="00860D16" w14:paraId="7DEB93DE"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describes the project selection process and specific evaluation criteria used in project selection. </w:t>
            </w:r>
            <w:r w:rsidRPr="0016671C">
              <w:rPr>
                <w:rFonts w:ascii="Palatino Linotype" w:hAnsi="Palatino Linotype"/>
                <w:b/>
                <w:color w:val="000000" w:themeColor="text1"/>
                <w:sz w:val="20"/>
                <w:szCs w:val="20"/>
              </w:rPr>
              <w:t>SoCalGas is compliant with this requirement.</w:t>
            </w:r>
          </w:p>
        </w:tc>
      </w:tr>
      <w:tr w:rsidRPr="006F5335" w:rsidR="00860D16" w:rsidTr="00EE197B" w14:paraId="42DF06D7" w14:textId="77777777">
        <w:trPr>
          <w:trHeight w:val="638"/>
        </w:trPr>
        <w:tc>
          <w:tcPr>
            <w:tcW w:w="3744" w:type="dxa"/>
          </w:tcPr>
          <w:p w:rsidRPr="006F5335" w:rsidR="00860D16" w:rsidRDefault="00860D16" w14:paraId="4DC5B0A2" w14:textId="77777777">
            <w:pPr>
              <w:rPr>
                <w:rFonts w:ascii="Palatino Linotype" w:hAnsi="Palatino Linotype"/>
                <w:sz w:val="20"/>
                <w:szCs w:val="20"/>
              </w:rPr>
            </w:pPr>
            <w:r w:rsidRPr="006F5335">
              <w:rPr>
                <w:rFonts w:ascii="Palatino Linotype" w:hAnsi="Palatino Linotype"/>
                <w:b/>
                <w:sz w:val="20"/>
                <w:szCs w:val="20"/>
              </w:rPr>
              <w:t xml:space="preserve">[10] </w:t>
            </w:r>
            <w:hyperlink w:history="1" r:id="rId71">
              <w:r w:rsidRPr="006F5335">
                <w:rPr>
                  <w:rStyle w:val="Hyperlink"/>
                  <w:rFonts w:ascii="Palatino Linotype" w:hAnsi="Palatino Linotype"/>
                  <w:sz w:val="20"/>
                  <w:szCs w:val="20"/>
                </w:rPr>
                <w:t>Resolution G-3586</w:t>
              </w:r>
            </w:hyperlink>
            <w:r w:rsidRPr="006F5335">
              <w:rPr>
                <w:rFonts w:ascii="Palatino Linotype" w:hAnsi="Palatino Linotype"/>
                <w:sz w:val="20"/>
                <w:szCs w:val="20"/>
              </w:rPr>
              <w:t xml:space="preserve"> (2022) at OP 5. </w:t>
            </w:r>
            <w:r w:rsidRPr="006F5335">
              <w:rPr>
                <w:rFonts w:ascii="Palatino Linotype" w:hAnsi="Palatino Linotype"/>
                <w:i/>
                <w:iCs/>
                <w:sz w:val="20"/>
                <w:szCs w:val="20"/>
              </w:rPr>
              <w:t xml:space="preserve">In subsequent Research Plans, SoCalGas shall: Provide </w:t>
            </w:r>
            <w:r w:rsidRPr="006F5335">
              <w:rPr>
                <w:rFonts w:ascii="Palatino Linotype" w:hAnsi="Palatino Linotype"/>
                <w:i/>
                <w:iCs/>
                <w:color w:val="000000" w:themeColor="text1"/>
                <w:sz w:val="20"/>
                <w:szCs w:val="20"/>
              </w:rPr>
              <w:t>detail quantifying the amount of program funds already committed and the quantity of program funds that are for projects under development in following years.</w:t>
            </w:r>
          </w:p>
        </w:tc>
        <w:tc>
          <w:tcPr>
            <w:tcW w:w="6912" w:type="dxa"/>
          </w:tcPr>
          <w:p w:rsidRPr="0016671C" w:rsidR="00860D16" w:rsidRDefault="00860D16" w14:paraId="34161E67"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details Authorized Funds (as approved in the GRC for SoCalGas RD&amp;D), Committed Funds (supporting ongoing projects in accordance with an approved Gas RD&amp;D Plan) and Funds Available for Project Development (available for projects that are under development in the identified key research areas of interest) for each Initiative.</w:t>
            </w:r>
            <w:r w:rsidRPr="0016671C">
              <w:rPr>
                <w:rStyle w:val="FootnoteReference"/>
                <w:rFonts w:ascii="Palatino Linotype" w:hAnsi="Palatino Linotype"/>
                <w:color w:val="000000" w:themeColor="text1"/>
                <w:sz w:val="20"/>
                <w:szCs w:val="20"/>
              </w:rPr>
              <w:footnoteReference w:id="206"/>
            </w:r>
            <w:r w:rsidRPr="0016671C">
              <w:rPr>
                <w:rFonts w:ascii="Palatino Linotype" w:hAnsi="Palatino Linotype"/>
                <w:color w:val="000000" w:themeColor="text1"/>
                <w:sz w:val="20"/>
                <w:szCs w:val="20"/>
              </w:rPr>
              <w:t xml:space="preserve"> </w:t>
            </w:r>
          </w:p>
        </w:tc>
        <w:tc>
          <w:tcPr>
            <w:tcW w:w="3600" w:type="dxa"/>
          </w:tcPr>
          <w:p w:rsidRPr="0016671C" w:rsidR="00860D16" w:rsidRDefault="00860D16" w14:paraId="4F99304E"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details the quantity of program funds already committed and those that are for projects under development in following years. </w:t>
            </w:r>
            <w:r w:rsidRPr="0016671C">
              <w:rPr>
                <w:rFonts w:ascii="Palatino Linotype" w:hAnsi="Palatino Linotype"/>
                <w:b/>
                <w:color w:val="000000" w:themeColor="text1"/>
                <w:sz w:val="20"/>
                <w:szCs w:val="20"/>
              </w:rPr>
              <w:t>SoCalGas is compliant with this requirement.</w:t>
            </w:r>
          </w:p>
        </w:tc>
      </w:tr>
      <w:tr w:rsidRPr="006F5335" w:rsidR="00860D16" w:rsidTr="00EE197B" w14:paraId="6354E142" w14:textId="77777777">
        <w:trPr>
          <w:trHeight w:val="638"/>
        </w:trPr>
        <w:tc>
          <w:tcPr>
            <w:tcW w:w="3744" w:type="dxa"/>
          </w:tcPr>
          <w:p w:rsidRPr="006F5335" w:rsidR="00860D16" w:rsidRDefault="00860D16" w14:paraId="01162C2B" w14:textId="77777777">
            <w:r w:rsidRPr="006F5335">
              <w:rPr>
                <w:rFonts w:ascii="Palatino Linotype" w:hAnsi="Palatino Linotype"/>
                <w:b/>
                <w:sz w:val="20"/>
                <w:szCs w:val="20"/>
              </w:rPr>
              <w:t>[11]</w:t>
            </w:r>
            <w:r w:rsidRPr="006F5335">
              <w:rPr>
                <w:rFonts w:ascii="Palatino Linotype" w:hAnsi="Palatino Linotype"/>
                <w:sz w:val="20"/>
                <w:szCs w:val="20"/>
              </w:rPr>
              <w:t xml:space="preserve"> </w:t>
            </w:r>
            <w:hyperlink w:history="1" r:id="rId72">
              <w:r w:rsidRPr="006F5335">
                <w:rPr>
                  <w:rStyle w:val="Hyperlink"/>
                  <w:rFonts w:ascii="Palatino Linotype" w:hAnsi="Palatino Linotype"/>
                  <w:sz w:val="20"/>
                  <w:szCs w:val="20"/>
                </w:rPr>
                <w:t>Resolution G-3586</w:t>
              </w:r>
            </w:hyperlink>
            <w:r w:rsidRPr="006F5335">
              <w:rPr>
                <w:rFonts w:ascii="Palatino Linotype" w:hAnsi="Palatino Linotype"/>
                <w:sz w:val="20"/>
                <w:szCs w:val="20"/>
              </w:rPr>
              <w:t xml:space="preserve"> (2022) at OP 5. </w:t>
            </w:r>
            <w:r w:rsidRPr="006F5335">
              <w:rPr>
                <w:rFonts w:ascii="Palatino Linotype" w:hAnsi="Palatino Linotype"/>
                <w:i/>
                <w:iCs/>
                <w:sz w:val="20"/>
                <w:szCs w:val="20"/>
              </w:rPr>
              <w:t>In subsequent Research Plans, SoCalGas shall: Provide project-level detail about Research Plans with the 16 data fields described in the Discussion sub-section titled Detailed budgets broken down by research subprogram.</w:t>
            </w:r>
          </w:p>
        </w:tc>
        <w:tc>
          <w:tcPr>
            <w:tcW w:w="6912" w:type="dxa"/>
          </w:tcPr>
          <w:p w:rsidRPr="0016671C" w:rsidR="00860D16" w:rsidRDefault="00860D16" w14:paraId="4AA91ABA" w14:textId="77777777">
            <w:pPr>
              <w:rPr>
                <w:rFonts w:ascii="Palatino Linotype" w:hAnsi="Palatino Linotype" w:eastAsia="Palatino Linotype" w:cs="Times New Roman"/>
                <w:bCs w:val="0"/>
                <w:color w:val="000000" w:themeColor="text1"/>
                <w:sz w:val="20"/>
                <w:szCs w:val="20"/>
              </w:rPr>
            </w:pPr>
            <w:r w:rsidRPr="0016671C">
              <w:rPr>
                <w:rFonts w:ascii="Palatino Linotype" w:hAnsi="Palatino Linotype"/>
                <w:color w:val="000000" w:themeColor="text1"/>
                <w:sz w:val="20"/>
                <w:szCs w:val="20"/>
              </w:rPr>
              <w:t>SoCalGas</w:t>
            </w:r>
            <w:r w:rsidRPr="0016671C">
              <w:rPr>
                <w:rFonts w:ascii="Palatino Linotype" w:hAnsi="Palatino Linotype" w:eastAsia="Palatino Linotype" w:cs="Times New Roman"/>
                <w:color w:val="000000" w:themeColor="text1"/>
                <w:sz w:val="20"/>
                <w:szCs w:val="20"/>
              </w:rPr>
              <w:t>’ details active projects anticipated to continue from past research plans into the current proposed research plan year with the required data fields.</w:t>
            </w:r>
            <w:r w:rsidRPr="0016671C">
              <w:rPr>
                <w:rStyle w:val="FootnoteReference"/>
                <w:rFonts w:ascii="Palatino Linotype" w:hAnsi="Palatino Linotype" w:eastAsia="Palatino Linotype" w:cs="Times New Roman"/>
                <w:color w:val="000000" w:themeColor="text1"/>
                <w:sz w:val="20"/>
                <w:szCs w:val="20"/>
              </w:rPr>
              <w:footnoteReference w:id="207"/>
            </w:r>
          </w:p>
        </w:tc>
        <w:tc>
          <w:tcPr>
            <w:tcW w:w="3600" w:type="dxa"/>
          </w:tcPr>
          <w:p w:rsidRPr="0016671C" w:rsidR="00860D16" w:rsidRDefault="00860D16" w14:paraId="547338BF"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provides project-level detail across the 16 required data fields. </w:t>
            </w:r>
            <w:r w:rsidRPr="0016671C">
              <w:rPr>
                <w:rFonts w:ascii="Palatino Linotype" w:hAnsi="Palatino Linotype"/>
                <w:b/>
                <w:color w:val="000000" w:themeColor="text1"/>
                <w:sz w:val="20"/>
                <w:szCs w:val="20"/>
              </w:rPr>
              <w:t>SoCalGas is compliant with this requirement.</w:t>
            </w:r>
          </w:p>
        </w:tc>
      </w:tr>
      <w:tr w:rsidRPr="006F5335" w:rsidR="00860D16" w:rsidTr="00EE197B" w14:paraId="11702DC2" w14:textId="77777777">
        <w:trPr>
          <w:trHeight w:val="638"/>
        </w:trPr>
        <w:tc>
          <w:tcPr>
            <w:tcW w:w="3744" w:type="dxa"/>
          </w:tcPr>
          <w:p w:rsidRPr="006F5335" w:rsidR="00860D16" w:rsidRDefault="00860D16" w14:paraId="4A529411" w14:textId="77777777">
            <w:pPr>
              <w:rPr>
                <w:rFonts w:ascii="Palatino Linotype" w:hAnsi="Palatino Linotype"/>
                <w:sz w:val="20"/>
                <w:szCs w:val="20"/>
              </w:rPr>
            </w:pPr>
            <w:r w:rsidRPr="006F5335">
              <w:rPr>
                <w:rFonts w:ascii="Palatino Linotype" w:hAnsi="Palatino Linotype"/>
                <w:b/>
                <w:sz w:val="20"/>
                <w:szCs w:val="20"/>
              </w:rPr>
              <w:lastRenderedPageBreak/>
              <w:t xml:space="preserve">[12] </w:t>
            </w:r>
            <w:hyperlink r:id="rId73">
              <w:r w:rsidRPr="006F5335">
                <w:rPr>
                  <w:rStyle w:val="Hyperlink"/>
                  <w:rFonts w:ascii="Palatino Linotype" w:hAnsi="Palatino Linotype"/>
                  <w:sz w:val="20"/>
                  <w:szCs w:val="20"/>
                </w:rPr>
                <w:t>Resolution G-3586</w:t>
              </w:r>
            </w:hyperlink>
            <w:r w:rsidRPr="006F5335">
              <w:rPr>
                <w:rFonts w:ascii="Palatino Linotype" w:hAnsi="Palatino Linotype"/>
                <w:sz w:val="20"/>
                <w:szCs w:val="20"/>
              </w:rPr>
              <w:t xml:space="preserve"> (2022) at OP 5. </w:t>
            </w:r>
            <w:r w:rsidRPr="006F5335">
              <w:rPr>
                <w:rFonts w:ascii="Palatino Linotype" w:hAnsi="Palatino Linotype"/>
                <w:i/>
                <w:iCs/>
                <w:sz w:val="20"/>
                <w:szCs w:val="20"/>
              </w:rPr>
              <w:t>In subsequent Research Plans, SoCalGas shall: Provide detail about administrative budgets using allowable cost categories that will be developed in a process launched by D.21-11- 028 defining allowable EPIC administrative costs</w:t>
            </w:r>
            <w:r w:rsidRPr="006F5335">
              <w:rPr>
                <w:rFonts w:ascii="Palatino Linotype" w:hAnsi="Palatino Linotype"/>
                <w:color w:val="000000" w:themeColor="text1"/>
                <w:sz w:val="20"/>
                <w:szCs w:val="20"/>
              </w:rPr>
              <w:t>.</w:t>
            </w:r>
            <w:r w:rsidRPr="006F5335">
              <w:rPr>
                <w:rStyle w:val="FootnoteReference"/>
                <w:rFonts w:ascii="Palatino Linotype" w:hAnsi="Palatino Linotype"/>
                <w:color w:val="000000" w:themeColor="text1"/>
                <w:sz w:val="20"/>
                <w:szCs w:val="20"/>
              </w:rPr>
              <w:footnoteReference w:id="208"/>
            </w:r>
            <w:r w:rsidRPr="006F5335">
              <w:rPr>
                <w:rFonts w:ascii="Palatino Linotype" w:hAnsi="Palatino Linotype"/>
                <w:color w:val="000000" w:themeColor="text1"/>
                <w:sz w:val="20"/>
                <w:szCs w:val="20"/>
              </w:rPr>
              <w:t xml:space="preserve"> </w:t>
            </w:r>
          </w:p>
        </w:tc>
        <w:tc>
          <w:tcPr>
            <w:tcW w:w="6912" w:type="dxa"/>
          </w:tcPr>
          <w:p w:rsidRPr="0016671C" w:rsidR="00860D16" w:rsidRDefault="00860D16" w14:paraId="5D072A03" w14:textId="77777777">
            <w:pPr>
              <w:rPr>
                <w:rFonts w:ascii="Palatino Linotype" w:hAnsi="Palatino Linotype" w:eastAsia="Palatino Linotype" w:cs="Times New Roman"/>
                <w:bCs w:val="0"/>
                <w:color w:val="000000" w:themeColor="text1"/>
                <w:sz w:val="20"/>
                <w:szCs w:val="20"/>
              </w:rPr>
            </w:pPr>
            <w:r w:rsidRPr="0016671C">
              <w:rPr>
                <w:rFonts w:ascii="Palatino Linotype" w:hAnsi="Palatino Linotype"/>
                <w:color w:val="000000" w:themeColor="text1"/>
                <w:sz w:val="20"/>
                <w:szCs w:val="20"/>
              </w:rPr>
              <w:t xml:space="preserve">SoCalGas </w:t>
            </w:r>
            <w:r w:rsidRPr="0016671C">
              <w:rPr>
                <w:rFonts w:ascii="Palatino Linotype" w:hAnsi="Palatino Linotype" w:eastAsia="Palatino Linotype" w:cs="Times New Roman"/>
                <w:color w:val="000000" w:themeColor="text1"/>
                <w:sz w:val="20"/>
                <w:szCs w:val="20"/>
              </w:rPr>
              <w:t>proposes to allocate ten percent of its annual total budget to administrative costs, amounting to $1,785,300 in its 2024 Plan, and delineates these costs by allowable cost categories.</w:t>
            </w:r>
            <w:r w:rsidRPr="0016671C">
              <w:rPr>
                <w:rStyle w:val="FootnoteReference"/>
                <w:rFonts w:ascii="Palatino Linotype" w:hAnsi="Palatino Linotype" w:eastAsia="Palatino Linotype" w:cs="Times New Roman"/>
                <w:color w:val="000000" w:themeColor="text1"/>
                <w:sz w:val="20"/>
                <w:szCs w:val="20"/>
              </w:rPr>
              <w:footnoteReference w:id="209"/>
            </w:r>
            <w:r w:rsidRPr="0016671C">
              <w:rPr>
                <w:rFonts w:ascii="Palatino Linotype" w:hAnsi="Palatino Linotype" w:eastAsia="Palatino Linotype" w:cs="Times New Roman"/>
                <w:color w:val="000000" w:themeColor="text1"/>
                <w:sz w:val="20"/>
                <w:szCs w:val="20"/>
              </w:rPr>
              <w:t xml:space="preserve"> </w:t>
            </w:r>
            <w:r w:rsidRPr="0016671C">
              <w:rPr>
                <w:rFonts w:ascii="Palatino Linotype" w:hAnsi="Palatino Linotype"/>
                <w:color w:val="000000" w:themeColor="text1"/>
                <w:sz w:val="20"/>
                <w:szCs w:val="20"/>
              </w:rPr>
              <w:t>SoCalGas</w:t>
            </w:r>
            <w:r w:rsidRPr="0016671C">
              <w:rPr>
                <w:rFonts w:ascii="Palatino Linotype" w:hAnsi="Palatino Linotype" w:eastAsia="Palatino Linotype" w:cs="Times New Roman"/>
                <w:color w:val="000000" w:themeColor="text1"/>
                <w:sz w:val="20"/>
                <w:szCs w:val="20"/>
              </w:rPr>
              <w:t xml:space="preserve"> states that membership dues for consortia are captured in administrative costs per guidance from Energy Division.</w:t>
            </w:r>
            <w:r w:rsidRPr="0016671C">
              <w:rPr>
                <w:rStyle w:val="FootnoteReference"/>
                <w:rFonts w:ascii="Palatino Linotype" w:hAnsi="Palatino Linotype" w:eastAsia="Palatino Linotype" w:cs="Times New Roman"/>
                <w:color w:val="000000" w:themeColor="text1"/>
                <w:sz w:val="20"/>
                <w:szCs w:val="20"/>
              </w:rPr>
              <w:footnoteReference w:id="210"/>
            </w:r>
          </w:p>
          <w:p w:rsidRPr="0016671C" w:rsidR="00860D16" w:rsidRDefault="00860D16" w14:paraId="76E3AD1F" w14:textId="77777777">
            <w:pPr>
              <w:spacing w:before="240"/>
              <w:rPr>
                <w:rFonts w:ascii="Palatino Linotype" w:hAnsi="Palatino Linotype" w:eastAsia="Palatino Linotype" w:cs="Times New Roman"/>
                <w:bCs w:val="0"/>
                <w:color w:val="000000" w:themeColor="text1"/>
                <w:sz w:val="20"/>
                <w:szCs w:val="20"/>
              </w:rPr>
            </w:pPr>
            <w:r w:rsidRPr="0016671C">
              <w:rPr>
                <w:rFonts w:ascii="Palatino Linotype" w:hAnsi="Palatino Linotype" w:eastAsia="Palatino Linotype" w:cs="Times New Roman"/>
                <w:color w:val="000000" w:themeColor="text1"/>
                <w:sz w:val="20"/>
                <w:szCs w:val="20"/>
              </w:rPr>
              <w:t>SoCalGas details how its proposed administrative costs are for developing and maintaining its Gas RD&amp;D Program, whereas the administrative portion of a project lifecycle are charged as direct project costs.</w:t>
            </w:r>
            <w:r w:rsidRPr="0016671C">
              <w:rPr>
                <w:rStyle w:val="FootnoteReference"/>
                <w:rFonts w:ascii="Palatino Linotype" w:hAnsi="Palatino Linotype" w:eastAsia="Palatino Linotype" w:cs="Times New Roman"/>
                <w:color w:val="000000" w:themeColor="text1"/>
                <w:sz w:val="20"/>
                <w:szCs w:val="20"/>
              </w:rPr>
              <w:footnoteReference w:id="211"/>
            </w:r>
          </w:p>
        </w:tc>
        <w:tc>
          <w:tcPr>
            <w:tcW w:w="3600" w:type="dxa"/>
          </w:tcPr>
          <w:p w:rsidRPr="0016671C" w:rsidR="00860D16" w:rsidRDefault="00860D16" w14:paraId="17757E04"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provides </w:t>
            </w:r>
            <w:proofErr w:type="gramStart"/>
            <w:r w:rsidRPr="0016671C">
              <w:rPr>
                <w:rFonts w:ascii="Palatino Linotype" w:hAnsi="Palatino Linotype"/>
                <w:color w:val="000000" w:themeColor="text1"/>
                <w:sz w:val="20"/>
                <w:szCs w:val="20"/>
              </w:rPr>
              <w:t>detail</w:t>
            </w:r>
            <w:proofErr w:type="gramEnd"/>
            <w:r w:rsidRPr="0016671C">
              <w:rPr>
                <w:rFonts w:ascii="Palatino Linotype" w:hAnsi="Palatino Linotype"/>
                <w:color w:val="000000" w:themeColor="text1"/>
                <w:sz w:val="20"/>
                <w:szCs w:val="20"/>
              </w:rPr>
              <w:t xml:space="preserve"> about its administrative budget using allowable cost categories. </w:t>
            </w:r>
            <w:r w:rsidRPr="0016671C">
              <w:rPr>
                <w:rFonts w:ascii="Palatino Linotype" w:hAnsi="Palatino Linotype"/>
                <w:b/>
                <w:color w:val="000000" w:themeColor="text1"/>
                <w:sz w:val="20"/>
                <w:szCs w:val="20"/>
              </w:rPr>
              <w:t>SoCalGas is compliant with this requirement.</w:t>
            </w:r>
          </w:p>
        </w:tc>
      </w:tr>
      <w:tr w:rsidRPr="006F5335" w:rsidR="00860D16" w:rsidTr="00EE197B" w14:paraId="0BD0F8C9" w14:textId="77777777">
        <w:trPr>
          <w:trHeight w:val="638"/>
        </w:trPr>
        <w:tc>
          <w:tcPr>
            <w:tcW w:w="3744" w:type="dxa"/>
          </w:tcPr>
          <w:p w:rsidRPr="006F5335" w:rsidR="00860D16" w:rsidRDefault="00860D16" w14:paraId="179817D6" w14:textId="77777777">
            <w:pPr>
              <w:rPr>
                <w:rFonts w:ascii="Palatino Linotype" w:hAnsi="Palatino Linotype"/>
                <w:sz w:val="20"/>
                <w:szCs w:val="20"/>
              </w:rPr>
            </w:pPr>
            <w:r w:rsidRPr="006F5335">
              <w:rPr>
                <w:rFonts w:ascii="Palatino Linotype" w:hAnsi="Palatino Linotype"/>
                <w:b/>
                <w:sz w:val="20"/>
                <w:szCs w:val="20"/>
              </w:rPr>
              <w:t xml:space="preserve">[13] </w:t>
            </w:r>
            <w:hyperlink r:id="rId74">
              <w:r w:rsidRPr="006F5335">
                <w:rPr>
                  <w:rStyle w:val="Hyperlink"/>
                  <w:rFonts w:ascii="Palatino Linotype" w:hAnsi="Palatino Linotype"/>
                  <w:sz w:val="20"/>
                  <w:szCs w:val="20"/>
                </w:rPr>
                <w:t>Resolution G-3586</w:t>
              </w:r>
            </w:hyperlink>
            <w:r w:rsidRPr="006F5335">
              <w:rPr>
                <w:rFonts w:ascii="Palatino Linotype" w:hAnsi="Palatino Linotype"/>
                <w:sz w:val="20"/>
                <w:szCs w:val="20"/>
              </w:rPr>
              <w:t xml:space="preserve"> (2022) at OP 5. </w:t>
            </w:r>
            <w:r w:rsidRPr="006F5335">
              <w:rPr>
                <w:rFonts w:ascii="Palatino Linotype" w:hAnsi="Palatino Linotype"/>
                <w:i/>
                <w:iCs/>
                <w:sz w:val="20"/>
                <w:szCs w:val="20"/>
              </w:rPr>
              <w:t>In subsequent Research Plans, SoCalGas shall: Provide detail quantifying research funding allocations by research consortium, as well as project costs related to each consortium.</w:t>
            </w:r>
          </w:p>
        </w:tc>
        <w:tc>
          <w:tcPr>
            <w:tcW w:w="6912" w:type="dxa"/>
          </w:tcPr>
          <w:p w:rsidRPr="0016671C" w:rsidR="00860D16" w:rsidRDefault="00860D16" w14:paraId="40D73499"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states it is “a member of three subscription-based organizations: Northeast Gas Association (NGA)/NYSEARCH, Operations Technology Development (OTD), and Pipeline Research Council International (PRCI). See Section 5 for more information on the consortia and their project selection processes.” SoCalGas lists funds for 2024 Membership Dues ($239,316), including Membership ($100,942) and Available for Projects ($138,374). SoCalGas also lists projects by consortium with Total SoCalGas Costs and Total Project Costs.</w:t>
            </w:r>
            <w:r w:rsidRPr="0016671C">
              <w:rPr>
                <w:rStyle w:val="FootnoteReference"/>
                <w:rFonts w:ascii="Palatino Linotype" w:hAnsi="Palatino Linotype"/>
                <w:color w:val="000000" w:themeColor="text1"/>
                <w:sz w:val="20"/>
                <w:szCs w:val="20"/>
              </w:rPr>
              <w:footnoteReference w:id="212"/>
            </w:r>
          </w:p>
        </w:tc>
        <w:tc>
          <w:tcPr>
            <w:tcW w:w="3600" w:type="dxa"/>
          </w:tcPr>
          <w:p w:rsidRPr="0016671C" w:rsidR="00860D16" w:rsidRDefault="00860D16" w14:paraId="1B09B2D7"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details research funding allocations by research consortium and project costs related to each consortium. </w:t>
            </w:r>
            <w:r w:rsidRPr="0016671C">
              <w:rPr>
                <w:rFonts w:ascii="Palatino Linotype" w:hAnsi="Palatino Linotype"/>
                <w:b/>
                <w:color w:val="000000" w:themeColor="text1"/>
                <w:sz w:val="20"/>
                <w:szCs w:val="20"/>
              </w:rPr>
              <w:t>SoCalGas is compliant with this requirement.</w:t>
            </w:r>
          </w:p>
          <w:p w:rsidRPr="0016671C" w:rsidR="00860D16" w:rsidRDefault="00860D16" w14:paraId="5E1EB31A" w14:textId="77777777">
            <w:pPr>
              <w:rPr>
                <w:rFonts w:ascii="Palatino Linotype" w:hAnsi="Palatino Linotype"/>
                <w:bCs w:val="0"/>
                <w:color w:val="000000" w:themeColor="text1"/>
                <w:sz w:val="20"/>
                <w:szCs w:val="20"/>
              </w:rPr>
            </w:pPr>
          </w:p>
          <w:p w:rsidRPr="0016671C" w:rsidR="00860D16" w:rsidRDefault="00860D16" w14:paraId="5AC9D3D8" w14:textId="77777777">
            <w:pPr>
              <w:rPr>
                <w:rFonts w:ascii="Palatino Linotype" w:hAnsi="Palatino Linotype"/>
                <w:bCs w:val="0"/>
                <w:color w:val="000000" w:themeColor="text1"/>
                <w:sz w:val="20"/>
                <w:szCs w:val="20"/>
              </w:rPr>
            </w:pPr>
          </w:p>
        </w:tc>
      </w:tr>
      <w:tr w:rsidRPr="006F5335" w:rsidR="00860D16" w:rsidTr="00EE197B" w14:paraId="1E84DB18" w14:textId="77777777">
        <w:trPr>
          <w:trHeight w:val="638"/>
        </w:trPr>
        <w:tc>
          <w:tcPr>
            <w:tcW w:w="3744" w:type="dxa"/>
          </w:tcPr>
          <w:p w:rsidRPr="006F5335" w:rsidR="00860D16" w:rsidRDefault="00860D16" w14:paraId="6AE4FF66" w14:textId="77777777">
            <w:pPr>
              <w:rPr>
                <w:rFonts w:ascii="Palatino Linotype" w:hAnsi="Palatino Linotype"/>
                <w:i/>
                <w:iCs/>
                <w:sz w:val="20"/>
                <w:szCs w:val="20"/>
              </w:rPr>
            </w:pPr>
            <w:r w:rsidRPr="006F5335">
              <w:rPr>
                <w:rFonts w:ascii="Palatino Linotype" w:hAnsi="Palatino Linotype"/>
                <w:b/>
                <w:sz w:val="20"/>
                <w:szCs w:val="20"/>
              </w:rPr>
              <w:t xml:space="preserve">[14] </w:t>
            </w:r>
            <w:hyperlink r:id="rId75">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p. 34. </w:t>
            </w:r>
            <w:r w:rsidRPr="006F5335">
              <w:rPr>
                <w:rFonts w:ascii="Palatino Linotype" w:hAnsi="Palatino Linotype"/>
                <w:i/>
                <w:iCs/>
                <w:sz w:val="20"/>
                <w:szCs w:val="20"/>
              </w:rPr>
              <w:t>[</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xml:space="preserve"> shall allocate] $129,938 of [RD&amp;D] funds as a contribution of</w:t>
            </w:r>
          </w:p>
          <w:p w:rsidRPr="006F5335" w:rsidR="00860D16" w:rsidRDefault="00860D16" w14:paraId="6E26D7B9" w14:textId="77777777">
            <w:pPr>
              <w:rPr>
                <w:sz w:val="20"/>
                <w:szCs w:val="20"/>
              </w:rPr>
            </w:pPr>
            <w:r w:rsidRPr="006F5335">
              <w:rPr>
                <w:rFonts w:ascii="Palatino Linotype" w:hAnsi="Palatino Linotype"/>
                <w:i/>
                <w:iCs/>
                <w:sz w:val="20"/>
                <w:szCs w:val="20"/>
              </w:rPr>
              <w:t>its proportional share toward a comprehensive Gas RD&amp;D database.</w:t>
            </w:r>
          </w:p>
        </w:tc>
        <w:tc>
          <w:tcPr>
            <w:tcW w:w="6912" w:type="dxa"/>
          </w:tcPr>
          <w:p w:rsidRPr="0016671C" w:rsidR="00860D16" w:rsidRDefault="00860D16" w14:paraId="632ED528"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w:t>
            </w:r>
            <w:r w:rsidRPr="0016671C">
              <w:rPr>
                <w:rFonts w:ascii="Palatino Linotype" w:hAnsi="Palatino Linotype" w:eastAsia="Palatino Linotype" w:cs="Times New Roman"/>
                <w:color w:val="000000" w:themeColor="text1"/>
                <w:sz w:val="20"/>
                <w:szCs w:val="20"/>
              </w:rPr>
              <w:t xml:space="preserve">proposes to allocate </w:t>
            </w:r>
            <w:r w:rsidRPr="0016671C">
              <w:rPr>
                <w:rFonts w:ascii="Palatino Linotype" w:hAnsi="Palatino Linotype"/>
                <w:color w:val="000000" w:themeColor="text1"/>
                <w:sz w:val="20"/>
                <w:szCs w:val="20"/>
              </w:rPr>
              <w:t>$129,938</w:t>
            </w:r>
            <w:r w:rsidRPr="0016671C">
              <w:rPr>
                <w:rFonts w:ascii="Palatino Linotype" w:hAnsi="Palatino Linotype" w:eastAsia="Palatino Linotype" w:cs="Times New Roman"/>
                <w:color w:val="000000" w:themeColor="text1"/>
                <w:sz w:val="20"/>
                <w:szCs w:val="20"/>
              </w:rPr>
              <w:t xml:space="preserve"> in its 2024 Plan for its proportional share of a comprehensive Gas RD&amp;D Database.</w:t>
            </w:r>
            <w:r w:rsidRPr="0016671C">
              <w:rPr>
                <w:rStyle w:val="FootnoteReference"/>
                <w:rFonts w:ascii="Palatino Linotype" w:hAnsi="Palatino Linotype" w:eastAsia="Palatino Linotype" w:cs="Times New Roman"/>
                <w:color w:val="000000" w:themeColor="text1"/>
                <w:sz w:val="20"/>
                <w:szCs w:val="20"/>
              </w:rPr>
              <w:footnoteReference w:id="213"/>
            </w:r>
          </w:p>
        </w:tc>
        <w:tc>
          <w:tcPr>
            <w:tcW w:w="3600" w:type="dxa"/>
          </w:tcPr>
          <w:p w:rsidRPr="0016671C" w:rsidR="00860D16" w:rsidRDefault="00860D16" w14:paraId="16B4509A" w14:textId="77777777">
            <w:pPr>
              <w:rPr>
                <w:rFonts w:ascii="Palatino Linotype" w:hAnsi="Palatino Linotype"/>
                <w:color w:val="000000" w:themeColor="text1"/>
                <w:sz w:val="20"/>
                <w:szCs w:val="20"/>
              </w:rPr>
            </w:pPr>
            <w:r w:rsidRPr="0016671C">
              <w:rPr>
                <w:rFonts w:ascii="Palatino Linotype" w:hAnsi="Palatino Linotype"/>
                <w:color w:val="000000" w:themeColor="text1"/>
                <w:sz w:val="20"/>
                <w:szCs w:val="20"/>
              </w:rPr>
              <w:t xml:space="preserve">SoCalGas allocates its proportional share towards a comprehensive Gas RD&amp;D Database. </w:t>
            </w:r>
            <w:r w:rsidRPr="0016671C">
              <w:rPr>
                <w:rFonts w:ascii="Palatino Linotype" w:hAnsi="Palatino Linotype"/>
                <w:b/>
                <w:color w:val="000000" w:themeColor="text1"/>
                <w:sz w:val="20"/>
                <w:szCs w:val="20"/>
              </w:rPr>
              <w:t>SoCalGas is compliant with this requirement.</w:t>
            </w:r>
          </w:p>
        </w:tc>
      </w:tr>
      <w:tr w:rsidRPr="006F5335" w:rsidR="00860D16" w:rsidTr="00EE197B" w14:paraId="5F858267" w14:textId="77777777">
        <w:trPr>
          <w:trHeight w:val="638"/>
        </w:trPr>
        <w:tc>
          <w:tcPr>
            <w:tcW w:w="3744" w:type="dxa"/>
          </w:tcPr>
          <w:p w:rsidRPr="006F5335" w:rsidR="00860D16" w:rsidRDefault="00860D16" w14:paraId="69D5F591" w14:textId="77777777">
            <w:pPr>
              <w:rPr>
                <w:rFonts w:ascii="Palatino Linotype" w:hAnsi="Palatino Linotype"/>
                <w:i/>
                <w:iCs/>
                <w:sz w:val="20"/>
                <w:szCs w:val="20"/>
              </w:rPr>
            </w:pPr>
            <w:r w:rsidRPr="006F5335">
              <w:rPr>
                <w:rFonts w:ascii="Palatino Linotype" w:hAnsi="Palatino Linotype"/>
                <w:b/>
                <w:sz w:val="20"/>
                <w:szCs w:val="20"/>
              </w:rPr>
              <w:t xml:space="preserve">[15] </w:t>
            </w:r>
            <w:hyperlink r:id="rId76">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4. </w:t>
            </w:r>
            <w:r w:rsidRPr="006F5335">
              <w:rPr>
                <w:rFonts w:ascii="Palatino Linotype" w:hAnsi="Palatino Linotype"/>
                <w:i/>
                <w:iCs/>
                <w:sz w:val="20"/>
                <w:szCs w:val="20"/>
              </w:rPr>
              <w:t>[</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shall allocate 4% ($675,000) of its [RD&amp;D] funds to fund a</w:t>
            </w:r>
          </w:p>
          <w:p w:rsidRPr="006F5335" w:rsidR="00860D16" w:rsidRDefault="00860D16" w14:paraId="503AB150" w14:textId="77777777">
            <w:pPr>
              <w:rPr>
                <w:rFonts w:ascii="Palatino Linotype" w:hAnsi="Palatino Linotype"/>
                <w:sz w:val="20"/>
                <w:szCs w:val="20"/>
              </w:rPr>
            </w:pPr>
            <w:r w:rsidRPr="006F5335">
              <w:rPr>
                <w:rFonts w:ascii="Palatino Linotype" w:hAnsi="Palatino Linotype"/>
                <w:i/>
                <w:iCs/>
                <w:sz w:val="20"/>
                <w:szCs w:val="20"/>
              </w:rPr>
              <w:lastRenderedPageBreak/>
              <w:t>comprehensive evaluation of SoCalGas’ Gas RD&amp;D program to be implemented by Energy Division.</w:t>
            </w:r>
          </w:p>
        </w:tc>
        <w:tc>
          <w:tcPr>
            <w:tcW w:w="6912" w:type="dxa"/>
          </w:tcPr>
          <w:p w:rsidRPr="0016671C" w:rsidR="00860D16" w:rsidRDefault="00860D16" w14:paraId="76B12AA4" w14:textId="77777777">
            <w:pPr>
              <w:rPr>
                <w:rFonts w:ascii="Palatino Linotype" w:hAnsi="Palatino Linotype" w:eastAsia="Palatino Linotype" w:cs="Times New Roman"/>
                <w:bCs w:val="0"/>
                <w:color w:val="000000" w:themeColor="text1"/>
                <w:sz w:val="20"/>
                <w:szCs w:val="20"/>
              </w:rPr>
            </w:pPr>
            <w:r w:rsidRPr="0016671C">
              <w:rPr>
                <w:rFonts w:ascii="Palatino Linotype" w:hAnsi="Palatino Linotype"/>
                <w:color w:val="000000" w:themeColor="text1"/>
                <w:sz w:val="20"/>
                <w:szCs w:val="20"/>
              </w:rPr>
              <w:lastRenderedPageBreak/>
              <w:t>SoCalGas</w:t>
            </w:r>
            <w:r w:rsidRPr="0016671C">
              <w:rPr>
                <w:rFonts w:ascii="Palatino Linotype" w:hAnsi="Palatino Linotype" w:eastAsia="Palatino Linotype" w:cs="Times New Roman"/>
                <w:color w:val="000000" w:themeColor="text1"/>
                <w:sz w:val="20"/>
                <w:szCs w:val="20"/>
              </w:rPr>
              <w:t xml:space="preserve"> proposes to allocate $675,000 in its 2024 Plan for its proportional share of a comprehensive Gas RD&amp;D Program Evaluation to be conducted by Energy Division.</w:t>
            </w:r>
            <w:r w:rsidRPr="0016671C">
              <w:rPr>
                <w:rStyle w:val="FootnoteReference"/>
                <w:rFonts w:ascii="Palatino Linotype" w:hAnsi="Palatino Linotype" w:eastAsia="Palatino Linotype" w:cs="Times New Roman"/>
                <w:color w:val="000000" w:themeColor="text1"/>
                <w:sz w:val="20"/>
                <w:szCs w:val="20"/>
              </w:rPr>
              <w:footnoteReference w:id="214"/>
            </w:r>
          </w:p>
        </w:tc>
        <w:tc>
          <w:tcPr>
            <w:tcW w:w="3600" w:type="dxa"/>
          </w:tcPr>
          <w:p w:rsidRPr="0016671C" w:rsidR="00860D16" w:rsidRDefault="00860D16" w14:paraId="05BDDAF4"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allocates its proportional share towards a comprehensive Program Evaluation. </w:t>
            </w:r>
            <w:r w:rsidRPr="0016671C">
              <w:rPr>
                <w:rFonts w:ascii="Palatino Linotype" w:hAnsi="Palatino Linotype"/>
                <w:b/>
                <w:color w:val="000000" w:themeColor="text1"/>
                <w:sz w:val="20"/>
                <w:szCs w:val="20"/>
              </w:rPr>
              <w:t>SoCalGas is compliant with this requirement.</w:t>
            </w:r>
          </w:p>
        </w:tc>
      </w:tr>
      <w:tr w:rsidRPr="006F5335" w:rsidR="00860D16" w:rsidTr="00EE197B" w14:paraId="3099C7B5" w14:textId="77777777">
        <w:trPr>
          <w:trHeight w:val="638"/>
        </w:trPr>
        <w:tc>
          <w:tcPr>
            <w:tcW w:w="3744" w:type="dxa"/>
          </w:tcPr>
          <w:p w:rsidRPr="006F5335" w:rsidR="00860D16" w:rsidRDefault="00860D16" w14:paraId="1FE8995D" w14:textId="77777777">
            <w:pPr>
              <w:rPr>
                <w:rFonts w:ascii="Palatino Linotype" w:hAnsi="Palatino Linotype"/>
                <w:i/>
                <w:iCs/>
                <w:sz w:val="20"/>
                <w:szCs w:val="20"/>
              </w:rPr>
            </w:pPr>
            <w:r w:rsidRPr="006F5335">
              <w:rPr>
                <w:rFonts w:ascii="Palatino Linotype" w:hAnsi="Palatino Linotype"/>
                <w:b/>
                <w:sz w:val="20"/>
                <w:szCs w:val="20"/>
              </w:rPr>
              <w:t xml:space="preserve">[16] </w:t>
            </w:r>
            <w:hyperlink r:id="rId77">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5. </w:t>
            </w:r>
            <w:proofErr w:type="gramStart"/>
            <w:r w:rsidRPr="006F5335">
              <w:rPr>
                <w:rFonts w:ascii="Palatino Linotype" w:hAnsi="Palatino Linotype"/>
                <w:i/>
                <w:iCs/>
                <w:sz w:val="20"/>
                <w:szCs w:val="20"/>
              </w:rPr>
              <w:t>All of</w:t>
            </w:r>
            <w:proofErr w:type="gramEnd"/>
            <w:r w:rsidRPr="006F5335">
              <w:rPr>
                <w:rFonts w:ascii="Palatino Linotype" w:hAnsi="Palatino Linotype"/>
                <w:i/>
                <w:iCs/>
                <w:sz w:val="20"/>
                <w:szCs w:val="20"/>
              </w:rPr>
              <w:t xml:space="preserve"> Southern California Gas Company’s new and future [RD&amp;D] projects shall occur in the State of California. The only exception may be made for projects with out-of-state federal labs. In this case, SoCalGas shall explicitly justify benefits to its gas ratepayers of an out-of-state project in its Tier 3 Advice Letter annual plan.</w:t>
            </w:r>
          </w:p>
        </w:tc>
        <w:tc>
          <w:tcPr>
            <w:tcW w:w="6912" w:type="dxa"/>
          </w:tcPr>
          <w:p w:rsidRPr="0016671C" w:rsidR="00860D16" w:rsidRDefault="00860D16" w14:paraId="3950467F"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states that it “includes a step in its project selection process to validate a project’s location in California. In addition, SoCalGas hosts demonstrations of new technologies within the state of California, bringing outside investment into California and supporting local economies.”</w:t>
            </w:r>
            <w:r w:rsidRPr="0016671C">
              <w:rPr>
                <w:rStyle w:val="FootnoteReference"/>
                <w:rFonts w:ascii="Palatino Linotype" w:hAnsi="Palatino Linotype"/>
                <w:color w:val="000000" w:themeColor="text1"/>
                <w:sz w:val="20"/>
                <w:szCs w:val="20"/>
              </w:rPr>
              <w:footnoteReference w:id="215"/>
            </w:r>
          </w:p>
        </w:tc>
        <w:tc>
          <w:tcPr>
            <w:tcW w:w="3600" w:type="dxa"/>
          </w:tcPr>
          <w:p w:rsidRPr="0016671C" w:rsidR="00860D16" w:rsidRDefault="00860D16" w14:paraId="57AD5B70" w14:textId="77777777">
            <w:pPr>
              <w:rPr>
                <w:rFonts w:ascii="Palatino Linotype" w:hAnsi="Palatino Linotype"/>
                <w:b/>
                <w:bCs w:val="0"/>
                <w:color w:val="000000" w:themeColor="text1"/>
                <w:sz w:val="20"/>
                <w:szCs w:val="20"/>
              </w:rPr>
            </w:pPr>
            <w:r w:rsidRPr="0016671C">
              <w:rPr>
                <w:rFonts w:ascii="Palatino Linotype" w:hAnsi="Palatino Linotype"/>
                <w:color w:val="000000" w:themeColor="text1"/>
                <w:sz w:val="20"/>
                <w:szCs w:val="20"/>
              </w:rPr>
              <w:t xml:space="preserve">SoCalGas demonstrates that all projects will take place in the State of California </w:t>
            </w:r>
            <w:r w:rsidRPr="0016671C">
              <w:rPr>
                <w:rFonts w:ascii="Palatino Linotype" w:hAnsi="Palatino Linotype" w:eastAsia="Palatino Linotype" w:cs="Palatino Linotype"/>
                <w:color w:val="000000" w:themeColor="text1"/>
                <w:sz w:val="20"/>
                <w:szCs w:val="20"/>
              </w:rPr>
              <w:t>and describes general benefits from consortia projects</w:t>
            </w:r>
            <w:r w:rsidRPr="0016671C">
              <w:rPr>
                <w:rFonts w:ascii="Palatino Linotype" w:hAnsi="Palatino Linotype"/>
                <w:color w:val="000000" w:themeColor="text1"/>
                <w:sz w:val="20"/>
                <w:szCs w:val="20"/>
              </w:rPr>
              <w:t>.</w:t>
            </w:r>
            <w:r w:rsidRPr="0016671C">
              <w:rPr>
                <w:rFonts w:ascii="Palatino Linotype" w:hAnsi="Palatino Linotype"/>
                <w:b/>
                <w:color w:val="000000" w:themeColor="text1"/>
                <w:sz w:val="20"/>
                <w:szCs w:val="20"/>
              </w:rPr>
              <w:t xml:space="preserve"> SoCalGas is compliant with this requirement.</w:t>
            </w:r>
          </w:p>
        </w:tc>
      </w:tr>
      <w:tr w:rsidRPr="006F5335" w:rsidR="00860D16" w:rsidTr="00EE197B" w14:paraId="4CDC4311" w14:textId="77777777">
        <w:trPr>
          <w:trHeight w:val="638"/>
        </w:trPr>
        <w:tc>
          <w:tcPr>
            <w:tcW w:w="3744" w:type="dxa"/>
          </w:tcPr>
          <w:p w:rsidRPr="006F5335" w:rsidR="00860D16" w:rsidRDefault="00860D16" w14:paraId="168F3370" w14:textId="77777777">
            <w:pPr>
              <w:rPr>
                <w:rFonts w:ascii="Palatino Linotype" w:hAnsi="Palatino Linotype"/>
                <w:i/>
                <w:iCs/>
                <w:color w:val="000000" w:themeColor="text1"/>
                <w:sz w:val="20"/>
                <w:szCs w:val="20"/>
              </w:rPr>
            </w:pPr>
            <w:r w:rsidRPr="006F5335">
              <w:rPr>
                <w:rFonts w:ascii="Palatino Linotype" w:hAnsi="Palatino Linotype"/>
                <w:b/>
                <w:color w:val="000000" w:themeColor="text1"/>
                <w:sz w:val="20"/>
                <w:szCs w:val="20"/>
              </w:rPr>
              <w:t>[17]</w:t>
            </w:r>
            <w:r w:rsidRPr="006F5335">
              <w:rPr>
                <w:rFonts w:ascii="Palatino Linotype" w:hAnsi="Palatino Linotype"/>
                <w:color w:val="000000" w:themeColor="text1"/>
                <w:sz w:val="20"/>
                <w:szCs w:val="20"/>
              </w:rPr>
              <w:t xml:space="preserve"> </w:t>
            </w:r>
            <w:hyperlink r:id="rId78">
              <w:r w:rsidRPr="006F5335">
                <w:rPr>
                  <w:rStyle w:val="Hyperlink"/>
                  <w:rFonts w:ascii="Palatino Linotype" w:hAnsi="Palatino Linotype"/>
                  <w:sz w:val="20"/>
                  <w:szCs w:val="20"/>
                </w:rPr>
                <w:t>Resolution G-3601</w:t>
              </w:r>
            </w:hyperlink>
            <w:r w:rsidRPr="006F5335">
              <w:rPr>
                <w:rFonts w:ascii="Palatino Linotype" w:hAnsi="Palatino Linotype"/>
                <w:color w:val="000000" w:themeColor="text1"/>
                <w:sz w:val="20"/>
                <w:szCs w:val="20"/>
              </w:rPr>
              <w:t xml:space="preserve"> (2023) at OP 6. </w:t>
            </w:r>
            <w:r w:rsidRPr="006F5335">
              <w:rPr>
                <w:rFonts w:ascii="Palatino Linotype" w:hAnsi="Palatino Linotype"/>
                <w:i/>
                <w:iCs/>
                <w:color w:val="000000" w:themeColor="text1"/>
                <w:sz w:val="20"/>
                <w:szCs w:val="20"/>
              </w:rPr>
              <w:t xml:space="preserve">In its 2024 </w:t>
            </w:r>
            <w:proofErr w:type="gramStart"/>
            <w:r w:rsidRPr="006F5335">
              <w:rPr>
                <w:rFonts w:ascii="Palatino Linotype" w:hAnsi="Palatino Linotype"/>
                <w:i/>
                <w:iCs/>
                <w:color w:val="000000" w:themeColor="text1"/>
                <w:sz w:val="20"/>
                <w:szCs w:val="20"/>
              </w:rPr>
              <w:t>Gas [RD&amp;D]</w:t>
            </w:r>
            <w:proofErr w:type="gramEnd"/>
            <w:r w:rsidRPr="006F5335">
              <w:rPr>
                <w:rFonts w:ascii="Palatino Linotype" w:hAnsi="Palatino Linotype"/>
                <w:i/>
                <w:iCs/>
                <w:color w:val="000000" w:themeColor="text1"/>
                <w:sz w:val="20"/>
                <w:szCs w:val="20"/>
              </w:rPr>
              <w:t xml:space="preserve"> Plan and beyond, [SoCalGas] shall: a. Meet with Energy Division at least six weeks ahead of submitting its annual RD&amp;D Plan to present its proposed Plan and incorporate Energy Division feedback. At that time SoCalGas’ proposed Plan should reflect input from RD&amp;D administrator coordination and broad stakeholders including the research and ESJ communities.</w:t>
            </w:r>
          </w:p>
          <w:p w:rsidRPr="006F5335" w:rsidR="00860D16" w:rsidRDefault="00860D16" w14:paraId="0EB50A82" w14:textId="77777777">
            <w:pPr>
              <w:rPr>
                <w:rFonts w:ascii="Palatino Linotype" w:hAnsi="Palatino Linotype"/>
                <w:i/>
                <w:iCs/>
                <w:color w:val="000000" w:themeColor="text1"/>
                <w:sz w:val="20"/>
                <w:szCs w:val="20"/>
              </w:rPr>
            </w:pPr>
          </w:p>
          <w:p w:rsidRPr="006F5335" w:rsidR="00860D16" w:rsidRDefault="00860D16" w14:paraId="5260E741" w14:textId="77777777">
            <w:pPr>
              <w:rPr>
                <w:rFonts w:ascii="Palatino Linotype" w:hAnsi="Palatino Linotype"/>
                <w:color w:val="000000" w:themeColor="text1"/>
                <w:sz w:val="20"/>
                <w:szCs w:val="20"/>
              </w:rPr>
            </w:pPr>
            <w:r w:rsidRPr="006F5335">
              <w:rPr>
                <w:rFonts w:ascii="Palatino Linotype" w:hAnsi="Palatino Linotype"/>
                <w:color w:val="000000" w:themeColor="text1"/>
                <w:sz w:val="20"/>
                <w:szCs w:val="20"/>
              </w:rPr>
              <w:lastRenderedPageBreak/>
              <w:t xml:space="preserve">See </w:t>
            </w:r>
            <w:r w:rsidRPr="0016671C">
              <w:rPr>
                <w:rFonts w:ascii="Palatino Linotype" w:hAnsi="Palatino Linotype"/>
                <w:color w:val="000000" w:themeColor="text1"/>
                <w:sz w:val="20"/>
                <w:szCs w:val="20"/>
              </w:rPr>
              <w:t>also: [6] on ratepayer benefit; [20</w:t>
            </w:r>
            <w:r w:rsidRPr="006F5335">
              <w:rPr>
                <w:rFonts w:ascii="Palatino Linotype" w:hAnsi="Palatino Linotype"/>
                <w:color w:val="000000" w:themeColor="text1"/>
                <w:sz w:val="20"/>
                <w:szCs w:val="20"/>
              </w:rPr>
              <w:t>] on integration of public stakeholder feedback; and [25] for gas RD&amp;D administrator coordination.</w:t>
            </w:r>
          </w:p>
        </w:tc>
        <w:tc>
          <w:tcPr>
            <w:tcW w:w="6912" w:type="dxa"/>
          </w:tcPr>
          <w:p w:rsidRPr="0016671C" w:rsidR="00860D16" w:rsidRDefault="00860D16" w14:paraId="6A949422"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SoCalGas provides feedback received from Energy Division for each Initiative,</w:t>
            </w:r>
            <w:r w:rsidRPr="0016671C">
              <w:rPr>
                <w:rStyle w:val="FootnoteReference"/>
                <w:rFonts w:ascii="Palatino Linotype" w:hAnsi="Palatino Linotype"/>
                <w:color w:val="000000" w:themeColor="text1"/>
                <w:sz w:val="20"/>
                <w:szCs w:val="20"/>
              </w:rPr>
              <w:footnoteReference w:id="216"/>
            </w:r>
            <w:r w:rsidRPr="0016671C">
              <w:rPr>
                <w:rFonts w:ascii="Palatino Linotype" w:hAnsi="Palatino Linotype"/>
                <w:color w:val="000000" w:themeColor="text1"/>
                <w:sz w:val="20"/>
                <w:szCs w:val="20"/>
              </w:rPr>
              <w:t xml:space="preserve"> including Section 4.1: Summary of Research Plan Development with incorporation of stakeholder feedback.</w:t>
            </w:r>
            <w:r w:rsidRPr="0016671C">
              <w:rPr>
                <w:rStyle w:val="FootnoteReference"/>
                <w:rFonts w:ascii="Palatino Linotype" w:hAnsi="Palatino Linotype"/>
                <w:color w:val="000000" w:themeColor="text1"/>
                <w:sz w:val="20"/>
                <w:szCs w:val="20"/>
              </w:rPr>
              <w:footnoteReference w:id="217"/>
            </w:r>
            <w:r w:rsidRPr="0016671C">
              <w:rPr>
                <w:rFonts w:ascii="Palatino Linotype" w:hAnsi="Palatino Linotype"/>
                <w:color w:val="000000" w:themeColor="text1"/>
                <w:sz w:val="20"/>
                <w:szCs w:val="20"/>
              </w:rPr>
              <w:t xml:space="preserve"> SoCalGas states that on March 27, 2025, and May 8, 2025, SoCalGas presented its proposed Plan to Energy Division staff, incorporating feedback from both the CPUC and stakeholders,</w:t>
            </w:r>
            <w:r w:rsidRPr="0016671C">
              <w:rPr>
                <w:rStyle w:val="FootnoteReference"/>
                <w:rFonts w:ascii="Palatino Linotype" w:hAnsi="Palatino Linotype"/>
                <w:color w:val="000000" w:themeColor="text1"/>
                <w:sz w:val="20"/>
                <w:szCs w:val="20"/>
              </w:rPr>
              <w:footnoteReference w:id="218"/>
            </w:r>
            <w:r w:rsidRPr="0016671C">
              <w:rPr>
                <w:rFonts w:ascii="Palatino Linotype" w:hAnsi="Palatino Linotype"/>
                <w:color w:val="000000" w:themeColor="text1"/>
                <w:sz w:val="20"/>
                <w:szCs w:val="20"/>
              </w:rPr>
              <w:t xml:space="preserve"> and details its specific CPUC subject matter expert (SME) engagement schedule from November 2024 to March 2026.</w:t>
            </w:r>
            <w:r w:rsidRPr="0016671C">
              <w:rPr>
                <w:rStyle w:val="FootnoteReference"/>
                <w:rFonts w:ascii="Palatino Linotype" w:hAnsi="Palatino Linotype"/>
                <w:color w:val="000000" w:themeColor="text1"/>
                <w:sz w:val="20"/>
                <w:szCs w:val="20"/>
              </w:rPr>
              <w:footnoteReference w:id="219"/>
            </w:r>
            <w:r w:rsidRPr="0016671C">
              <w:rPr>
                <w:rFonts w:ascii="Palatino Linotype" w:hAnsi="Palatino Linotype"/>
                <w:color w:val="000000" w:themeColor="text1"/>
                <w:sz w:val="20"/>
                <w:szCs w:val="20"/>
              </w:rPr>
              <w:t xml:space="preserve"> </w:t>
            </w:r>
          </w:p>
          <w:p w:rsidRPr="0016671C" w:rsidR="00860D16" w:rsidRDefault="00860D16" w14:paraId="6103CF4A" w14:textId="77777777">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divides its proposed Initiatives into two key investment themes consistent across Gas RD&amp;D administrators</w:t>
            </w:r>
            <w:r w:rsidRPr="0016671C">
              <w:rPr>
                <w:rStyle w:val="FootnoteReference"/>
                <w:rFonts w:ascii="Palatino Linotype" w:hAnsi="Palatino Linotype"/>
                <w:color w:val="000000" w:themeColor="text1"/>
                <w:sz w:val="20"/>
                <w:szCs w:val="20"/>
              </w:rPr>
              <w:footnoteReference w:id="220"/>
            </w:r>
            <w:r w:rsidRPr="0016671C">
              <w:rPr>
                <w:rFonts w:ascii="Palatino Linotype" w:hAnsi="Palatino Linotype"/>
                <w:color w:val="000000" w:themeColor="text1"/>
                <w:sz w:val="20"/>
                <w:szCs w:val="20"/>
              </w:rPr>
              <w:t xml:space="preserve"> and correlates each Initiative with key CPUC policies and proceedings and associated gaps in each area per Commission guidance.</w:t>
            </w:r>
            <w:r w:rsidRPr="0016671C">
              <w:rPr>
                <w:rStyle w:val="FootnoteReference"/>
                <w:rFonts w:ascii="Palatino Linotype" w:hAnsi="Palatino Linotype"/>
                <w:color w:val="000000" w:themeColor="text1"/>
                <w:sz w:val="20"/>
                <w:szCs w:val="20"/>
              </w:rPr>
              <w:footnoteReference w:id="221"/>
            </w:r>
            <w:r w:rsidRPr="0016671C">
              <w:rPr>
                <w:rFonts w:ascii="Palatino Linotype" w:hAnsi="Palatino Linotype"/>
                <w:color w:val="000000" w:themeColor="text1"/>
                <w:sz w:val="20"/>
                <w:szCs w:val="20"/>
              </w:rPr>
              <w:t xml:space="preserve"> SoCalGas states that it incorporated feedback from Commission staff in developing initiatives and identifying areas of </w:t>
            </w:r>
            <w:r w:rsidRPr="0016671C">
              <w:rPr>
                <w:rFonts w:ascii="Palatino Linotype" w:hAnsi="Palatino Linotype"/>
                <w:color w:val="000000" w:themeColor="text1"/>
                <w:sz w:val="20"/>
                <w:szCs w:val="20"/>
              </w:rPr>
              <w:lastRenderedPageBreak/>
              <w:t>focus for future research activities,</w:t>
            </w:r>
            <w:r w:rsidRPr="0016671C">
              <w:rPr>
                <w:rStyle w:val="FootnoteReference"/>
                <w:rFonts w:ascii="Palatino Linotype" w:hAnsi="Palatino Linotype"/>
                <w:color w:val="000000" w:themeColor="text1"/>
                <w:sz w:val="20"/>
                <w:szCs w:val="20"/>
              </w:rPr>
              <w:footnoteReference w:id="222"/>
            </w:r>
            <w:r w:rsidRPr="0016671C">
              <w:rPr>
                <w:rFonts w:ascii="Palatino Linotype" w:hAnsi="Palatino Linotype"/>
                <w:color w:val="000000" w:themeColor="text1"/>
                <w:sz w:val="20"/>
                <w:szCs w:val="20"/>
              </w:rPr>
              <w:t xml:space="preserve"> including by removing a proposed Operational Support Equipment Initiative and developing new Initiatives and Research Topics focused on lowering RNG procurement and interconnection costs per Commission staff guidance. SoCalGas reports that Energy Division staff provided the following initiative-level feedback/recommendations: </w:t>
            </w:r>
          </w:p>
          <w:p w:rsidRPr="0016671C" w:rsidR="00860D16" w:rsidP="00860D16" w:rsidRDefault="00860D16" w14:paraId="6A343C25" w14:textId="77777777">
            <w:pPr>
              <w:pStyle w:val="ListParagraph"/>
              <w:numPr>
                <w:ilvl w:val="0"/>
                <w:numId w:val="40"/>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System Inspection and Monitoring</w:t>
            </w:r>
            <w:r w:rsidRPr="0016671C">
              <w:rPr>
                <w:rFonts w:ascii="Palatino Linotype" w:hAnsi="Palatino Linotype"/>
                <w:color w:val="000000" w:themeColor="text1"/>
                <w:sz w:val="20"/>
                <w:szCs w:val="20"/>
              </w:rPr>
              <w:t>: Clarify which operating group this initiative supports, to which SoCalGas responded all three (transmission, storage, and distribution).</w:t>
            </w:r>
            <w:r w:rsidRPr="0016671C">
              <w:rPr>
                <w:rStyle w:val="FootnoteReference"/>
                <w:rFonts w:ascii="Palatino Linotype" w:hAnsi="Palatino Linotype"/>
                <w:color w:val="000000" w:themeColor="text1"/>
                <w:sz w:val="20"/>
                <w:szCs w:val="20"/>
              </w:rPr>
              <w:footnoteReference w:id="223"/>
            </w:r>
          </w:p>
          <w:p w:rsidRPr="0016671C" w:rsidR="00860D16" w:rsidP="00860D16" w:rsidRDefault="00860D16" w14:paraId="70F457B7" w14:textId="77777777">
            <w:pPr>
              <w:pStyle w:val="ListParagraph"/>
              <w:numPr>
                <w:ilvl w:val="0"/>
                <w:numId w:val="40"/>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RNG Infrastructure Optimization</w:t>
            </w:r>
            <w:r w:rsidRPr="0016671C">
              <w:rPr>
                <w:rFonts w:ascii="Palatino Linotype" w:hAnsi="Palatino Linotype"/>
                <w:color w:val="000000" w:themeColor="text1"/>
                <w:sz w:val="20"/>
                <w:szCs w:val="20"/>
              </w:rPr>
              <w:t xml:space="preserve"> &amp; </w:t>
            </w:r>
            <w:r w:rsidRPr="0016671C">
              <w:rPr>
                <w:rFonts w:ascii="Palatino Linotype" w:hAnsi="Palatino Linotype"/>
                <w:color w:val="000000" w:themeColor="text1"/>
                <w:sz w:val="20"/>
                <w:szCs w:val="20"/>
                <w:u w:val="single"/>
              </w:rPr>
              <w:t>Low-Carbon Fuel Technologies</w:t>
            </w:r>
            <w:r w:rsidRPr="0016671C">
              <w:rPr>
                <w:rFonts w:ascii="Palatino Linotype" w:hAnsi="Palatino Linotype"/>
                <w:color w:val="000000" w:themeColor="text1"/>
                <w:sz w:val="20"/>
                <w:szCs w:val="20"/>
              </w:rPr>
              <w:t>: “Demonstrate coordination with stakeholders and other administrators</w:t>
            </w:r>
            <w:r w:rsidRPr="0016671C">
              <w:rPr>
                <w:color w:val="000000" w:themeColor="text1"/>
              </w:rPr>
              <w:t xml:space="preserve"> </w:t>
            </w:r>
            <w:r w:rsidRPr="0016671C">
              <w:rPr>
                <w:rFonts w:ascii="Palatino Linotype" w:hAnsi="Palatino Linotype"/>
                <w:color w:val="000000" w:themeColor="text1"/>
                <w:sz w:val="20"/>
                <w:szCs w:val="20"/>
              </w:rPr>
              <w:t>in targeting solutions to reduce costs including interconnections, and capital expenses using different technologies.”</w:t>
            </w:r>
            <w:r w:rsidRPr="0016671C">
              <w:rPr>
                <w:rStyle w:val="FootnoteReference"/>
                <w:rFonts w:ascii="Palatino Linotype" w:hAnsi="Palatino Linotype"/>
                <w:color w:val="000000" w:themeColor="text1"/>
                <w:sz w:val="20"/>
                <w:szCs w:val="20"/>
              </w:rPr>
              <w:footnoteReference w:id="224"/>
            </w:r>
          </w:p>
          <w:p w:rsidRPr="0016671C" w:rsidR="00860D16" w:rsidP="00860D16" w:rsidRDefault="00860D16" w14:paraId="68D6067B" w14:textId="77777777">
            <w:pPr>
              <w:pStyle w:val="ListParagraph"/>
              <w:numPr>
                <w:ilvl w:val="0"/>
                <w:numId w:val="40"/>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Gas &amp; Energy Storage</w:t>
            </w:r>
            <w:r w:rsidRPr="0016671C">
              <w:rPr>
                <w:rFonts w:ascii="Palatino Linotype" w:hAnsi="Palatino Linotype"/>
                <w:color w:val="000000" w:themeColor="text1"/>
                <w:sz w:val="20"/>
                <w:szCs w:val="20"/>
              </w:rPr>
              <w:t>: “Demonstrate coordination with stakeholders and other administrators</w:t>
            </w:r>
            <w:r w:rsidRPr="0016671C">
              <w:rPr>
                <w:color w:val="000000" w:themeColor="text1"/>
              </w:rPr>
              <w:t xml:space="preserve"> </w:t>
            </w:r>
            <w:r w:rsidRPr="0016671C">
              <w:rPr>
                <w:rFonts w:ascii="Palatino Linotype" w:hAnsi="Palatino Linotype"/>
                <w:color w:val="000000" w:themeColor="text1"/>
                <w:sz w:val="20"/>
                <w:szCs w:val="20"/>
              </w:rPr>
              <w:t>in targeting solutions to reduce costs and capital expenses using different technologies.”</w:t>
            </w:r>
            <w:r w:rsidRPr="0016671C">
              <w:rPr>
                <w:rStyle w:val="FootnoteReference"/>
                <w:rFonts w:ascii="Palatino Linotype" w:hAnsi="Palatino Linotype"/>
                <w:color w:val="000000" w:themeColor="text1"/>
                <w:sz w:val="20"/>
                <w:szCs w:val="20"/>
              </w:rPr>
              <w:footnoteReference w:id="225"/>
            </w:r>
          </w:p>
        </w:tc>
        <w:tc>
          <w:tcPr>
            <w:tcW w:w="3600" w:type="dxa"/>
          </w:tcPr>
          <w:p w:rsidRPr="0016671C" w:rsidR="00860D16" w:rsidRDefault="00860D16" w14:paraId="75C39863" w14:textId="7C23273E">
            <w:pPr>
              <w:rPr>
                <w:rFonts w:ascii="Palatino Linotype" w:hAnsi="Palatino Linotype"/>
                <w:color w:val="000000" w:themeColor="text1"/>
                <w:sz w:val="20"/>
                <w:szCs w:val="20"/>
              </w:rPr>
            </w:pPr>
            <w:r w:rsidRPr="0016671C">
              <w:rPr>
                <w:rFonts w:ascii="Palatino Linotype" w:hAnsi="Palatino Linotype"/>
                <w:color w:val="000000" w:themeColor="text1"/>
                <w:sz w:val="20"/>
                <w:szCs w:val="20"/>
              </w:rPr>
              <w:lastRenderedPageBreak/>
              <w:t>SoCalGas met with Energy Division in advance of submitting its 2024 Plan to seek and integrate feedback. Its Plan is consistent with Energy Division guidance by targeting lowering RNG interconnection cost in its Low-Carbon Fuels Technologies Initiative.</w:t>
            </w:r>
            <w:r w:rsidRPr="0016671C">
              <w:rPr>
                <w:rStyle w:val="FootnoteReference"/>
                <w:rFonts w:ascii="Palatino Linotype" w:hAnsi="Palatino Linotype"/>
                <w:color w:val="000000" w:themeColor="text1"/>
                <w:sz w:val="20"/>
                <w:szCs w:val="20"/>
              </w:rPr>
              <w:footnoteReference w:id="226"/>
            </w:r>
            <w:r w:rsidRPr="0016671C">
              <w:rPr>
                <w:rFonts w:ascii="Palatino Linotype" w:hAnsi="Palatino Linotype"/>
                <w:color w:val="000000" w:themeColor="text1"/>
                <w:sz w:val="20"/>
                <w:szCs w:val="20"/>
              </w:rPr>
              <w:t xml:space="preserve"> However, SoCalGas’ requests for hydrogen- and carbon capture-related RD&amp;D activities do not align with Energy Division feedback and Commission policy to align with CPUC proceedings and provide clear ratepayer benefit as </w:t>
            </w:r>
            <w:r w:rsidRPr="0016671C">
              <w:rPr>
                <w:rFonts w:ascii="Palatino Linotype" w:hAnsi="Palatino Linotype"/>
                <w:color w:val="000000" w:themeColor="text1"/>
                <w:sz w:val="20"/>
                <w:szCs w:val="20"/>
              </w:rPr>
              <w:lastRenderedPageBreak/>
              <w:t xml:space="preserve">discussed at [6]. </w:t>
            </w:r>
            <w:r w:rsidRPr="0016671C">
              <w:rPr>
                <w:rFonts w:ascii="Palatino Linotype" w:hAnsi="Palatino Linotype"/>
                <w:b/>
                <w:color w:val="000000" w:themeColor="text1"/>
                <w:sz w:val="20"/>
                <w:szCs w:val="20"/>
              </w:rPr>
              <w:t xml:space="preserve">SoCalGas is </w:t>
            </w:r>
            <w:r w:rsidRPr="0016671C">
              <w:rPr>
                <w:rFonts w:ascii="Palatino Linotype" w:hAnsi="Palatino Linotype"/>
                <w:b/>
                <w:i/>
                <w:iCs/>
                <w:color w:val="000000" w:themeColor="text1"/>
                <w:sz w:val="20"/>
                <w:szCs w:val="20"/>
              </w:rPr>
              <w:t>not</w:t>
            </w:r>
            <w:r w:rsidRPr="0016671C">
              <w:rPr>
                <w:rFonts w:ascii="Palatino Linotype" w:hAnsi="Palatino Linotype"/>
                <w:b/>
                <w:color w:val="000000" w:themeColor="text1"/>
                <w:sz w:val="20"/>
                <w:szCs w:val="20"/>
              </w:rPr>
              <w:t xml:space="preserve"> compliant with this requirement.</w:t>
            </w:r>
          </w:p>
          <w:p w:rsidRPr="0016671C" w:rsidR="00860D16" w:rsidRDefault="00860D16" w14:paraId="6BBA09E5" w14:textId="342C6055">
            <w:pPr>
              <w:spacing w:before="240"/>
              <w:rPr>
                <w:rFonts w:ascii="Palatino Linotype" w:hAnsi="Palatino Linotype"/>
                <w:color w:val="000000" w:themeColor="text1"/>
                <w:sz w:val="20"/>
                <w:szCs w:val="20"/>
              </w:rPr>
            </w:pPr>
            <w:r w:rsidRPr="0016671C">
              <w:rPr>
                <w:rFonts w:ascii="Palatino Linotype" w:hAnsi="Palatino Linotype"/>
                <w:color w:val="000000" w:themeColor="text1"/>
                <w:sz w:val="20"/>
                <w:szCs w:val="20"/>
              </w:rPr>
              <w:t>SoCalGas shall also make the following revisions to its 2024 Plan to provide greater clarity to align with requirements:</w:t>
            </w:r>
          </w:p>
          <w:p w:rsidRPr="0016671C" w:rsidR="00860D16" w:rsidP="00860D16" w:rsidRDefault="00860D16" w14:paraId="5B1A80D0" w14:textId="77777777">
            <w:pPr>
              <w:pStyle w:val="ListParagraph"/>
              <w:numPr>
                <w:ilvl w:val="0"/>
                <w:numId w:val="53"/>
              </w:numPr>
              <w:rPr>
                <w:rFonts w:ascii="Palatino Linotype" w:hAnsi="Palatino Linotype"/>
                <w:color w:val="000000" w:themeColor="text1"/>
                <w:sz w:val="20"/>
                <w:szCs w:val="20"/>
              </w:rPr>
            </w:pPr>
            <w:r w:rsidRPr="0016671C">
              <w:rPr>
                <w:rFonts w:ascii="Palatino Linotype" w:hAnsi="Palatino Linotype"/>
                <w:color w:val="000000" w:themeColor="text1"/>
                <w:sz w:val="20"/>
                <w:szCs w:val="20"/>
              </w:rPr>
              <w:t xml:space="preserve">Indicate the program area across the product development cycle detailed in Appendix D of this Resolution associated with each listed research topic for further clarity on anticipated outputs from Initiatives. </w:t>
            </w:r>
          </w:p>
          <w:p w:rsidRPr="0016671C" w:rsidR="00860D16" w:rsidP="00860D16" w:rsidRDefault="00860D16" w14:paraId="22CC97B0" w14:textId="77777777">
            <w:pPr>
              <w:pStyle w:val="ListParagraph"/>
              <w:numPr>
                <w:ilvl w:val="0"/>
                <w:numId w:val="53"/>
              </w:numPr>
              <w:rPr>
                <w:rFonts w:ascii="Palatino Linotype" w:hAnsi="Palatino Linotype"/>
                <w:color w:val="000000" w:themeColor="text1"/>
                <w:sz w:val="20"/>
                <w:szCs w:val="20"/>
              </w:rPr>
            </w:pPr>
            <w:r w:rsidRPr="0016671C">
              <w:rPr>
                <w:rFonts w:ascii="Palatino Linotype" w:hAnsi="Palatino Linotype"/>
                <w:color w:val="000000" w:themeColor="text1"/>
                <w:sz w:val="20"/>
                <w:szCs w:val="20"/>
              </w:rPr>
              <w:t xml:space="preserve">Identify which of the proposed future project areas are anticipated to be funded through consortia. </w:t>
            </w:r>
          </w:p>
          <w:p w:rsidRPr="0016671C" w:rsidR="00860D16" w:rsidP="00860D16" w:rsidRDefault="00860D16" w14:paraId="1DE3F289" w14:textId="77777777">
            <w:pPr>
              <w:pStyle w:val="ListParagraph"/>
              <w:numPr>
                <w:ilvl w:val="0"/>
                <w:numId w:val="53"/>
              </w:numPr>
              <w:rPr>
                <w:rFonts w:ascii="Palatino Linotype" w:hAnsi="Palatino Linotype"/>
                <w:color w:val="000000" w:themeColor="text1"/>
                <w:sz w:val="20"/>
                <w:szCs w:val="20"/>
              </w:rPr>
            </w:pPr>
            <w:r w:rsidRPr="0016671C">
              <w:rPr>
                <w:rFonts w:ascii="Palatino Linotype" w:hAnsi="Palatino Linotype" w:eastAsiaTheme="minorEastAsia"/>
                <w:color w:val="000000" w:themeColor="text1"/>
                <w:sz w:val="20"/>
                <w:szCs w:val="20"/>
              </w:rPr>
              <w:t xml:space="preserve">Prioritize zero-emission over low-emission technologies under its </w:t>
            </w:r>
            <w:r w:rsidRPr="0016671C">
              <w:rPr>
                <w:rFonts w:ascii="Palatino Linotype" w:hAnsi="Palatino Linotype" w:eastAsiaTheme="minorEastAsia"/>
                <w:color w:val="000000" w:themeColor="text1"/>
                <w:sz w:val="20"/>
                <w:szCs w:val="20"/>
                <w:u w:val="single"/>
              </w:rPr>
              <w:t>Low-Carbon Fuel Technologies</w:t>
            </w:r>
            <w:r w:rsidRPr="0016671C">
              <w:rPr>
                <w:rStyle w:val="FootnoteReference"/>
                <w:rFonts w:ascii="Palatino Linotype" w:hAnsi="Palatino Linotype" w:eastAsiaTheme="minorEastAsia"/>
                <w:color w:val="000000" w:themeColor="text1"/>
                <w:sz w:val="20"/>
                <w:szCs w:val="20"/>
              </w:rPr>
              <w:footnoteReference w:id="227"/>
            </w:r>
            <w:r w:rsidRPr="0016671C">
              <w:rPr>
                <w:rFonts w:ascii="Palatino Linotype" w:hAnsi="Palatino Linotype" w:eastAsiaTheme="minorEastAsia"/>
                <w:color w:val="000000" w:themeColor="text1"/>
                <w:sz w:val="20"/>
                <w:szCs w:val="20"/>
              </w:rPr>
              <w:t xml:space="preserve"> and </w:t>
            </w:r>
            <w:r w:rsidRPr="0016671C">
              <w:rPr>
                <w:rFonts w:ascii="Palatino Linotype" w:hAnsi="Palatino Linotype" w:eastAsiaTheme="minorEastAsia"/>
                <w:color w:val="000000" w:themeColor="text1"/>
                <w:sz w:val="20"/>
                <w:szCs w:val="20"/>
                <w:u w:val="single"/>
              </w:rPr>
              <w:t>Energy Reliability &amp; Resilience</w:t>
            </w:r>
            <w:r w:rsidRPr="0016671C">
              <w:rPr>
                <w:rStyle w:val="FootnoteReference"/>
                <w:rFonts w:ascii="Palatino Linotype" w:hAnsi="Palatino Linotype" w:eastAsiaTheme="minorEastAsia"/>
                <w:color w:val="000000" w:themeColor="text1"/>
                <w:sz w:val="20"/>
                <w:szCs w:val="20"/>
              </w:rPr>
              <w:footnoteReference w:id="228"/>
            </w:r>
            <w:r w:rsidRPr="0016671C">
              <w:rPr>
                <w:rFonts w:ascii="Palatino Linotype" w:hAnsi="Palatino Linotype" w:eastAsiaTheme="minorEastAsia"/>
                <w:color w:val="000000" w:themeColor="text1"/>
                <w:sz w:val="20"/>
                <w:szCs w:val="20"/>
              </w:rPr>
              <w:t xml:space="preserve"> Initiative.</w:t>
            </w:r>
          </w:p>
        </w:tc>
      </w:tr>
      <w:tr w:rsidRPr="006F5335" w:rsidR="00860D16" w:rsidTr="00EE197B" w14:paraId="005C83F9" w14:textId="77777777">
        <w:trPr>
          <w:trHeight w:val="638"/>
        </w:trPr>
        <w:tc>
          <w:tcPr>
            <w:tcW w:w="3744" w:type="dxa"/>
          </w:tcPr>
          <w:p w:rsidRPr="006F5335" w:rsidR="00860D16" w:rsidRDefault="00860D16" w14:paraId="3905C016" w14:textId="77777777">
            <w:pPr>
              <w:rPr>
                <w:rFonts w:ascii="Palatino Linotype" w:hAnsi="Palatino Linotype"/>
                <w:i/>
                <w:iCs/>
                <w:sz w:val="20"/>
                <w:szCs w:val="20"/>
              </w:rPr>
            </w:pPr>
            <w:r w:rsidRPr="006F5335">
              <w:rPr>
                <w:rFonts w:ascii="Palatino Linotype" w:hAnsi="Palatino Linotype"/>
                <w:b/>
                <w:sz w:val="20"/>
                <w:szCs w:val="20"/>
              </w:rPr>
              <w:lastRenderedPageBreak/>
              <w:t xml:space="preserve">[18] </w:t>
            </w:r>
            <w:hyperlink r:id="rId79">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 xml:space="preserve">In its 2024 </w:t>
            </w:r>
            <w:proofErr w:type="gramStart"/>
            <w:r w:rsidRPr="006F5335">
              <w:rPr>
                <w:rFonts w:ascii="Palatino Linotype" w:hAnsi="Palatino Linotype"/>
                <w:i/>
                <w:iCs/>
                <w:sz w:val="20"/>
                <w:szCs w:val="20"/>
              </w:rPr>
              <w:t>Gas [RD&amp;D]</w:t>
            </w:r>
            <w:proofErr w:type="gramEnd"/>
            <w:r w:rsidRPr="006F5335">
              <w:rPr>
                <w:rFonts w:ascii="Palatino Linotype" w:hAnsi="Palatino Linotype"/>
                <w:i/>
                <w:iCs/>
                <w:sz w:val="20"/>
                <w:szCs w:val="20"/>
              </w:rPr>
              <w:t xml:space="preserve">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shall: b. Explicitly justify how all consortia dues benefit gas ratepayers.</w:t>
            </w:r>
          </w:p>
          <w:p w:rsidRPr="006F5335" w:rsidR="00860D16" w:rsidRDefault="00860D16" w14:paraId="2CA6EED3" w14:textId="77777777">
            <w:pPr>
              <w:rPr>
                <w:rFonts w:ascii="Palatino Linotype" w:hAnsi="Palatino Linotype"/>
                <w:sz w:val="20"/>
                <w:szCs w:val="20"/>
              </w:rPr>
            </w:pPr>
          </w:p>
          <w:p w:rsidRPr="006F5335" w:rsidR="00860D16" w:rsidRDefault="00860D16" w14:paraId="1B24DE89" w14:textId="77777777">
            <w:pPr>
              <w:rPr>
                <w:rFonts w:ascii="Palatino Linotype" w:hAnsi="Palatino Linotype"/>
                <w:sz w:val="20"/>
                <w:szCs w:val="20"/>
              </w:rPr>
            </w:pPr>
            <w:r w:rsidRPr="006F5335">
              <w:rPr>
                <w:rFonts w:ascii="Palatino Linotype" w:hAnsi="Palatino Linotype"/>
                <w:color w:val="000000" w:themeColor="text1"/>
                <w:sz w:val="20"/>
                <w:szCs w:val="20"/>
              </w:rPr>
              <w:lastRenderedPageBreak/>
              <w:t>See also: [13] on consortia dues.</w:t>
            </w:r>
          </w:p>
        </w:tc>
        <w:tc>
          <w:tcPr>
            <w:tcW w:w="6912" w:type="dxa"/>
          </w:tcPr>
          <w:p w:rsidRPr="0016671C" w:rsidR="00860D16" w:rsidRDefault="00860D16" w14:paraId="7079E4FD"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SoCalGas states that “consortia serve member utilities by</w:t>
            </w:r>
          </w:p>
          <w:p w:rsidRPr="0016671C" w:rsidR="00860D16" w:rsidRDefault="00860D16" w14:paraId="0F52B918" w14:textId="77777777">
            <w:pPr>
              <w:rPr>
                <w:color w:val="000000" w:themeColor="text1"/>
              </w:rPr>
            </w:pPr>
            <w:r w:rsidRPr="0016671C">
              <w:rPr>
                <w:rFonts w:ascii="Palatino Linotype" w:hAnsi="Palatino Linotype"/>
                <w:color w:val="000000" w:themeColor="text1"/>
                <w:sz w:val="20"/>
                <w:szCs w:val="20"/>
              </w:rPr>
              <w:t xml:space="preserve">facilitating technical collaboration and pooling of financial and technical resources to collectively address ongoing or anticipated challenges in the gas industry” and that “[b]y working closely with these and other similar organizations, RD&amp;D staff can share knowledge, avoid needless </w:t>
            </w:r>
            <w:r w:rsidRPr="0016671C">
              <w:rPr>
                <w:rFonts w:ascii="Palatino Linotype" w:hAnsi="Palatino Linotype"/>
                <w:color w:val="000000" w:themeColor="text1"/>
                <w:sz w:val="20"/>
                <w:szCs w:val="20"/>
              </w:rPr>
              <w:lastRenderedPageBreak/>
              <w:t>duplication of work, and develop and execute impactful projects.”</w:t>
            </w:r>
            <w:r w:rsidRPr="0016671C">
              <w:rPr>
                <w:rStyle w:val="FootnoteReference"/>
                <w:rFonts w:ascii="Palatino Linotype" w:hAnsi="Palatino Linotype"/>
                <w:color w:val="000000" w:themeColor="text1"/>
                <w:sz w:val="20"/>
                <w:szCs w:val="20"/>
              </w:rPr>
              <w:footnoteReference w:id="229"/>
            </w:r>
            <w:r w:rsidRPr="0016671C">
              <w:rPr>
                <w:rFonts w:ascii="Palatino Linotype" w:hAnsi="Palatino Linotype"/>
                <w:color w:val="000000" w:themeColor="text1"/>
                <w:sz w:val="20"/>
                <w:szCs w:val="20"/>
              </w:rPr>
              <w:t xml:space="preserve"> SoCalGas details a project development process feedback loop for consortia-led projects “where ideas and project proposals are reviewed to see if they fulfill an identified gap, meet the needs of SoCalGas, and satisfy the criteria of Resolution G-3601.”</w:t>
            </w:r>
            <w:r w:rsidRPr="0016671C">
              <w:rPr>
                <w:rStyle w:val="FootnoteReference"/>
                <w:rFonts w:ascii="Palatino Linotype" w:hAnsi="Palatino Linotype"/>
                <w:color w:val="000000" w:themeColor="text1"/>
                <w:sz w:val="20"/>
                <w:szCs w:val="20"/>
              </w:rPr>
              <w:footnoteReference w:id="230"/>
            </w:r>
            <w:r w:rsidRPr="0016671C">
              <w:rPr>
                <w:rFonts w:ascii="Palatino Linotype" w:hAnsi="Palatino Linotype"/>
                <w:color w:val="000000" w:themeColor="text1"/>
                <w:sz w:val="20"/>
                <w:szCs w:val="20"/>
              </w:rPr>
              <w:t xml:space="preserve"> SoCalGas also includes a figure illustrating the distribution of projects by consortium delivering key ratepayer benefits: improved safety, reliability and affordability, increased operational efficiency, reduced GHG emissions, and improved local air quality.</w:t>
            </w:r>
            <w:r w:rsidRPr="0016671C">
              <w:rPr>
                <w:rStyle w:val="FootnoteReference"/>
                <w:rFonts w:ascii="Palatino Linotype" w:hAnsi="Palatino Linotype"/>
                <w:color w:val="000000" w:themeColor="text1"/>
                <w:sz w:val="20"/>
                <w:szCs w:val="20"/>
              </w:rPr>
              <w:footnoteReference w:id="231"/>
            </w:r>
            <w:r w:rsidRPr="0016671C">
              <w:rPr>
                <w:rFonts w:ascii="Palatino Linotype" w:hAnsi="Palatino Linotype"/>
                <w:color w:val="000000" w:themeColor="text1"/>
                <w:sz w:val="20"/>
                <w:szCs w:val="20"/>
              </w:rPr>
              <w:t xml:space="preserve"> In discussion with Energy Division staff, SoCalGas clarified that it is selective in which consortia projects it participates in and funds.</w:t>
            </w:r>
          </w:p>
        </w:tc>
        <w:tc>
          <w:tcPr>
            <w:tcW w:w="3600" w:type="dxa"/>
          </w:tcPr>
          <w:p w:rsidRPr="0016671C" w:rsidR="00860D16" w:rsidRDefault="00860D16" w14:paraId="739398DE" w14:textId="77777777">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lastRenderedPageBreak/>
              <w:t xml:space="preserve">SoCalGas justifies how all consortia dues benefit gas ratepayers. </w:t>
            </w:r>
            <w:r w:rsidRPr="0016671C">
              <w:rPr>
                <w:rFonts w:ascii="Palatino Linotype" w:hAnsi="Palatino Linotype"/>
                <w:b/>
                <w:color w:val="000000" w:themeColor="text1"/>
                <w:sz w:val="20"/>
                <w:szCs w:val="20"/>
              </w:rPr>
              <w:t>SoCalGas is compliant with this requirement.</w:t>
            </w:r>
          </w:p>
        </w:tc>
      </w:tr>
      <w:tr w:rsidRPr="006F5335" w:rsidR="00860D16" w:rsidTr="00EE197B" w14:paraId="0CA9E44B" w14:textId="77777777">
        <w:trPr>
          <w:trHeight w:val="638"/>
        </w:trPr>
        <w:tc>
          <w:tcPr>
            <w:tcW w:w="3744" w:type="dxa"/>
          </w:tcPr>
          <w:p w:rsidRPr="006F5335" w:rsidR="00860D16" w:rsidRDefault="00860D16" w14:paraId="783F9CBA" w14:textId="77777777">
            <w:pPr>
              <w:rPr>
                <w:rFonts w:ascii="Palatino Linotype" w:hAnsi="Palatino Linotype"/>
                <w:i/>
                <w:color w:val="000000" w:themeColor="text1"/>
                <w:sz w:val="20"/>
                <w:szCs w:val="20"/>
              </w:rPr>
            </w:pPr>
            <w:r w:rsidRPr="006F5335">
              <w:rPr>
                <w:rFonts w:ascii="Palatino Linotype" w:hAnsi="Palatino Linotype"/>
                <w:b/>
                <w:sz w:val="20"/>
                <w:szCs w:val="20"/>
              </w:rPr>
              <w:t xml:space="preserve">[19] </w:t>
            </w:r>
            <w:hyperlink r:id="rId80">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 xml:space="preserve">In its 2024 </w:t>
            </w:r>
            <w:proofErr w:type="gramStart"/>
            <w:r w:rsidRPr="006F5335">
              <w:rPr>
                <w:rFonts w:ascii="Palatino Linotype" w:hAnsi="Palatino Linotype"/>
                <w:i/>
                <w:iCs/>
                <w:sz w:val="20"/>
                <w:szCs w:val="20"/>
              </w:rPr>
              <w:t>Gas [RD&amp;D]</w:t>
            </w:r>
            <w:proofErr w:type="gramEnd"/>
            <w:r w:rsidRPr="006F5335">
              <w:rPr>
                <w:rFonts w:ascii="Palatino Linotype" w:hAnsi="Palatino Linotype"/>
                <w:i/>
                <w:iCs/>
                <w:sz w:val="20"/>
                <w:szCs w:val="20"/>
              </w:rPr>
              <w:t xml:space="preserve">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shall: c. Elaborate on the results of its RD&amp;D projects. SoCalGas shall describe how results are used to address the state’s climate goals, how its research project results are scaled/commercialized, and how SoCalGa</w:t>
            </w:r>
            <w:r w:rsidRPr="006F5335">
              <w:rPr>
                <w:rFonts w:ascii="Palatino Linotype" w:hAnsi="Palatino Linotype"/>
                <w:i/>
                <w:color w:val="000000" w:themeColor="text1"/>
                <w:sz w:val="20"/>
                <w:szCs w:val="20"/>
              </w:rPr>
              <w:t>s measures the impacts of its research.</w:t>
            </w:r>
          </w:p>
          <w:p w:rsidRPr="006F5335" w:rsidR="00860D16" w:rsidRDefault="00860D16" w14:paraId="3B6C9165" w14:textId="77777777">
            <w:pPr>
              <w:rPr>
                <w:rFonts w:ascii="Palatino Linotype" w:hAnsi="Palatino Linotype"/>
                <w:i/>
                <w:color w:val="000000" w:themeColor="text1"/>
                <w:sz w:val="20"/>
                <w:szCs w:val="20"/>
              </w:rPr>
            </w:pPr>
          </w:p>
          <w:p w:rsidRPr="006F5335" w:rsidR="00860D16" w:rsidRDefault="00860D16" w14:paraId="4F12A14A" w14:textId="77777777">
            <w:pPr>
              <w:rPr>
                <w:rFonts w:ascii="Palatino Linotype" w:hAnsi="Palatino Linotype"/>
                <w:color w:val="000000" w:themeColor="text1"/>
                <w:sz w:val="20"/>
                <w:szCs w:val="20"/>
              </w:rPr>
            </w:pPr>
            <w:r w:rsidRPr="006F5335">
              <w:rPr>
                <w:rFonts w:ascii="Palatino Linotype" w:hAnsi="Palatino Linotype" w:eastAsia="Palatino Linotype" w:cs="Palatino Linotype"/>
                <w:color w:val="000000" w:themeColor="text1"/>
                <w:sz w:val="20"/>
                <w:szCs w:val="20"/>
              </w:rPr>
              <w:t>See also: [21].</w:t>
            </w:r>
          </w:p>
        </w:tc>
        <w:tc>
          <w:tcPr>
            <w:tcW w:w="6912" w:type="dxa"/>
          </w:tcPr>
          <w:p w:rsidRPr="0016671C" w:rsidR="00860D16" w:rsidRDefault="00860D16" w14:paraId="18C2664F" w14:textId="77777777">
            <w:pPr>
              <w:rPr>
                <w:color w:val="000000" w:themeColor="text1"/>
              </w:rPr>
            </w:pPr>
            <w:r w:rsidRPr="0016671C">
              <w:rPr>
                <w:rFonts w:ascii="Palatino Linotype" w:hAnsi="Palatino Linotype"/>
                <w:color w:val="000000" w:themeColor="text1"/>
                <w:sz w:val="20"/>
                <w:szCs w:val="20"/>
              </w:rPr>
              <w:t>In Appendix 6, SoCalGas describes its process for the scaling and commercialization of technologies via projects which range from research and development to deployment across technology readiness levels (TRLs). SoCalGas describes efforts on knowledge transfer and sharing through research webinars, quarterly newsletters, annual workshops, LinkedIn posts, conferences, and events, and lists project criteria in alignment with the state’s climate goals. In Appendix 7, SoCalGas lists Regulatory and Policy Drivers spanning key state and federal policies and regulations.</w:t>
            </w:r>
          </w:p>
        </w:tc>
        <w:tc>
          <w:tcPr>
            <w:tcW w:w="3600" w:type="dxa"/>
          </w:tcPr>
          <w:p w:rsidRPr="0016671C" w:rsidR="00860D16" w:rsidRDefault="00860D16" w14:paraId="74DB90AE" w14:textId="77777777">
            <w:pPr>
              <w:rPr>
                <w:color w:val="000000" w:themeColor="text1"/>
              </w:rPr>
            </w:pPr>
            <w:r w:rsidRPr="0016671C">
              <w:rPr>
                <w:rFonts w:ascii="Palatino Linotype" w:hAnsi="Palatino Linotype"/>
                <w:color w:val="000000" w:themeColor="text1"/>
                <w:sz w:val="20"/>
                <w:szCs w:val="20"/>
              </w:rPr>
              <w:t>SoCalGas describes how results are used to address the state’s climate goals and how project results are scaled/commercialized</w:t>
            </w:r>
            <w:r w:rsidRPr="0016671C">
              <w:rPr>
                <w:rFonts w:ascii="Palatino Linotype" w:hAnsi="Palatino Linotype"/>
                <w:i/>
                <w:iCs/>
                <w:color w:val="000000" w:themeColor="text1"/>
                <w:sz w:val="20"/>
                <w:szCs w:val="20"/>
              </w:rPr>
              <w:t xml:space="preserve">. </w:t>
            </w:r>
            <w:r w:rsidRPr="0016671C">
              <w:rPr>
                <w:rFonts w:ascii="Palatino Linotype" w:hAnsi="Palatino Linotype"/>
                <w:b/>
                <w:color w:val="000000" w:themeColor="text1"/>
                <w:sz w:val="20"/>
                <w:szCs w:val="20"/>
              </w:rPr>
              <w:t>SoCalGas is compliant with this requirement.</w:t>
            </w:r>
          </w:p>
          <w:p w:rsidRPr="0016671C" w:rsidR="00860D16" w:rsidRDefault="00860D16" w14:paraId="264A54F4" w14:textId="77777777">
            <w:pPr>
              <w:spacing w:before="240"/>
              <w:rPr>
                <w:rFonts w:ascii="Palatino Linotype" w:hAnsi="Palatino Linotype" w:eastAsia="Palatino Linotype" w:cs="Palatino Linotype"/>
                <w:color w:val="000000" w:themeColor="text1"/>
                <w:sz w:val="20"/>
                <w:szCs w:val="20"/>
              </w:rPr>
            </w:pPr>
            <w:r w:rsidRPr="0016671C">
              <w:rPr>
                <w:rFonts w:ascii="Palatino Linotype" w:hAnsi="Palatino Linotype"/>
                <w:color w:val="000000" w:themeColor="text1"/>
                <w:sz w:val="20"/>
                <w:szCs w:val="20"/>
              </w:rPr>
              <w:t>However, SoCalGas shall provide further detail upon project implementation in project final reports and its Annual Reports to demonstrate how results are measured and utilized in alignment with State goals.</w:t>
            </w:r>
          </w:p>
        </w:tc>
      </w:tr>
      <w:tr w:rsidRPr="006F5335" w:rsidR="00860D16" w:rsidTr="00EE197B" w14:paraId="46639B84" w14:textId="77777777">
        <w:trPr>
          <w:trHeight w:val="638"/>
        </w:trPr>
        <w:tc>
          <w:tcPr>
            <w:tcW w:w="3744" w:type="dxa"/>
          </w:tcPr>
          <w:p w:rsidRPr="006F5335" w:rsidR="00860D16" w:rsidRDefault="00860D16" w14:paraId="6CA7C7F1" w14:textId="77777777">
            <w:pPr>
              <w:rPr>
                <w:rFonts w:ascii="Palatino Linotype" w:hAnsi="Palatino Linotype"/>
                <w:i/>
                <w:iCs/>
                <w:sz w:val="20"/>
                <w:szCs w:val="20"/>
              </w:rPr>
            </w:pPr>
            <w:r w:rsidRPr="006F5335">
              <w:rPr>
                <w:rFonts w:ascii="Palatino Linotype" w:hAnsi="Palatino Linotype"/>
                <w:b/>
                <w:sz w:val="20"/>
                <w:szCs w:val="20"/>
              </w:rPr>
              <w:t xml:space="preserve">[20] </w:t>
            </w:r>
            <w:hyperlink r:id="rId81">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In its 2024 Gas [RD&amp;D]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xml:space="preserve">] shall: d. Itemize and include more detail about how it incorporated proposals and feedback on research ideas proposed by stakeholders at its Annual Stakeholder workshop, including </w:t>
            </w:r>
            <w:r w:rsidRPr="006F5335">
              <w:rPr>
                <w:rFonts w:ascii="Palatino Linotype" w:hAnsi="Palatino Linotype"/>
                <w:i/>
                <w:iCs/>
                <w:sz w:val="20"/>
                <w:szCs w:val="20"/>
              </w:rPr>
              <w:lastRenderedPageBreak/>
              <w:t>disadvantaged communities. SoCalGas should otherwise explain why it did not incorporate stakeholder input.</w:t>
            </w:r>
          </w:p>
          <w:p w:rsidRPr="006F5335" w:rsidR="00860D16" w:rsidRDefault="00860D16" w14:paraId="7BAE5951" w14:textId="77777777">
            <w:pPr>
              <w:rPr>
                <w:rFonts w:ascii="Palatino Linotype" w:hAnsi="Palatino Linotype"/>
                <w:i/>
                <w:iCs/>
                <w:sz w:val="20"/>
                <w:szCs w:val="20"/>
              </w:rPr>
            </w:pPr>
          </w:p>
          <w:p w:rsidRPr="006F5335" w:rsidR="00860D16" w:rsidRDefault="00860D16" w14:paraId="6AA56080" w14:textId="77777777">
            <w:pPr>
              <w:rPr>
                <w:rFonts w:ascii="Palatino Linotype" w:hAnsi="Palatino Linotype"/>
                <w:bCs w:val="0"/>
                <w:color w:val="000000" w:themeColor="text1"/>
                <w:sz w:val="20"/>
                <w:szCs w:val="20"/>
              </w:rPr>
            </w:pPr>
            <w:r w:rsidRPr="006F5335">
              <w:rPr>
                <w:rFonts w:ascii="Palatino Linotype" w:hAnsi="Palatino Linotype"/>
                <w:color w:val="000000" w:themeColor="text1"/>
                <w:sz w:val="20"/>
                <w:szCs w:val="20"/>
              </w:rPr>
              <w:t>See also: [17] on integration of Energy Division feedback and [25] for gas RD&amp;D administrator coordination.</w:t>
            </w:r>
          </w:p>
          <w:p w:rsidRPr="006F5335" w:rsidR="00860D16" w:rsidRDefault="00860D16" w14:paraId="6573F3E0" w14:textId="77777777">
            <w:pPr>
              <w:rPr>
                <w:sz w:val="20"/>
                <w:szCs w:val="20"/>
              </w:rPr>
            </w:pPr>
          </w:p>
        </w:tc>
        <w:tc>
          <w:tcPr>
            <w:tcW w:w="6912" w:type="dxa"/>
          </w:tcPr>
          <w:p w:rsidRPr="0016671C" w:rsidR="00860D16" w:rsidRDefault="00860D16" w14:paraId="2C5FCF5D" w14:textId="77777777">
            <w:pPr>
              <w:rPr>
                <w:rFonts w:ascii="Palatino Linotype" w:hAnsi="Palatino Linotype"/>
                <w:color w:val="000000" w:themeColor="text1"/>
                <w:sz w:val="20"/>
                <w:szCs w:val="20"/>
              </w:rPr>
            </w:pPr>
            <w:r w:rsidRPr="0016671C">
              <w:rPr>
                <w:rFonts w:ascii="Palatino Linotype" w:hAnsi="Palatino Linotype"/>
                <w:color w:val="000000" w:themeColor="text1"/>
                <w:sz w:val="20"/>
                <w:szCs w:val="20"/>
              </w:rPr>
              <w:lastRenderedPageBreak/>
              <w:t xml:space="preserve">SoCalGas provides: </w:t>
            </w:r>
          </w:p>
          <w:p w:rsidRPr="0016671C" w:rsidR="00860D16" w:rsidP="00860D16" w:rsidRDefault="00860D16" w14:paraId="72A2E757" w14:textId="77777777">
            <w:pPr>
              <w:pStyle w:val="ListParagraph"/>
              <w:numPr>
                <w:ilvl w:val="0"/>
                <w:numId w:val="39"/>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A description of its annual internal and external outreach efforts in addition to key takeaways and incorporation strategies for feedback received from public workshop attendees, including an ESJ Advisory Panel, for each Initiative.</w:t>
            </w:r>
            <w:r w:rsidRPr="0016671C">
              <w:rPr>
                <w:rStyle w:val="FootnoteReference"/>
                <w:rFonts w:ascii="Palatino Linotype" w:hAnsi="Palatino Linotype"/>
                <w:color w:val="000000" w:themeColor="text1"/>
                <w:sz w:val="20"/>
                <w:szCs w:val="20"/>
              </w:rPr>
              <w:footnoteReference w:id="232"/>
            </w:r>
          </w:p>
          <w:p w:rsidRPr="0016671C" w:rsidR="00860D16" w:rsidP="00860D16" w:rsidRDefault="00860D16" w14:paraId="6E91FC86" w14:textId="77777777">
            <w:pPr>
              <w:pStyle w:val="ListParagraph"/>
              <w:numPr>
                <w:ilvl w:val="0"/>
                <w:numId w:val="39"/>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Section 4.1: Summary of Research Plan Development with incorporation of stakeholder feedback.</w:t>
            </w:r>
            <w:r w:rsidRPr="0016671C">
              <w:rPr>
                <w:rStyle w:val="FootnoteReference"/>
                <w:rFonts w:ascii="Palatino Linotype" w:hAnsi="Palatino Linotype"/>
                <w:color w:val="000000" w:themeColor="text1"/>
                <w:sz w:val="20"/>
                <w:szCs w:val="20"/>
              </w:rPr>
              <w:footnoteReference w:id="233"/>
            </w:r>
          </w:p>
          <w:p w:rsidRPr="0016671C" w:rsidR="00860D16" w:rsidP="00860D16" w:rsidRDefault="00860D16" w14:paraId="71918DB3" w14:textId="77777777">
            <w:pPr>
              <w:pStyle w:val="ListParagraph"/>
              <w:numPr>
                <w:ilvl w:val="0"/>
                <w:numId w:val="39"/>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Appendix 3: Summary of Stakeholder Input from 2025 Annual Workshop with the list of the questions received during and following the workshop, along with answers from appropriate SoCalGas personnel.</w:t>
            </w:r>
          </w:p>
          <w:p w:rsidRPr="0016671C" w:rsidR="00860D16" w:rsidP="00860D16" w:rsidRDefault="00860D16" w14:paraId="77F5F0F4" w14:textId="77777777">
            <w:pPr>
              <w:pStyle w:val="ListParagraph"/>
              <w:numPr>
                <w:ilvl w:val="1"/>
                <w:numId w:val="39"/>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Feedback from California Greenworks that “when public facing, the Key Ratepayer Benefits need an extra step to explicitly state community benefits. For example, operational efficiency does not naturally equate to community benefit, but linking it causally to community resilience, community beautification, etc., makes a more robust EJ claim.”</w:t>
            </w:r>
          </w:p>
          <w:p w:rsidRPr="0016671C" w:rsidR="00860D16" w:rsidP="00860D16" w:rsidRDefault="00860D16" w14:paraId="3129B442" w14:textId="77777777">
            <w:pPr>
              <w:pStyle w:val="ListParagraph"/>
              <w:numPr>
                <w:ilvl w:val="0"/>
                <w:numId w:val="39"/>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Appendix 5: Summary of Stakeholder Input from Annual Outreach Campaign.</w:t>
            </w:r>
          </w:p>
          <w:p w:rsidRPr="0016671C" w:rsidR="00860D16" w:rsidP="00860D16" w:rsidRDefault="00860D16" w14:paraId="27F505F2" w14:textId="77777777">
            <w:pPr>
              <w:pStyle w:val="ListParagraph"/>
              <w:numPr>
                <w:ilvl w:val="0"/>
                <w:numId w:val="39"/>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Appendix 6: Company and SoCalGas RD&amp;D Overview, with a Description of Academic Engagement. </w:t>
            </w:r>
          </w:p>
          <w:p w:rsidRPr="0016671C" w:rsidR="00860D16" w:rsidRDefault="00860D16" w14:paraId="7DF1D0B4" w14:textId="77777777">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details the following general feedback from the ESJ Advisory Panel Members and correlated incorporation strategies:</w:t>
            </w:r>
            <w:r w:rsidRPr="0016671C">
              <w:rPr>
                <w:rStyle w:val="FootnoteReference"/>
                <w:rFonts w:ascii="Palatino Linotype" w:hAnsi="Palatino Linotype"/>
                <w:color w:val="000000" w:themeColor="text1"/>
                <w:sz w:val="20"/>
                <w:szCs w:val="20"/>
              </w:rPr>
              <w:footnoteReference w:id="234"/>
            </w:r>
            <w:r w:rsidRPr="0016671C">
              <w:rPr>
                <w:rFonts w:ascii="Palatino Linotype" w:hAnsi="Palatino Linotype"/>
                <w:color w:val="000000" w:themeColor="text1"/>
                <w:sz w:val="20"/>
                <w:szCs w:val="20"/>
              </w:rPr>
              <w:t xml:space="preserve"> </w:t>
            </w:r>
          </w:p>
          <w:p w:rsidRPr="0016671C" w:rsidR="00860D16" w:rsidP="00860D16" w:rsidRDefault="00860D16" w14:paraId="40E087A5" w14:textId="77777777">
            <w:pPr>
              <w:numPr>
                <w:ilvl w:val="2"/>
                <w:numId w:val="45"/>
              </w:numPr>
              <w:ind w:left="36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“RD&amp;D encouraged to explore “human outcomes” for communities in which research projects are conducted.</w:t>
            </w:r>
          </w:p>
          <w:p w:rsidRPr="0016671C" w:rsidR="00860D16" w:rsidP="00860D16" w:rsidRDefault="00860D16" w14:paraId="00C0A155" w14:textId="77777777">
            <w:pPr>
              <w:numPr>
                <w:ilvl w:val="1"/>
                <w:numId w:val="45"/>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RD&amp;D is considering how to develop metrics tied to this input.”</w:t>
            </w:r>
          </w:p>
          <w:p w:rsidRPr="0016671C" w:rsidR="00860D16" w:rsidP="00860D16" w:rsidRDefault="00860D16" w14:paraId="78F9EBEE" w14:textId="77777777">
            <w:pPr>
              <w:numPr>
                <w:ilvl w:val="2"/>
                <w:numId w:val="45"/>
              </w:numPr>
              <w:ind w:left="36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“Make the process more equitable for all projects, ensure that community voice/ stakeholder voice is valued equally to the measurable outcomes (whether technological, environmental, scientific). This can be accomplished by having an aggressive stakeholder collaboration, and/or having a stakeholder/CBO participate in the research review process.”</w:t>
            </w:r>
          </w:p>
          <w:p w:rsidRPr="0016671C" w:rsidR="00860D16" w:rsidP="00860D16" w:rsidRDefault="00860D16" w14:paraId="26DCF031" w14:textId="77777777">
            <w:pPr>
              <w:numPr>
                <w:ilvl w:val="1"/>
                <w:numId w:val="45"/>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“Before completing additional program development, RD&amp;D staff will conduct additional outreach relevant to this input.”</w:t>
            </w:r>
          </w:p>
          <w:p w:rsidRPr="0016671C" w:rsidR="00860D16" w:rsidP="00860D16" w:rsidRDefault="00860D16" w14:paraId="04F74805" w14:textId="77777777">
            <w:pPr>
              <w:numPr>
                <w:ilvl w:val="2"/>
                <w:numId w:val="45"/>
              </w:numPr>
              <w:ind w:left="36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“Research designs need to:</w:t>
            </w:r>
          </w:p>
          <w:p w:rsidRPr="0016671C" w:rsidR="00860D16" w:rsidP="00860D16" w:rsidRDefault="00860D16" w14:paraId="1D928E7B" w14:textId="77777777">
            <w:pPr>
              <w:pStyle w:val="ListParagraph"/>
              <w:numPr>
                <w:ilvl w:val="0"/>
                <w:numId w:val="47"/>
              </w:numPr>
              <w:ind w:left="72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Identify explicit and transparent social benefits and social harms.</w:t>
            </w:r>
          </w:p>
          <w:p w:rsidRPr="0016671C" w:rsidR="00860D16" w:rsidP="00860D16" w:rsidRDefault="00860D16" w14:paraId="1A70D409" w14:textId="77777777">
            <w:pPr>
              <w:pStyle w:val="ListParagraph"/>
              <w:numPr>
                <w:ilvl w:val="0"/>
                <w:numId w:val="47"/>
              </w:numPr>
              <w:ind w:left="72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Require all subrecipients conducting the studies to include CBOs as part of the study team.</w:t>
            </w:r>
          </w:p>
          <w:p w:rsidRPr="0016671C" w:rsidR="00860D16" w:rsidP="00860D16" w:rsidRDefault="00860D16" w14:paraId="75831E74" w14:textId="77777777">
            <w:pPr>
              <w:pStyle w:val="ListParagraph"/>
              <w:numPr>
                <w:ilvl w:val="0"/>
                <w:numId w:val="47"/>
              </w:numPr>
              <w:ind w:left="72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Inform and share how SoCalGas RD&amp;D identifies, vets, and selects research partners.</w:t>
            </w:r>
          </w:p>
          <w:p w:rsidRPr="0016671C" w:rsidR="00860D16" w:rsidP="00860D16" w:rsidRDefault="00860D16" w14:paraId="42344964" w14:textId="77777777">
            <w:pPr>
              <w:pStyle w:val="ListParagraph"/>
              <w:numPr>
                <w:ilvl w:val="0"/>
                <w:numId w:val="47"/>
              </w:numPr>
              <w:ind w:left="72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Budget educational outreach for each study, or outreach for the whole department. Finding out what to communicate can be done through CBO outreach.”</w:t>
            </w:r>
          </w:p>
          <w:p w:rsidRPr="0016671C" w:rsidR="00860D16" w:rsidP="00860D16" w:rsidRDefault="00860D16" w14:paraId="6AF067E7" w14:textId="77777777">
            <w:pPr>
              <w:pStyle w:val="ListParagraph"/>
              <w:numPr>
                <w:ilvl w:val="0"/>
                <w:numId w:val="48"/>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“When developing future Research Plans, SoCalGas RD&amp;D will seek input from the ESJ Advisory Panel about ESJ priorities and metrics that it can incorporate into future research projects.”</w:t>
            </w:r>
          </w:p>
          <w:p w:rsidRPr="0016671C" w:rsidR="00860D16" w:rsidRDefault="00860D16" w14:paraId="23CEFC4F" w14:textId="77777777">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SoCalGas details the following Initiative-level feedback: </w:t>
            </w:r>
          </w:p>
          <w:p w:rsidRPr="0016671C" w:rsidR="00860D16" w:rsidP="00860D16" w:rsidRDefault="00860D16" w14:paraId="56B2320C" w14:textId="77777777">
            <w:pPr>
              <w:pStyle w:val="ListParagraph"/>
              <w:numPr>
                <w:ilvl w:val="0"/>
                <w:numId w:val="41"/>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System Inspection &amp; Monitoring</w:t>
            </w:r>
            <w:r w:rsidRPr="0016671C">
              <w:rPr>
                <w:rFonts w:ascii="Palatino Linotype" w:hAnsi="Palatino Linotype"/>
                <w:color w:val="000000" w:themeColor="text1"/>
                <w:sz w:val="20"/>
                <w:szCs w:val="20"/>
              </w:rPr>
              <w:t>: “SoCalGas should investigate the use of fiber optics in storage fields for well monitoring.”</w:t>
            </w:r>
            <w:r w:rsidRPr="0016671C">
              <w:rPr>
                <w:rStyle w:val="FootnoteReference"/>
                <w:rFonts w:ascii="Palatino Linotype" w:hAnsi="Palatino Linotype"/>
                <w:color w:val="000000" w:themeColor="text1"/>
                <w:sz w:val="20"/>
                <w:szCs w:val="20"/>
              </w:rPr>
              <w:footnoteReference w:id="235"/>
            </w:r>
          </w:p>
          <w:p w:rsidRPr="0016671C" w:rsidR="00860D16" w:rsidP="00860D16" w:rsidRDefault="00860D16" w14:paraId="0D36DDEA" w14:textId="77777777">
            <w:pPr>
              <w:pStyle w:val="ListParagraph"/>
              <w:numPr>
                <w:ilvl w:val="1"/>
                <w:numId w:val="41"/>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stated that “[t]he use of fiber optic monitoring is limited to underground Gas Infrastructure at this time. Fiber Optics currently provides leak detection, 3rd party construction activity and strain due to ground movement. This technology is part of [this Initiative].”</w:t>
            </w:r>
            <w:r w:rsidRPr="0016671C">
              <w:rPr>
                <w:rStyle w:val="FootnoteReference"/>
                <w:rFonts w:ascii="Palatino Linotype" w:hAnsi="Palatino Linotype"/>
                <w:color w:val="000000" w:themeColor="text1"/>
                <w:sz w:val="20"/>
                <w:szCs w:val="20"/>
              </w:rPr>
              <w:footnoteReference w:id="236"/>
            </w:r>
          </w:p>
          <w:p w:rsidRPr="0016671C" w:rsidR="00860D16" w:rsidP="00860D16" w:rsidRDefault="00860D16" w14:paraId="0CEC0E89" w14:textId="77777777">
            <w:pPr>
              <w:pStyle w:val="ListParagraph"/>
              <w:numPr>
                <w:ilvl w:val="0"/>
                <w:numId w:val="41"/>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RNG Infrastructure Optimization</w:t>
            </w:r>
            <w:r w:rsidRPr="0016671C">
              <w:rPr>
                <w:rFonts w:ascii="Palatino Linotype" w:hAnsi="Palatino Linotype"/>
                <w:color w:val="000000" w:themeColor="text1"/>
                <w:sz w:val="20"/>
                <w:szCs w:val="20"/>
              </w:rPr>
              <w:t>: “One federal agency suggested developing affordable small-scale technologies for smaller point sources of RNG.”</w:t>
            </w:r>
            <w:r w:rsidRPr="0016671C">
              <w:rPr>
                <w:rStyle w:val="FootnoteReference"/>
                <w:rFonts w:ascii="Palatino Linotype" w:hAnsi="Palatino Linotype"/>
                <w:color w:val="000000" w:themeColor="text1"/>
                <w:sz w:val="20"/>
                <w:szCs w:val="20"/>
              </w:rPr>
              <w:footnoteReference w:id="237"/>
            </w:r>
          </w:p>
          <w:p w:rsidRPr="0016671C" w:rsidR="00860D16" w:rsidP="00860D16" w:rsidRDefault="00860D16" w14:paraId="56F65DE8" w14:textId="77777777">
            <w:pPr>
              <w:pStyle w:val="ListParagraph"/>
              <w:numPr>
                <w:ilvl w:val="0"/>
                <w:numId w:val="41"/>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Gas &amp; Energy Storage</w:t>
            </w:r>
            <w:r w:rsidRPr="0016671C">
              <w:rPr>
                <w:rFonts w:ascii="Palatino Linotype" w:hAnsi="Palatino Linotype"/>
                <w:color w:val="000000" w:themeColor="text1"/>
                <w:sz w:val="20"/>
                <w:szCs w:val="20"/>
              </w:rPr>
              <w:t xml:space="preserve">: “A national laboratory recommended further exploration of cost reductions in cryogenic technologies and cryogenic hybrid systems, as well as community engagement at the regional level and for understanding impacts and benefits. A research consortium recommended monitoring developments on pilot projects in networked geothermal. A federal agency recommended outreach with local high schools and community colleges.” “Capgemini suggested </w:t>
            </w:r>
            <w:r w:rsidRPr="0016671C">
              <w:rPr>
                <w:rFonts w:ascii="Palatino Linotype" w:hAnsi="Palatino Linotype"/>
                <w:color w:val="000000" w:themeColor="text1"/>
                <w:sz w:val="20"/>
                <w:szCs w:val="20"/>
              </w:rPr>
              <w:lastRenderedPageBreak/>
              <w:t>considering more networked geothermal because it offers consistent power supply.”</w:t>
            </w:r>
            <w:r w:rsidRPr="0016671C">
              <w:rPr>
                <w:rStyle w:val="FootnoteReference"/>
                <w:rFonts w:ascii="Palatino Linotype" w:hAnsi="Palatino Linotype"/>
                <w:color w:val="000000" w:themeColor="text1"/>
                <w:sz w:val="20"/>
                <w:szCs w:val="20"/>
              </w:rPr>
              <w:footnoteReference w:id="238"/>
            </w:r>
          </w:p>
          <w:p w:rsidRPr="0016671C" w:rsidR="00860D16" w:rsidP="00860D16" w:rsidRDefault="00860D16" w14:paraId="447D79B4" w14:textId="77777777">
            <w:pPr>
              <w:pStyle w:val="ListParagraph"/>
              <w:numPr>
                <w:ilvl w:val="0"/>
                <w:numId w:val="41"/>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Low-Carbon Fuels Technologies</w:t>
            </w:r>
            <w:r w:rsidRPr="0016671C">
              <w:rPr>
                <w:rFonts w:ascii="Palatino Linotype" w:hAnsi="Palatino Linotype"/>
                <w:color w:val="000000" w:themeColor="text1"/>
                <w:sz w:val="20"/>
                <w:szCs w:val="20"/>
              </w:rPr>
              <w:t xml:space="preserve">: “A national laboratory recommended further exploration of methane pyrolysis technologies... A federal agency suggested developing affordable small-scale technologies for smaller point sources of </w:t>
            </w:r>
            <w:proofErr w:type="gramStart"/>
            <w:r w:rsidRPr="0016671C">
              <w:rPr>
                <w:rFonts w:ascii="Palatino Linotype" w:hAnsi="Palatino Linotype"/>
                <w:color w:val="000000" w:themeColor="text1"/>
                <w:sz w:val="20"/>
                <w:szCs w:val="20"/>
              </w:rPr>
              <w:t>RNG.”</w:t>
            </w:r>
            <w:proofErr w:type="gramEnd"/>
            <w:r w:rsidRPr="0016671C">
              <w:rPr>
                <w:rFonts w:ascii="Palatino Linotype" w:hAnsi="Palatino Linotype"/>
                <w:color w:val="000000" w:themeColor="text1"/>
                <w:sz w:val="20"/>
                <w:szCs w:val="20"/>
              </w:rPr>
              <w:t xml:space="preserve"> “There were suggestions to look at other technologies such as waste-to-energy, to target improved performance in dynamic operation of any fuel production pathway. There was feedback after the workshop about understanding cost targets for hydrogen and how SoCalGas is tracking those costs – this has been added as a quantitative impact to be tracked.”</w:t>
            </w:r>
            <w:r w:rsidRPr="0016671C">
              <w:rPr>
                <w:rStyle w:val="FootnoteReference"/>
                <w:rFonts w:ascii="Palatino Linotype" w:hAnsi="Palatino Linotype"/>
                <w:color w:val="000000" w:themeColor="text1"/>
                <w:sz w:val="20"/>
                <w:szCs w:val="20"/>
              </w:rPr>
              <w:footnoteReference w:id="239"/>
            </w:r>
          </w:p>
          <w:p w:rsidRPr="0016671C" w:rsidR="00860D16" w:rsidP="00860D16" w:rsidRDefault="00860D16" w14:paraId="1CB2C1DD" w14:textId="77777777">
            <w:pPr>
              <w:pStyle w:val="ListParagraph"/>
              <w:numPr>
                <w:ilvl w:val="0"/>
                <w:numId w:val="41"/>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Low-Carbon Fuels Integration</w:t>
            </w:r>
            <w:r w:rsidRPr="0016671C">
              <w:rPr>
                <w:rFonts w:ascii="Palatino Linotype" w:hAnsi="Palatino Linotype"/>
                <w:color w:val="000000" w:themeColor="text1"/>
                <w:sz w:val="20"/>
                <w:szCs w:val="20"/>
              </w:rPr>
              <w:t xml:space="preserve"> and </w:t>
            </w:r>
            <w:r w:rsidRPr="0016671C">
              <w:rPr>
                <w:rFonts w:ascii="Palatino Linotype" w:hAnsi="Palatino Linotype"/>
                <w:color w:val="000000" w:themeColor="text1"/>
                <w:sz w:val="20"/>
                <w:szCs w:val="20"/>
                <w:u w:val="single"/>
              </w:rPr>
              <w:t>Energy Reliability &amp; Resilience</w:t>
            </w:r>
            <w:r w:rsidRPr="0016671C">
              <w:rPr>
                <w:rFonts w:ascii="Palatino Linotype" w:hAnsi="Palatino Linotype"/>
                <w:color w:val="000000" w:themeColor="text1"/>
                <w:sz w:val="20"/>
                <w:szCs w:val="20"/>
              </w:rPr>
              <w:t>: “Oak Ridge National Laboratory (ORNL) identified the need for research into cost-effective retrofitting solutions that utilize clean fuels for heating and cooling, that could offer a more practical and affordable pathway to decarbonization compared to potentially extensive and disruptive electrification upgrades.”</w:t>
            </w:r>
            <w:r w:rsidRPr="0016671C">
              <w:rPr>
                <w:rStyle w:val="FootnoteReference"/>
                <w:rFonts w:ascii="Palatino Linotype" w:hAnsi="Palatino Linotype"/>
                <w:color w:val="000000" w:themeColor="text1"/>
                <w:sz w:val="20"/>
                <w:szCs w:val="20"/>
              </w:rPr>
              <w:footnoteReference w:id="240"/>
            </w:r>
          </w:p>
          <w:p w:rsidRPr="0016671C" w:rsidR="00860D16" w:rsidP="00860D16" w:rsidRDefault="00860D16" w14:paraId="10C3FC1A" w14:textId="77777777">
            <w:pPr>
              <w:pStyle w:val="ListParagraph"/>
              <w:numPr>
                <w:ilvl w:val="0"/>
                <w:numId w:val="41"/>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u w:val="single"/>
              </w:rPr>
              <w:t>Building &amp; Facility Systems</w:t>
            </w:r>
            <w:r w:rsidRPr="0016671C">
              <w:rPr>
                <w:rFonts w:ascii="Palatino Linotype" w:hAnsi="Palatino Linotype"/>
                <w:color w:val="000000" w:themeColor="text1"/>
                <w:sz w:val="20"/>
                <w:szCs w:val="20"/>
              </w:rPr>
              <w:t xml:space="preserve">: “One industrial stakeholder is interested in new ways of capturing and reusing heat produced onsite and advised </w:t>
            </w:r>
            <w:proofErr w:type="gramStart"/>
            <w:r w:rsidRPr="0016671C">
              <w:rPr>
                <w:rFonts w:ascii="Palatino Linotype" w:hAnsi="Palatino Linotype"/>
                <w:color w:val="000000" w:themeColor="text1"/>
                <w:sz w:val="20"/>
                <w:szCs w:val="20"/>
              </w:rPr>
              <w:t>to bring</w:t>
            </w:r>
            <w:proofErr w:type="gramEnd"/>
            <w:r w:rsidRPr="0016671C">
              <w:rPr>
                <w:rFonts w:ascii="Palatino Linotype" w:hAnsi="Palatino Linotype"/>
                <w:color w:val="000000" w:themeColor="text1"/>
                <w:sz w:val="20"/>
                <w:szCs w:val="20"/>
              </w:rPr>
              <w:t xml:space="preserve"> in the end users early in and throughout the R&amp;D process. One national laboratory suggested new equity KPIs: new jobs, health cost savings (NOx, CO, PM), reduction in premature deaths, fewer workdays lost. One research institution emphasized the importance of RD&amp;D for commercial and industrial end uses.”</w:t>
            </w:r>
            <w:r w:rsidRPr="0016671C">
              <w:rPr>
                <w:rStyle w:val="FootnoteReference"/>
                <w:rFonts w:ascii="Palatino Linotype" w:hAnsi="Palatino Linotype"/>
                <w:color w:val="000000" w:themeColor="text1"/>
                <w:sz w:val="20"/>
                <w:szCs w:val="20"/>
              </w:rPr>
              <w:footnoteReference w:id="241"/>
            </w:r>
          </w:p>
        </w:tc>
        <w:tc>
          <w:tcPr>
            <w:tcW w:w="3600" w:type="dxa"/>
          </w:tcPr>
          <w:p w:rsidRPr="0016671C" w:rsidR="00860D16" w:rsidRDefault="00860D16" w14:paraId="49AB297E" w14:textId="77777777">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lastRenderedPageBreak/>
              <w:t xml:space="preserve">SoCalGas describes feedback from stakeholders and </w:t>
            </w:r>
            <w:proofErr w:type="gramStart"/>
            <w:r w:rsidRPr="0016671C">
              <w:rPr>
                <w:rFonts w:ascii="Palatino Linotype" w:hAnsi="Palatino Linotype"/>
                <w:color w:val="000000" w:themeColor="text1"/>
                <w:sz w:val="20"/>
                <w:szCs w:val="20"/>
              </w:rPr>
              <w:t>a number of</w:t>
            </w:r>
            <w:proofErr w:type="gramEnd"/>
            <w:r w:rsidRPr="0016671C">
              <w:rPr>
                <w:rFonts w:ascii="Palatino Linotype" w:hAnsi="Palatino Linotype"/>
                <w:color w:val="000000" w:themeColor="text1"/>
                <w:sz w:val="20"/>
                <w:szCs w:val="20"/>
              </w:rPr>
              <w:t xml:space="preserve"> incorporation strategies. Per public workshop comments, SoCalGas includes metrics for many of the proposed Initiatives related to financial impacts and responds to </w:t>
            </w:r>
            <w:r w:rsidRPr="0016671C">
              <w:rPr>
                <w:rFonts w:ascii="Palatino Linotype" w:hAnsi="Palatino Linotype"/>
                <w:color w:val="000000" w:themeColor="text1"/>
                <w:sz w:val="20"/>
                <w:szCs w:val="20"/>
              </w:rPr>
              <w:lastRenderedPageBreak/>
              <w:t xml:space="preserve">some comments directly. However, SoCalGas does not discuss how or if each comment was considered for each Initiative. SoCalGas must comprehensively provide </w:t>
            </w:r>
            <w:proofErr w:type="gramStart"/>
            <w:r w:rsidRPr="0016671C">
              <w:rPr>
                <w:rFonts w:ascii="Palatino Linotype" w:hAnsi="Palatino Linotype"/>
                <w:color w:val="000000" w:themeColor="text1"/>
                <w:sz w:val="20"/>
                <w:szCs w:val="20"/>
              </w:rPr>
              <w:t>detail</w:t>
            </w:r>
            <w:proofErr w:type="gramEnd"/>
            <w:r w:rsidRPr="0016671C">
              <w:rPr>
                <w:rFonts w:ascii="Palatino Linotype" w:hAnsi="Palatino Linotype"/>
                <w:color w:val="000000" w:themeColor="text1"/>
                <w:sz w:val="20"/>
                <w:szCs w:val="20"/>
              </w:rPr>
              <w:t xml:space="preserve"> about how it incorporated feedback or otherwise explain why it did not incorporate the input. Specifically, SoCalGas should also go further in explicitly demonstrating and equating impacts to community benefits and human outcomes for all Initiatives per feedback from California Greenworks and the Public Workshop ESJ Advisory Panel. For transparency, SoCalGas should embed both stakeholder feedback and associated incorporation strategies in the description of each proposed Initiative. </w:t>
            </w:r>
            <w:r w:rsidRPr="0016671C">
              <w:rPr>
                <w:rFonts w:ascii="Palatino Linotype" w:hAnsi="Palatino Linotype"/>
                <w:b/>
                <w:color w:val="000000" w:themeColor="text1"/>
                <w:sz w:val="20"/>
                <w:szCs w:val="20"/>
              </w:rPr>
              <w:t xml:space="preserve">SoCalGas is </w:t>
            </w:r>
            <w:r w:rsidRPr="0016671C">
              <w:rPr>
                <w:rFonts w:ascii="Palatino Linotype" w:hAnsi="Palatino Linotype"/>
                <w:b/>
                <w:i/>
                <w:iCs/>
                <w:color w:val="000000" w:themeColor="text1"/>
                <w:sz w:val="20"/>
                <w:szCs w:val="20"/>
              </w:rPr>
              <w:t xml:space="preserve">not </w:t>
            </w:r>
            <w:r w:rsidRPr="0016671C">
              <w:rPr>
                <w:rFonts w:ascii="Palatino Linotype" w:hAnsi="Palatino Linotype"/>
                <w:b/>
                <w:color w:val="000000" w:themeColor="text1"/>
                <w:sz w:val="20"/>
                <w:szCs w:val="20"/>
              </w:rPr>
              <w:t>compliant with this requirement.</w:t>
            </w:r>
          </w:p>
        </w:tc>
      </w:tr>
      <w:tr w:rsidRPr="006F5335" w:rsidR="00860D16" w:rsidTr="00EE197B" w14:paraId="0D03CD09" w14:textId="77777777">
        <w:trPr>
          <w:trHeight w:val="638"/>
        </w:trPr>
        <w:tc>
          <w:tcPr>
            <w:tcW w:w="3744" w:type="dxa"/>
          </w:tcPr>
          <w:p w:rsidRPr="006F5335" w:rsidR="00860D16" w:rsidRDefault="00860D16" w14:paraId="76520180" w14:textId="6DA42E57">
            <w:pPr>
              <w:rPr>
                <w:rFonts w:ascii="Palatino Linotype" w:hAnsi="Palatino Linotype"/>
                <w:sz w:val="20"/>
                <w:szCs w:val="20"/>
              </w:rPr>
            </w:pPr>
            <w:r w:rsidRPr="006F5335">
              <w:rPr>
                <w:rFonts w:ascii="Palatino Linotype" w:hAnsi="Palatino Linotype"/>
                <w:b/>
                <w:sz w:val="20"/>
                <w:szCs w:val="20"/>
              </w:rPr>
              <w:lastRenderedPageBreak/>
              <w:t xml:space="preserve">[21] </w:t>
            </w:r>
            <w:hyperlink r:id="rId82">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In its 2024 Gas [RD&amp;D]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sh</w:t>
            </w:r>
            <w:r w:rsidRPr="006F5335">
              <w:rPr>
                <w:rFonts w:ascii="Palatino Linotype" w:hAnsi="Palatino Linotype" w:eastAsiaTheme="minorEastAsia"/>
                <w:i/>
                <w:sz w:val="20"/>
                <w:szCs w:val="20"/>
              </w:rPr>
              <w:t xml:space="preserve">all: </w:t>
            </w:r>
            <w:r w:rsidRPr="006F5335">
              <w:rPr>
                <w:rFonts w:ascii="Palatino Linotype" w:hAnsi="Palatino Linotype" w:eastAsiaTheme="minorEastAsia"/>
                <w:i/>
                <w:iCs/>
                <w:sz w:val="20"/>
                <w:szCs w:val="20"/>
              </w:rPr>
              <w:t xml:space="preserve">e. </w:t>
            </w:r>
            <w:r w:rsidRPr="006F5335">
              <w:rPr>
                <w:rFonts w:ascii="Palatino Linotype" w:hAnsi="Palatino Linotype" w:eastAsiaTheme="minorEastAsia"/>
                <w:i/>
                <w:sz w:val="20"/>
                <w:szCs w:val="20"/>
              </w:rPr>
              <w:t>Modify the term “benefits analysis framework” to “unif</w:t>
            </w:r>
            <w:r w:rsidRPr="006F5335">
              <w:rPr>
                <w:rFonts w:ascii="Palatino Linotype" w:hAnsi="Palatino Linotype"/>
                <w:i/>
                <w:iCs/>
                <w:sz w:val="20"/>
                <w:szCs w:val="20"/>
              </w:rPr>
              <w:t xml:space="preserve">orm impact analysis framework” to better </w:t>
            </w:r>
            <w:r w:rsidRPr="006F5335">
              <w:rPr>
                <w:rFonts w:ascii="Palatino Linotype" w:hAnsi="Palatino Linotype"/>
                <w:i/>
                <w:iCs/>
                <w:sz w:val="20"/>
                <w:szCs w:val="20"/>
              </w:rPr>
              <w:lastRenderedPageBreak/>
              <w:t>explain the Commission’s intent. SoCalGas shall implement the uniform impacts analysis framework approved in Appendix A of Decision (D.) 23-04-042, as relevant for Gas RD&amp;D, to allow for tracking and evaluating the quantitative impacts of all Gas RD&amp;D projects.</w:t>
            </w:r>
            <w:r w:rsidRPr="006F5335">
              <w:rPr>
                <w:rStyle w:val="FootnoteReference"/>
                <w:rFonts w:ascii="Palatino Linotype" w:hAnsi="Palatino Linotype"/>
                <w:i/>
                <w:iCs/>
                <w:sz w:val="20"/>
                <w:szCs w:val="20"/>
              </w:rPr>
              <w:footnoteReference w:id="242"/>
            </w:r>
          </w:p>
        </w:tc>
        <w:tc>
          <w:tcPr>
            <w:tcW w:w="6912" w:type="dxa"/>
          </w:tcPr>
          <w:p w:rsidRPr="0016671C" w:rsidR="00860D16" w:rsidRDefault="00860D16" w14:paraId="43107094" w14:textId="77777777">
            <w:pPr>
              <w:rPr>
                <w:rFonts w:ascii="Palatino Linotype" w:hAnsi="Palatino Linotype"/>
                <w:color w:val="000000" w:themeColor="text1"/>
                <w:sz w:val="20"/>
                <w:szCs w:val="20"/>
              </w:rPr>
            </w:pPr>
            <w:r w:rsidRPr="0016671C">
              <w:rPr>
                <w:rFonts w:ascii="Palatino Linotype" w:hAnsi="Palatino Linotype"/>
                <w:color w:val="000000" w:themeColor="text1"/>
                <w:sz w:val="20"/>
                <w:szCs w:val="20"/>
              </w:rPr>
              <w:lastRenderedPageBreak/>
              <w:t>SoCalGas states that staff “attended the EPIC UIAF Kickoff workshop, April 2, 2024, and has already enacted some of the staff recommendations found in EPIC. For example, all projects selected for support by SoCalGas RD&amp;D (1) must align with the CPUC’s strategic objectives, and (2) identify measurable goals.”</w:t>
            </w:r>
            <w:r w:rsidRPr="0016671C">
              <w:rPr>
                <w:rStyle w:val="FootnoteReference"/>
                <w:rFonts w:ascii="Palatino Linotype" w:hAnsi="Palatino Linotype"/>
                <w:color w:val="000000" w:themeColor="text1"/>
                <w:sz w:val="20"/>
                <w:szCs w:val="20"/>
              </w:rPr>
              <w:footnoteReference w:id="243"/>
            </w:r>
            <w:r w:rsidRPr="0016671C">
              <w:rPr>
                <w:rFonts w:ascii="Palatino Linotype" w:hAnsi="Palatino Linotype"/>
                <w:color w:val="000000" w:themeColor="text1"/>
                <w:sz w:val="20"/>
                <w:szCs w:val="20"/>
              </w:rPr>
              <w:t xml:space="preserve"> In Appendix 9, SoCalGas includes an EPIC Uniform </w:t>
            </w:r>
            <w:r w:rsidRPr="0016671C">
              <w:rPr>
                <w:rFonts w:ascii="Palatino Linotype" w:hAnsi="Palatino Linotype"/>
                <w:color w:val="000000" w:themeColor="text1"/>
                <w:sz w:val="20"/>
                <w:szCs w:val="20"/>
              </w:rPr>
              <w:lastRenderedPageBreak/>
              <w:t>Impacts Analysis Framework (UIAF) Conversion Matrix, including EPIC metrics and analogous natural gas system metrics.</w:t>
            </w:r>
          </w:p>
          <w:p w:rsidRPr="0016671C" w:rsidR="00860D16" w:rsidRDefault="00860D16" w14:paraId="68BBB8F4" w14:textId="77777777">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lists anticipated ratepayer benefits for each Initiative, including affordability, improved air quality, reduced GHG emissions, reliability, and improved safety.</w:t>
            </w:r>
            <w:r w:rsidRPr="0016671C">
              <w:rPr>
                <w:rStyle w:val="FootnoteReference"/>
                <w:rFonts w:ascii="Palatino Linotype" w:hAnsi="Palatino Linotype"/>
                <w:color w:val="000000" w:themeColor="text1"/>
                <w:sz w:val="20"/>
                <w:szCs w:val="20"/>
              </w:rPr>
              <w:footnoteReference w:id="244"/>
            </w:r>
            <w:r w:rsidRPr="0016671C">
              <w:rPr>
                <w:rFonts w:ascii="Palatino Linotype" w:hAnsi="Palatino Linotype"/>
                <w:color w:val="000000" w:themeColor="text1"/>
                <w:sz w:val="20"/>
                <w:szCs w:val="20"/>
              </w:rPr>
              <w:t xml:space="preserve"> SoCalGas lists potential metrics for tracking and evaluating quantitative impacts for each Initiative,</w:t>
            </w:r>
            <w:r w:rsidRPr="0016671C">
              <w:rPr>
                <w:rStyle w:val="FootnoteReference"/>
                <w:rFonts w:ascii="Palatino Linotype" w:hAnsi="Palatino Linotype"/>
                <w:color w:val="000000" w:themeColor="text1"/>
                <w:sz w:val="20"/>
                <w:szCs w:val="20"/>
              </w:rPr>
              <w:footnoteReference w:id="245"/>
            </w:r>
            <w:r w:rsidRPr="0016671C">
              <w:rPr>
                <w:rFonts w:ascii="Palatino Linotype" w:hAnsi="Palatino Linotype"/>
                <w:color w:val="000000" w:themeColor="text1"/>
                <w:sz w:val="20"/>
                <w:szCs w:val="20"/>
              </w:rPr>
              <w:t xml:space="preserve"> including: </w:t>
            </w:r>
          </w:p>
          <w:p w:rsidRPr="0016671C" w:rsidR="00860D16" w:rsidP="00860D16" w:rsidRDefault="00860D16" w14:paraId="04B344A8" w14:textId="77777777">
            <w:pPr>
              <w:pStyle w:val="ListParagraph"/>
              <w:numPr>
                <w:ilvl w:val="0"/>
                <w:numId w:val="38"/>
              </w:numPr>
              <w:rPr>
                <w:rFonts w:ascii="Palatino Linotype" w:hAnsi="Palatino Linotype" w:eastAsia="Palatino Linotype" w:cs="Times New Roman"/>
                <w:color w:val="000000" w:themeColor="text1"/>
                <w:sz w:val="20"/>
                <w:szCs w:val="20"/>
              </w:rPr>
            </w:pPr>
            <w:r w:rsidRPr="0016671C">
              <w:rPr>
                <w:rFonts w:ascii="Palatino Linotype" w:hAnsi="Palatino Linotype" w:eastAsia="Palatino Linotype" w:cs="Times New Roman"/>
                <w:color w:val="000000" w:themeColor="text1"/>
                <w:sz w:val="20"/>
                <w:szCs w:val="20"/>
                <w:u w:val="single"/>
              </w:rPr>
              <w:t>Environmental &amp; Safety</w:t>
            </w:r>
            <w:r w:rsidRPr="0016671C">
              <w:rPr>
                <w:rFonts w:ascii="Palatino Linotype" w:hAnsi="Palatino Linotype" w:eastAsia="Palatino Linotype" w:cs="Times New Roman"/>
                <w:color w:val="000000" w:themeColor="text1"/>
                <w:sz w:val="20"/>
                <w:szCs w:val="20"/>
              </w:rPr>
              <w:t>: Reduced GHG emissions attributed to loss of containment.</w:t>
            </w:r>
          </w:p>
          <w:p w:rsidRPr="0016671C" w:rsidR="00860D16" w:rsidP="00860D16" w:rsidRDefault="00860D16" w14:paraId="6C5D969A" w14:textId="77777777">
            <w:pPr>
              <w:pStyle w:val="ListParagraph"/>
              <w:numPr>
                <w:ilvl w:val="0"/>
                <w:numId w:val="38"/>
              </w:numPr>
              <w:rPr>
                <w:rFonts w:ascii="Palatino Linotype" w:hAnsi="Palatino Linotype" w:eastAsia="Palatino Linotype" w:cs="Times New Roman"/>
                <w:bCs w:val="0"/>
                <w:color w:val="000000" w:themeColor="text1"/>
                <w:sz w:val="20"/>
                <w:szCs w:val="20"/>
              </w:rPr>
            </w:pPr>
            <w:r w:rsidRPr="0016671C">
              <w:rPr>
                <w:rFonts w:ascii="Palatino Linotype" w:hAnsi="Palatino Linotype" w:eastAsia="Palatino Linotype" w:cs="Times New Roman"/>
                <w:color w:val="000000" w:themeColor="text1"/>
                <w:sz w:val="20"/>
                <w:szCs w:val="20"/>
                <w:u w:val="single"/>
              </w:rPr>
              <w:t>Operations Technology</w:t>
            </w:r>
            <w:r w:rsidRPr="0016671C">
              <w:rPr>
                <w:rFonts w:ascii="Palatino Linotype" w:hAnsi="Palatino Linotype" w:eastAsia="Palatino Linotype" w:cs="Times New Roman"/>
                <w:color w:val="000000" w:themeColor="text1"/>
                <w:sz w:val="20"/>
                <w:szCs w:val="20"/>
              </w:rPr>
              <w:t>: Reduced maintenance costs associated with locating inaccuracies and third-party damage.</w:t>
            </w:r>
          </w:p>
          <w:p w:rsidRPr="0016671C" w:rsidR="00860D16" w:rsidP="00860D16" w:rsidRDefault="00860D16" w14:paraId="5D678D47" w14:textId="77777777">
            <w:pPr>
              <w:pStyle w:val="ListParagraph"/>
              <w:numPr>
                <w:ilvl w:val="0"/>
                <w:numId w:val="38"/>
              </w:numPr>
              <w:rPr>
                <w:rFonts w:ascii="Palatino Linotype" w:hAnsi="Palatino Linotype" w:eastAsia="Palatino Linotype" w:cs="Times New Roman"/>
                <w:color w:val="000000" w:themeColor="text1"/>
                <w:sz w:val="20"/>
                <w:szCs w:val="20"/>
              </w:rPr>
            </w:pPr>
            <w:r w:rsidRPr="0016671C">
              <w:rPr>
                <w:rFonts w:ascii="Palatino Linotype" w:hAnsi="Palatino Linotype" w:eastAsia="Palatino Linotype" w:cs="Times New Roman"/>
                <w:color w:val="000000" w:themeColor="text1"/>
                <w:sz w:val="20"/>
                <w:szCs w:val="20"/>
                <w:u w:val="single"/>
              </w:rPr>
              <w:t>System Design &amp; Materials</w:t>
            </w:r>
            <w:r w:rsidRPr="0016671C">
              <w:rPr>
                <w:rFonts w:ascii="Palatino Linotype" w:hAnsi="Palatino Linotype" w:eastAsia="Palatino Linotype" w:cs="Times New Roman"/>
                <w:color w:val="000000" w:themeColor="text1"/>
                <w:sz w:val="20"/>
                <w:szCs w:val="20"/>
              </w:rPr>
              <w:t>: Reduced operating costs associated with physical emergency response.</w:t>
            </w:r>
          </w:p>
          <w:p w:rsidRPr="0016671C" w:rsidR="00860D16" w:rsidP="00860D16" w:rsidRDefault="00860D16" w14:paraId="68A3B608" w14:textId="77777777">
            <w:pPr>
              <w:pStyle w:val="ListParagraph"/>
              <w:numPr>
                <w:ilvl w:val="0"/>
                <w:numId w:val="38"/>
              </w:numPr>
              <w:rPr>
                <w:rFonts w:ascii="Palatino Linotype" w:hAnsi="Palatino Linotype" w:eastAsia="Palatino Linotype" w:cs="Times New Roman"/>
                <w:color w:val="000000" w:themeColor="text1"/>
                <w:sz w:val="20"/>
                <w:szCs w:val="20"/>
              </w:rPr>
            </w:pPr>
            <w:r w:rsidRPr="0016671C">
              <w:rPr>
                <w:rFonts w:ascii="Palatino Linotype" w:hAnsi="Palatino Linotype" w:eastAsia="Palatino Linotype" w:cs="Times New Roman"/>
                <w:color w:val="000000" w:themeColor="text1"/>
                <w:sz w:val="20"/>
                <w:szCs w:val="20"/>
                <w:u w:val="single"/>
              </w:rPr>
              <w:t>System Inspection &amp; Monitoring</w:t>
            </w:r>
            <w:r w:rsidRPr="0016671C">
              <w:rPr>
                <w:rFonts w:ascii="Palatino Linotype" w:hAnsi="Palatino Linotype" w:eastAsia="Palatino Linotype" w:cs="Times New Roman"/>
                <w:color w:val="000000" w:themeColor="text1"/>
                <w:sz w:val="20"/>
                <w:szCs w:val="20"/>
              </w:rPr>
              <w:t>: Reduced monitoring costs associated with remote monitoring vs. traditional in person monitoring.</w:t>
            </w:r>
          </w:p>
          <w:p w:rsidRPr="0016671C" w:rsidR="00860D16" w:rsidP="00860D16" w:rsidRDefault="00860D16" w14:paraId="6B8B378E" w14:textId="77777777">
            <w:pPr>
              <w:pStyle w:val="ListParagraph"/>
              <w:numPr>
                <w:ilvl w:val="0"/>
                <w:numId w:val="38"/>
              </w:numPr>
              <w:rPr>
                <w:rFonts w:ascii="Palatino Linotype" w:hAnsi="Palatino Linotype" w:eastAsia="Palatino Linotype" w:cs="Times New Roman"/>
                <w:bCs w:val="0"/>
                <w:color w:val="000000" w:themeColor="text1"/>
                <w:sz w:val="18"/>
                <w:szCs w:val="18"/>
              </w:rPr>
            </w:pPr>
            <w:r w:rsidRPr="0016671C">
              <w:rPr>
                <w:rFonts w:ascii="Palatino Linotype" w:hAnsi="Palatino Linotype" w:eastAsia="Palatino Linotype" w:cs="Times New Roman"/>
                <w:color w:val="000000" w:themeColor="text1"/>
                <w:sz w:val="20"/>
                <w:szCs w:val="20"/>
              </w:rPr>
              <w:t xml:space="preserve">Maintained / reduced operations and maintenance and capital costs for </w:t>
            </w:r>
            <w:r w:rsidRPr="0016671C">
              <w:rPr>
                <w:rFonts w:ascii="Palatino Linotype" w:hAnsi="Palatino Linotype" w:eastAsia="Palatino Linotype" w:cs="Times New Roman"/>
                <w:color w:val="000000" w:themeColor="text1"/>
                <w:sz w:val="20"/>
                <w:szCs w:val="20"/>
                <w:u w:val="single"/>
              </w:rPr>
              <w:t>RNG Infrastructure Optimization</w:t>
            </w:r>
            <w:r w:rsidRPr="0016671C">
              <w:rPr>
                <w:rFonts w:ascii="Palatino Linotype" w:hAnsi="Palatino Linotype" w:eastAsia="Palatino Linotype" w:cs="Times New Roman"/>
                <w:color w:val="000000" w:themeColor="text1"/>
                <w:sz w:val="20"/>
                <w:szCs w:val="20"/>
              </w:rPr>
              <w:t xml:space="preserve">, </w:t>
            </w:r>
            <w:r w:rsidRPr="0016671C">
              <w:rPr>
                <w:rFonts w:ascii="Palatino Linotype" w:hAnsi="Palatino Linotype" w:eastAsia="Palatino Linotype" w:cs="Times New Roman"/>
                <w:color w:val="000000" w:themeColor="text1"/>
                <w:sz w:val="20"/>
                <w:szCs w:val="20"/>
                <w:u w:val="single"/>
              </w:rPr>
              <w:t>Low-Carbon Fuels Technologies</w:t>
            </w:r>
            <w:r w:rsidRPr="0016671C">
              <w:rPr>
                <w:rFonts w:ascii="Palatino Linotype" w:hAnsi="Palatino Linotype" w:eastAsia="Palatino Linotype" w:cs="Times New Roman"/>
                <w:color w:val="000000" w:themeColor="text1"/>
                <w:sz w:val="20"/>
                <w:szCs w:val="20"/>
              </w:rPr>
              <w:t xml:space="preserve">, and </w:t>
            </w:r>
            <w:r w:rsidRPr="0016671C">
              <w:rPr>
                <w:rFonts w:ascii="Palatino Linotype" w:hAnsi="Palatino Linotype" w:eastAsia="Palatino Linotype" w:cs="Times New Roman"/>
                <w:color w:val="000000" w:themeColor="text1"/>
                <w:sz w:val="20"/>
                <w:szCs w:val="20"/>
                <w:u w:val="single"/>
              </w:rPr>
              <w:t>Low-Carbon Fuels Integration</w:t>
            </w:r>
            <w:r w:rsidRPr="0016671C">
              <w:rPr>
                <w:rFonts w:ascii="Palatino Linotype" w:hAnsi="Palatino Linotype" w:eastAsia="Palatino Linotype" w:cs="Times New Roman"/>
                <w:color w:val="000000" w:themeColor="text1"/>
                <w:sz w:val="20"/>
                <w:szCs w:val="20"/>
              </w:rPr>
              <w:t>.</w:t>
            </w:r>
          </w:p>
          <w:p w:rsidRPr="0016671C" w:rsidR="00860D16" w:rsidP="00860D16" w:rsidRDefault="00860D16" w14:paraId="56DF3CF1" w14:textId="77777777">
            <w:pPr>
              <w:pStyle w:val="ListParagraph"/>
              <w:numPr>
                <w:ilvl w:val="0"/>
                <w:numId w:val="38"/>
              </w:numPr>
              <w:rPr>
                <w:rFonts w:ascii="Palatino Linotype" w:hAnsi="Palatino Linotype" w:eastAsia="Palatino Linotype" w:cs="Times New Roman"/>
                <w:bCs w:val="0"/>
                <w:color w:val="000000" w:themeColor="text1"/>
                <w:sz w:val="18"/>
                <w:szCs w:val="18"/>
              </w:rPr>
            </w:pPr>
            <w:r w:rsidRPr="0016671C">
              <w:rPr>
                <w:rFonts w:ascii="Palatino Linotype" w:hAnsi="Palatino Linotype" w:eastAsia="Palatino Linotype" w:cs="Times New Roman"/>
                <w:color w:val="000000" w:themeColor="text1"/>
                <w:sz w:val="20"/>
                <w:szCs w:val="20"/>
                <w:u w:val="single"/>
              </w:rPr>
              <w:t>Gas &amp; Energy Storage</w:t>
            </w:r>
            <w:r w:rsidRPr="0016671C">
              <w:rPr>
                <w:rFonts w:ascii="Palatino Linotype" w:hAnsi="Palatino Linotype" w:eastAsia="Palatino Linotype" w:cs="Times New Roman"/>
                <w:color w:val="000000" w:themeColor="text1"/>
                <w:sz w:val="20"/>
                <w:szCs w:val="20"/>
              </w:rPr>
              <w:t>: Reduced renewable energy costs.</w:t>
            </w:r>
          </w:p>
          <w:p w:rsidRPr="0016671C" w:rsidR="00860D16" w:rsidP="00860D16" w:rsidRDefault="00860D16" w14:paraId="4D31DB37" w14:textId="77777777">
            <w:pPr>
              <w:pStyle w:val="ListParagraph"/>
              <w:numPr>
                <w:ilvl w:val="0"/>
                <w:numId w:val="38"/>
              </w:numPr>
              <w:spacing w:after="160"/>
              <w:rPr>
                <w:rFonts w:ascii="Palatino Linotype" w:hAnsi="Palatino Linotype" w:eastAsia="Palatino Linotype" w:cs="Times New Roman"/>
                <w:color w:val="000000" w:themeColor="text1"/>
                <w:sz w:val="18"/>
                <w:szCs w:val="18"/>
              </w:rPr>
            </w:pPr>
            <w:r w:rsidRPr="0016671C">
              <w:rPr>
                <w:rFonts w:ascii="Palatino Linotype" w:hAnsi="Palatino Linotype" w:eastAsia="Palatino Linotype" w:cs="Times New Roman"/>
                <w:color w:val="000000" w:themeColor="text1"/>
                <w:sz w:val="20"/>
                <w:szCs w:val="20"/>
              </w:rPr>
              <w:t xml:space="preserve">Customer bill savings (dollars saved) for </w:t>
            </w:r>
            <w:r w:rsidRPr="0016671C">
              <w:rPr>
                <w:rFonts w:ascii="Palatino Linotype" w:hAnsi="Palatino Linotype" w:eastAsia="Palatino Linotype" w:cs="Times New Roman"/>
                <w:color w:val="000000" w:themeColor="text1"/>
                <w:sz w:val="20"/>
                <w:szCs w:val="20"/>
                <w:u w:val="single"/>
              </w:rPr>
              <w:t>Energy Reliability &amp; Resilience</w:t>
            </w:r>
            <w:r w:rsidRPr="0016671C">
              <w:rPr>
                <w:rFonts w:ascii="Palatino Linotype" w:hAnsi="Palatino Linotype" w:eastAsia="Palatino Linotype" w:cs="Times New Roman"/>
                <w:color w:val="000000" w:themeColor="text1"/>
                <w:sz w:val="20"/>
                <w:szCs w:val="20"/>
              </w:rPr>
              <w:t xml:space="preserve"> and </w:t>
            </w:r>
            <w:r w:rsidRPr="0016671C">
              <w:rPr>
                <w:rFonts w:ascii="Palatino Linotype" w:hAnsi="Palatino Linotype" w:eastAsia="Palatino Linotype" w:cs="Times New Roman"/>
                <w:color w:val="000000" w:themeColor="text1"/>
                <w:sz w:val="20"/>
                <w:szCs w:val="20"/>
                <w:u w:val="single"/>
              </w:rPr>
              <w:t>Building &amp; Facility Systems</w:t>
            </w:r>
            <w:r w:rsidRPr="0016671C">
              <w:rPr>
                <w:rFonts w:ascii="Palatino Linotype" w:hAnsi="Palatino Linotype" w:eastAsia="Palatino Linotype" w:cs="Times New Roman"/>
                <w:color w:val="000000" w:themeColor="text1"/>
                <w:sz w:val="20"/>
                <w:szCs w:val="20"/>
              </w:rPr>
              <w:t>.</w:t>
            </w:r>
          </w:p>
        </w:tc>
        <w:tc>
          <w:tcPr>
            <w:tcW w:w="3600" w:type="dxa"/>
          </w:tcPr>
          <w:p w:rsidRPr="0016671C" w:rsidR="00860D16" w:rsidRDefault="00860D16" w14:paraId="0CB3BBE1" w14:textId="77777777">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lastRenderedPageBreak/>
              <w:t xml:space="preserve">SoCalGas describes anticipated ratepayer benefits and defines appropriate metrics for conducting impact analyses attributable to each </w:t>
            </w:r>
            <w:r w:rsidRPr="0016671C">
              <w:rPr>
                <w:rFonts w:ascii="Palatino Linotype" w:hAnsi="Palatino Linotype"/>
                <w:color w:val="000000" w:themeColor="text1"/>
                <w:sz w:val="20"/>
                <w:szCs w:val="20"/>
              </w:rPr>
              <w:lastRenderedPageBreak/>
              <w:t xml:space="preserve">Initiative. </w:t>
            </w:r>
            <w:r w:rsidRPr="0016671C">
              <w:rPr>
                <w:rFonts w:ascii="Palatino Linotype" w:hAnsi="Palatino Linotype"/>
                <w:b/>
                <w:color w:val="000000" w:themeColor="text1"/>
                <w:sz w:val="20"/>
                <w:szCs w:val="20"/>
              </w:rPr>
              <w:t>SoCalGas is compliant with this requirement.</w:t>
            </w:r>
          </w:p>
          <w:p w:rsidRPr="0016671C" w:rsidR="00860D16" w:rsidRDefault="00860D16" w14:paraId="663B539E" w14:textId="77777777">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However, SoCalGas shall review its 2024 Plan for elements of Initiatives that primarily support compliance with existing requirements/regulations or ongoing operations and maintenance activities and refine as necessary to demonstrate that RD&amp;D is innovative and produces impacts that would not otherwise be expected to occur. SoCalGas </w:t>
            </w:r>
            <w:proofErr w:type="gramStart"/>
            <w:r w:rsidRPr="0016671C">
              <w:rPr>
                <w:rFonts w:ascii="Palatino Linotype" w:hAnsi="Palatino Linotype"/>
                <w:color w:val="000000" w:themeColor="text1"/>
                <w:sz w:val="20"/>
                <w:szCs w:val="20"/>
              </w:rPr>
              <w:t>shall</w:t>
            </w:r>
            <w:proofErr w:type="gramEnd"/>
            <w:r w:rsidRPr="0016671C">
              <w:rPr>
                <w:rFonts w:ascii="Palatino Linotype" w:hAnsi="Palatino Linotype"/>
                <w:color w:val="000000" w:themeColor="text1"/>
                <w:sz w:val="20"/>
                <w:szCs w:val="20"/>
              </w:rPr>
              <w:t xml:space="preserve"> also clearly articulate impact analyses resulting from the described methods in addition to lessons learned in project reports and Annual Reports.</w:t>
            </w:r>
            <w:r w:rsidRPr="0016671C">
              <w:rPr>
                <w:rStyle w:val="FootnoteReference"/>
                <w:rFonts w:ascii="Palatino Linotype" w:hAnsi="Palatino Linotype"/>
                <w:color w:val="000000" w:themeColor="text1"/>
                <w:sz w:val="20"/>
                <w:szCs w:val="20"/>
              </w:rPr>
              <w:footnoteReference w:id="246"/>
            </w:r>
          </w:p>
        </w:tc>
      </w:tr>
      <w:tr w:rsidRPr="006F5335" w:rsidR="00860D16" w:rsidTr="00EE197B" w14:paraId="5962961E" w14:textId="77777777">
        <w:trPr>
          <w:trHeight w:val="638"/>
        </w:trPr>
        <w:tc>
          <w:tcPr>
            <w:tcW w:w="3744" w:type="dxa"/>
          </w:tcPr>
          <w:p w:rsidRPr="006F5335" w:rsidR="00860D16" w:rsidRDefault="00860D16" w14:paraId="65DD96AD" w14:textId="77777777">
            <w:pPr>
              <w:rPr>
                <w:rFonts w:ascii="Palatino Linotype" w:hAnsi="Palatino Linotype"/>
                <w:i/>
                <w:iCs/>
                <w:sz w:val="20"/>
                <w:szCs w:val="20"/>
              </w:rPr>
            </w:pPr>
            <w:r w:rsidRPr="006F5335">
              <w:rPr>
                <w:rFonts w:ascii="Palatino Linotype" w:hAnsi="Palatino Linotype"/>
                <w:b/>
                <w:sz w:val="20"/>
                <w:szCs w:val="20"/>
              </w:rPr>
              <w:lastRenderedPageBreak/>
              <w:t xml:space="preserve">[22] </w:t>
            </w:r>
            <w:hyperlink r:id="rId83">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In its 2024 Gas [RD&amp;D]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xml:space="preserve">] shall: f. Use the Disadvantaged Communities Advisory Group’s (DACAG) Equity Framework for guidance on how to develop research projects that benefit Environmental and Social Justice (ESJ) </w:t>
            </w:r>
            <w:r w:rsidRPr="006F5335">
              <w:rPr>
                <w:rFonts w:ascii="Palatino Linotype" w:hAnsi="Palatino Linotype"/>
                <w:i/>
                <w:iCs/>
                <w:sz w:val="20"/>
                <w:szCs w:val="20"/>
              </w:rPr>
              <w:lastRenderedPageBreak/>
              <w:t xml:space="preserve">communities as well as engage with disadvantaged, low-income, and tribal communities. SoCalGas shall demonstrate in its research plan how it applied </w:t>
            </w:r>
            <w:proofErr w:type="gramStart"/>
            <w:r w:rsidRPr="006F5335">
              <w:rPr>
                <w:rFonts w:ascii="Palatino Linotype" w:hAnsi="Palatino Linotype"/>
                <w:i/>
                <w:iCs/>
                <w:sz w:val="20"/>
                <w:szCs w:val="20"/>
              </w:rPr>
              <w:t>the DACAG’s</w:t>
            </w:r>
            <w:proofErr w:type="gramEnd"/>
            <w:r w:rsidRPr="006F5335">
              <w:rPr>
                <w:rFonts w:ascii="Palatino Linotype" w:hAnsi="Palatino Linotype"/>
                <w:i/>
                <w:iCs/>
                <w:sz w:val="20"/>
                <w:szCs w:val="20"/>
              </w:rPr>
              <w:t xml:space="preserve"> Equity Framework and offer to brief DACAG members on its annual gas [RD&amp;D] proposals. Further, SoCalGas shall describe the benefits and impacts of its RD&amp;D work in ESJ communities in its annual Plan.</w:t>
            </w:r>
          </w:p>
          <w:p w:rsidRPr="006F5335" w:rsidR="00860D16" w:rsidRDefault="00860D16" w14:paraId="00EA64D6" w14:textId="77777777">
            <w:pPr>
              <w:rPr>
                <w:rFonts w:ascii="Palatino Linotype" w:hAnsi="Palatino Linotype"/>
                <w:i/>
                <w:iCs/>
                <w:sz w:val="20"/>
                <w:szCs w:val="20"/>
              </w:rPr>
            </w:pPr>
          </w:p>
          <w:p w:rsidRPr="006F5335" w:rsidR="00860D16" w:rsidRDefault="00860D16" w14:paraId="3B2B0E21" w14:textId="77777777">
            <w:pPr>
              <w:rPr>
                <w:rFonts w:ascii="Palatino Linotype" w:hAnsi="Palatino Linotype"/>
                <w:color w:val="000000" w:themeColor="text1"/>
                <w:sz w:val="20"/>
                <w:szCs w:val="20"/>
              </w:rPr>
            </w:pPr>
            <w:r w:rsidRPr="006F5335">
              <w:rPr>
                <w:rFonts w:ascii="Palatino Linotype" w:hAnsi="Palatino Linotype"/>
                <w:color w:val="000000" w:themeColor="text1"/>
                <w:sz w:val="20"/>
                <w:szCs w:val="20"/>
              </w:rPr>
              <w:t>See also: [20] on integration of public stakeholder feedback, including an ESJ Advisory Panel.</w:t>
            </w:r>
          </w:p>
          <w:p w:rsidRPr="006F5335" w:rsidR="00860D16" w:rsidRDefault="00860D16" w14:paraId="7DC9DE27" w14:textId="77777777">
            <w:pPr>
              <w:rPr>
                <w:sz w:val="20"/>
                <w:szCs w:val="20"/>
              </w:rPr>
            </w:pPr>
          </w:p>
        </w:tc>
        <w:tc>
          <w:tcPr>
            <w:tcW w:w="6912" w:type="dxa"/>
          </w:tcPr>
          <w:p w:rsidRPr="0016671C" w:rsidR="00860D16" w:rsidRDefault="00860D16" w14:paraId="445C857D"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In Appendix 6, SoCalGas states that it “will draw from the DACAG’s Equity Framework to help guide efforts toward outcomes that could benefit ESJ communities over time” and “consider a variety of approaches” such as non-energy benefits (NEBs), affordability, access, outreach, education, community engagement, health, safety, financial benefits, economic development, and workforce development.</w:t>
            </w:r>
            <w:r w:rsidRPr="0016671C">
              <w:rPr>
                <w:rStyle w:val="FootnoteReference"/>
                <w:rFonts w:ascii="Palatino Linotype" w:hAnsi="Palatino Linotype"/>
                <w:color w:val="000000" w:themeColor="text1"/>
                <w:sz w:val="20"/>
                <w:szCs w:val="20"/>
              </w:rPr>
              <w:footnoteReference w:id="247"/>
            </w:r>
            <w:r w:rsidRPr="0016671C">
              <w:rPr>
                <w:rFonts w:ascii="Palatino Linotype" w:hAnsi="Palatino Linotype"/>
                <w:i/>
                <w:iCs/>
                <w:color w:val="000000" w:themeColor="text1"/>
                <w:sz w:val="20"/>
                <w:szCs w:val="20"/>
              </w:rPr>
              <w:t xml:space="preserve"> </w:t>
            </w:r>
            <w:r w:rsidRPr="0016671C">
              <w:rPr>
                <w:rFonts w:ascii="Palatino Linotype" w:hAnsi="Palatino Linotype"/>
                <w:color w:val="000000" w:themeColor="text1"/>
                <w:sz w:val="20"/>
                <w:szCs w:val="20"/>
              </w:rPr>
              <w:t xml:space="preserve">SoCalGas describes </w:t>
            </w:r>
            <w:r w:rsidRPr="0016671C">
              <w:rPr>
                <w:rFonts w:ascii="Palatino Linotype" w:hAnsi="Palatino Linotype"/>
                <w:color w:val="000000" w:themeColor="text1"/>
                <w:sz w:val="20"/>
                <w:szCs w:val="20"/>
              </w:rPr>
              <w:lastRenderedPageBreak/>
              <w:t xml:space="preserve">outreach to the DACAG, including briefing them on April 18, 2025, to share its proposed Plan and solicit input. SoCalGas reports that the DACAG: </w:t>
            </w:r>
          </w:p>
          <w:p w:rsidRPr="0016671C" w:rsidR="00860D16" w:rsidP="00860D16" w:rsidRDefault="00860D16" w14:paraId="2C79E80D" w14:textId="77777777">
            <w:pPr>
              <w:pStyle w:val="ListParagraph"/>
              <w:numPr>
                <w:ilvl w:val="0"/>
                <w:numId w:val="42"/>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w:t>
            </w:r>
            <w:proofErr w:type="gramStart"/>
            <w:r w:rsidRPr="0016671C">
              <w:rPr>
                <w:rFonts w:ascii="Palatino Linotype" w:hAnsi="Palatino Linotype"/>
                <w:color w:val="000000" w:themeColor="text1"/>
                <w:sz w:val="20"/>
                <w:szCs w:val="20"/>
              </w:rPr>
              <w:t>is</w:t>
            </w:r>
            <w:proofErr w:type="gramEnd"/>
            <w:r w:rsidRPr="0016671C">
              <w:rPr>
                <w:rFonts w:ascii="Palatino Linotype" w:hAnsi="Palatino Linotype"/>
                <w:color w:val="000000" w:themeColor="text1"/>
                <w:sz w:val="20"/>
                <w:szCs w:val="20"/>
              </w:rPr>
              <w:t xml:space="preserve"> interested in data around RNG constituents (including any potential emissions data) and compressor operations data; they requested data be shared publicly to the extent possible;”</w:t>
            </w:r>
            <w:r w:rsidRPr="0016671C">
              <w:rPr>
                <w:rStyle w:val="FootnoteReference"/>
                <w:rFonts w:ascii="Palatino Linotype" w:hAnsi="Palatino Linotype"/>
                <w:color w:val="000000" w:themeColor="text1"/>
                <w:sz w:val="20"/>
                <w:szCs w:val="20"/>
              </w:rPr>
              <w:footnoteReference w:id="248"/>
            </w:r>
            <w:r w:rsidRPr="0016671C">
              <w:rPr>
                <w:rFonts w:ascii="Palatino Linotype" w:hAnsi="Palatino Linotype"/>
                <w:color w:val="000000" w:themeColor="text1"/>
                <w:sz w:val="20"/>
                <w:szCs w:val="20"/>
              </w:rPr>
              <w:t xml:space="preserve"> </w:t>
            </w:r>
          </w:p>
          <w:p w:rsidRPr="0016671C" w:rsidR="00860D16" w:rsidP="00860D16" w:rsidRDefault="00860D16" w14:paraId="5BC7F3D1" w14:textId="77777777">
            <w:pPr>
              <w:pStyle w:val="ListParagraph"/>
              <w:numPr>
                <w:ilvl w:val="0"/>
                <w:numId w:val="42"/>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w:t>
            </w:r>
            <w:proofErr w:type="gramStart"/>
            <w:r w:rsidRPr="0016671C">
              <w:rPr>
                <w:rFonts w:ascii="Palatino Linotype" w:hAnsi="Palatino Linotype"/>
                <w:color w:val="000000" w:themeColor="text1"/>
                <w:sz w:val="20"/>
                <w:szCs w:val="20"/>
              </w:rPr>
              <w:t>asked</w:t>
            </w:r>
            <w:proofErr w:type="gramEnd"/>
            <w:r w:rsidRPr="0016671C">
              <w:rPr>
                <w:rFonts w:ascii="Palatino Linotype" w:hAnsi="Palatino Linotype"/>
                <w:color w:val="000000" w:themeColor="text1"/>
                <w:sz w:val="20"/>
                <w:szCs w:val="20"/>
              </w:rPr>
              <w:t xml:space="preserve"> how SoCalGas will offset the impact of these projects. For projects developing technologies to advance the production of renewable gas, any resulting emissions will be addressed through mitigation or capture;”</w:t>
            </w:r>
            <w:r w:rsidRPr="0016671C">
              <w:rPr>
                <w:rStyle w:val="FootnoteReference"/>
                <w:rFonts w:ascii="Palatino Linotype" w:hAnsi="Palatino Linotype"/>
                <w:color w:val="000000" w:themeColor="text1"/>
                <w:sz w:val="20"/>
                <w:szCs w:val="20"/>
              </w:rPr>
              <w:footnoteReference w:id="249"/>
            </w:r>
            <w:r w:rsidRPr="0016671C">
              <w:rPr>
                <w:rFonts w:ascii="Palatino Linotype" w:hAnsi="Palatino Linotype"/>
                <w:color w:val="000000" w:themeColor="text1"/>
                <w:sz w:val="20"/>
                <w:szCs w:val="20"/>
              </w:rPr>
              <w:t xml:space="preserve"> and </w:t>
            </w:r>
          </w:p>
          <w:p w:rsidRPr="0016671C" w:rsidR="00860D16" w:rsidP="00860D16" w:rsidRDefault="00860D16" w14:paraId="20E18281" w14:textId="77777777">
            <w:pPr>
              <w:pStyle w:val="ListParagraph"/>
              <w:numPr>
                <w:ilvl w:val="0"/>
                <w:numId w:val="42"/>
              </w:numPr>
              <w:spacing w:before="240"/>
              <w:rPr>
                <w:rStyle w:val="FootnoteReference"/>
                <w:rFonts w:ascii="Palatino Linotype" w:hAnsi="Palatino Linotype"/>
                <w:color w:val="000000" w:themeColor="text1"/>
                <w:sz w:val="20"/>
                <w:szCs w:val="20"/>
              </w:rPr>
            </w:pPr>
            <w:r w:rsidRPr="0016671C">
              <w:rPr>
                <w:rFonts w:ascii="Palatino Linotype" w:hAnsi="Palatino Linotype"/>
                <w:color w:val="000000" w:themeColor="text1"/>
                <w:sz w:val="20"/>
                <w:szCs w:val="20"/>
              </w:rPr>
              <w:t>“</w:t>
            </w:r>
            <w:proofErr w:type="gramStart"/>
            <w:r w:rsidRPr="0016671C">
              <w:rPr>
                <w:rFonts w:ascii="Palatino Linotype" w:hAnsi="Palatino Linotype"/>
                <w:color w:val="000000" w:themeColor="text1"/>
                <w:sz w:val="20"/>
                <w:szCs w:val="20"/>
              </w:rPr>
              <w:t>recommended</w:t>
            </w:r>
            <w:proofErr w:type="gramEnd"/>
            <w:r w:rsidRPr="0016671C">
              <w:rPr>
                <w:rFonts w:ascii="Palatino Linotype" w:hAnsi="Palatino Linotype"/>
                <w:color w:val="000000" w:themeColor="text1"/>
                <w:sz w:val="20"/>
                <w:szCs w:val="20"/>
              </w:rPr>
              <w:t xml:space="preserve"> that this initiative </w:t>
            </w:r>
            <w:proofErr w:type="gramStart"/>
            <w:r w:rsidRPr="0016671C">
              <w:rPr>
                <w:rFonts w:ascii="Palatino Linotype" w:hAnsi="Palatino Linotype"/>
                <w:color w:val="000000" w:themeColor="text1"/>
                <w:sz w:val="20"/>
                <w:szCs w:val="20"/>
              </w:rPr>
              <w:t>exclude</w:t>
            </w:r>
            <w:proofErr w:type="gramEnd"/>
            <w:r w:rsidRPr="0016671C">
              <w:rPr>
                <w:rFonts w:ascii="Palatino Linotype" w:hAnsi="Palatino Linotype"/>
                <w:color w:val="000000" w:themeColor="text1"/>
                <w:sz w:val="20"/>
                <w:szCs w:val="20"/>
              </w:rPr>
              <w:t xml:space="preserve"> gas-fired air conditioning” for the Building &amp; Facility Systems Initiative.</w:t>
            </w:r>
            <w:r w:rsidRPr="0016671C">
              <w:rPr>
                <w:rStyle w:val="FootnoteReference"/>
                <w:rFonts w:ascii="Palatino Linotype" w:hAnsi="Palatino Linotype"/>
                <w:color w:val="000000" w:themeColor="text1"/>
                <w:sz w:val="20"/>
                <w:szCs w:val="20"/>
              </w:rPr>
              <w:t xml:space="preserve"> </w:t>
            </w:r>
            <w:r w:rsidRPr="0016671C">
              <w:rPr>
                <w:rStyle w:val="FootnoteReference"/>
                <w:rFonts w:ascii="Palatino Linotype" w:hAnsi="Palatino Linotype"/>
                <w:color w:val="000000" w:themeColor="text1"/>
                <w:sz w:val="20"/>
                <w:szCs w:val="20"/>
              </w:rPr>
              <w:footnoteReference w:id="250"/>
            </w:r>
          </w:p>
          <w:p w:rsidRPr="0016671C" w:rsidR="00860D16" w:rsidRDefault="00860D16" w14:paraId="06583FB8" w14:textId="77777777">
            <w:pPr>
              <w:spacing w:before="240"/>
              <w:rPr>
                <w:color w:val="000000" w:themeColor="text1"/>
              </w:rPr>
            </w:pPr>
            <w:r w:rsidRPr="0016671C">
              <w:rPr>
                <w:rFonts w:ascii="Palatino Linotype" w:hAnsi="Palatino Linotype"/>
                <w:color w:val="000000" w:themeColor="text1"/>
                <w:sz w:val="20"/>
                <w:szCs w:val="20"/>
              </w:rPr>
              <w:t xml:space="preserve">In response, SoCalGas states: </w:t>
            </w:r>
          </w:p>
          <w:p w:rsidRPr="0016671C" w:rsidR="00860D16" w:rsidP="00860D16" w:rsidRDefault="00860D16" w14:paraId="029139CF" w14:textId="77777777">
            <w:pPr>
              <w:pStyle w:val="ListParagraph"/>
              <w:numPr>
                <w:ilvl w:val="0"/>
                <w:numId w:val="46"/>
              </w:numPr>
              <w:ind w:left="360"/>
              <w:rPr>
                <w:color w:val="000000" w:themeColor="text1"/>
                <w:vertAlign w:val="superscript"/>
              </w:rPr>
            </w:pPr>
            <w:r w:rsidRPr="0016671C">
              <w:rPr>
                <w:rFonts w:ascii="Palatino Linotype" w:hAnsi="Palatino Linotype" w:eastAsia="Palatino Linotype" w:cs="Palatino Linotype"/>
                <w:color w:val="000000" w:themeColor="text1"/>
                <w:sz w:val="20"/>
                <w:szCs w:val="20"/>
              </w:rPr>
              <w:t>“Several projects include monitoring and testing for trace constituents that will result in data available through reports and presentations. As applicable, data that is published for public consumption will be shared publicly.”</w:t>
            </w:r>
          </w:p>
          <w:p w:rsidRPr="0016671C" w:rsidR="00860D16" w:rsidP="00860D16" w:rsidRDefault="00860D16" w14:paraId="18636403" w14:textId="77777777">
            <w:pPr>
              <w:pStyle w:val="ListParagraph"/>
              <w:numPr>
                <w:ilvl w:val="0"/>
                <w:numId w:val="46"/>
              </w:numPr>
              <w:ind w:left="360"/>
              <w:rPr>
                <w:rFonts w:ascii="Palatino Linotype" w:hAnsi="Palatino Linotype"/>
                <w:bCs w:val="0"/>
                <w:color w:val="000000" w:themeColor="text1"/>
                <w:sz w:val="20"/>
                <w:szCs w:val="20"/>
              </w:rPr>
            </w:pPr>
            <w:r w:rsidRPr="0016671C">
              <w:rPr>
                <w:rFonts w:ascii="Palatino Linotype" w:hAnsi="Palatino Linotype" w:eastAsia="Palatino Linotype" w:cs="Palatino Linotype"/>
                <w:color w:val="000000" w:themeColor="text1"/>
                <w:sz w:val="20"/>
                <w:szCs w:val="20"/>
              </w:rPr>
              <w:t>“For projects developing technologies to advance the storage of renewable gas, any resulting emissions will be addressed through mitigation or capture.”</w:t>
            </w:r>
            <w:r w:rsidRPr="0016671C">
              <w:rPr>
                <w:rFonts w:ascii="Palatino Linotype" w:hAnsi="Palatino Linotype"/>
                <w:color w:val="000000" w:themeColor="text1"/>
                <w:sz w:val="20"/>
                <w:szCs w:val="20"/>
              </w:rPr>
              <w:footnoteReference w:id="251"/>
            </w:r>
          </w:p>
        </w:tc>
        <w:tc>
          <w:tcPr>
            <w:tcW w:w="3600" w:type="dxa"/>
          </w:tcPr>
          <w:p w:rsidRPr="0016671C" w:rsidR="00860D16" w:rsidRDefault="00860D16" w14:paraId="38008835" w14:textId="77777777">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lastRenderedPageBreak/>
              <w:t xml:space="preserve">SoCalGas discusses its use of the DACAG Equity Framework and engagement of ESJ communities, particularly the DACAG, in the development of its 2024 Plan. </w:t>
            </w:r>
            <w:r w:rsidRPr="0016671C">
              <w:rPr>
                <w:rFonts w:ascii="Palatino Linotype" w:hAnsi="Palatino Linotype"/>
                <w:b/>
                <w:color w:val="000000" w:themeColor="text1"/>
                <w:sz w:val="20"/>
                <w:szCs w:val="20"/>
              </w:rPr>
              <w:t>SoCalGas is compliant with this requirement.</w:t>
            </w:r>
          </w:p>
          <w:p w:rsidRPr="0016671C" w:rsidR="00860D16" w:rsidRDefault="00860D16" w14:paraId="07761DD1" w14:textId="77777777">
            <w:pPr>
              <w:rPr>
                <w:rFonts w:ascii="Palatino Linotype" w:hAnsi="Palatino Linotype"/>
                <w:b/>
                <w:color w:val="000000" w:themeColor="text1"/>
                <w:sz w:val="20"/>
                <w:szCs w:val="20"/>
              </w:rPr>
            </w:pPr>
          </w:p>
        </w:tc>
      </w:tr>
      <w:tr w:rsidRPr="006F5335" w:rsidR="00860D16" w:rsidTr="00EE197B" w14:paraId="0F02F037" w14:textId="77777777">
        <w:trPr>
          <w:trHeight w:val="638"/>
        </w:trPr>
        <w:tc>
          <w:tcPr>
            <w:tcW w:w="3744" w:type="dxa"/>
          </w:tcPr>
          <w:p w:rsidRPr="006F5335" w:rsidR="00860D16" w:rsidRDefault="00860D16" w14:paraId="3625E9C5" w14:textId="77777777">
            <w:pPr>
              <w:rPr>
                <w:rFonts w:ascii="Palatino Linotype" w:hAnsi="Palatino Linotype"/>
                <w:i/>
                <w:iCs/>
                <w:sz w:val="20"/>
                <w:szCs w:val="20"/>
              </w:rPr>
            </w:pPr>
            <w:r w:rsidRPr="006F5335">
              <w:rPr>
                <w:rFonts w:ascii="Palatino Linotype" w:hAnsi="Palatino Linotype"/>
                <w:b/>
                <w:sz w:val="20"/>
                <w:szCs w:val="20"/>
              </w:rPr>
              <w:lastRenderedPageBreak/>
              <w:t xml:space="preserve">[23] </w:t>
            </w:r>
            <w:hyperlink r:id="rId84">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 xml:space="preserve">In its 2024 </w:t>
            </w:r>
            <w:proofErr w:type="gramStart"/>
            <w:r w:rsidRPr="006F5335">
              <w:rPr>
                <w:rFonts w:ascii="Palatino Linotype" w:hAnsi="Palatino Linotype"/>
                <w:i/>
                <w:iCs/>
                <w:sz w:val="20"/>
                <w:szCs w:val="20"/>
              </w:rPr>
              <w:t>Gas [RD&amp;D]</w:t>
            </w:r>
            <w:proofErr w:type="gramEnd"/>
            <w:r w:rsidRPr="006F5335">
              <w:rPr>
                <w:rFonts w:ascii="Palatino Linotype" w:hAnsi="Palatino Linotype"/>
                <w:i/>
                <w:iCs/>
                <w:sz w:val="20"/>
                <w:szCs w:val="20"/>
              </w:rPr>
              <w:t xml:space="preserve">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xml:space="preserve">] shall: g. Demonstrate that it has consulted with ESJ communities in advance of developing research projects to ensure projects are effective in realizing benefits for ESJ communities. In its workshop to solicit stakeholder feedback on its future Gas RD&amp;D plans, SoCalGas </w:t>
            </w:r>
            <w:r w:rsidRPr="006F5335">
              <w:rPr>
                <w:rFonts w:ascii="Palatino Linotype" w:hAnsi="Palatino Linotype"/>
                <w:i/>
                <w:iCs/>
                <w:sz w:val="20"/>
                <w:szCs w:val="20"/>
              </w:rPr>
              <w:lastRenderedPageBreak/>
              <w:t>shall consult with Energy Division in curating an ESJ community advisory workshop panel to be consulted in a public workshop prior to submitting its annual Gas RD&amp;D Plan to the Commission. SoCalGas shall explore compensation strategies for its advisory panel.</w:t>
            </w:r>
          </w:p>
          <w:p w:rsidRPr="006F5335" w:rsidR="00860D16" w:rsidRDefault="00860D16" w14:paraId="6786017B" w14:textId="77777777">
            <w:pPr>
              <w:rPr>
                <w:rFonts w:ascii="Palatino Linotype" w:hAnsi="Palatino Linotype"/>
                <w:i/>
                <w:iCs/>
                <w:sz w:val="20"/>
                <w:szCs w:val="20"/>
              </w:rPr>
            </w:pPr>
          </w:p>
          <w:p w:rsidRPr="006F5335" w:rsidR="00860D16" w:rsidRDefault="00860D16" w14:paraId="1AF3C080" w14:textId="77777777">
            <w:pPr>
              <w:rPr>
                <w:rFonts w:ascii="Palatino Linotype" w:hAnsi="Palatino Linotype"/>
                <w:i/>
                <w:iCs/>
                <w:sz w:val="20"/>
                <w:szCs w:val="20"/>
              </w:rPr>
            </w:pPr>
            <w:r w:rsidRPr="006F5335">
              <w:rPr>
                <w:rFonts w:ascii="Palatino Linotype" w:hAnsi="Palatino Linotype"/>
                <w:color w:val="000000" w:themeColor="text1"/>
                <w:sz w:val="20"/>
                <w:szCs w:val="20"/>
              </w:rPr>
              <w:t>See also: [20] on integration of public stakeholder feedback, including an ESJ Advisory Panel.</w:t>
            </w:r>
          </w:p>
        </w:tc>
        <w:tc>
          <w:tcPr>
            <w:tcW w:w="6912" w:type="dxa"/>
          </w:tcPr>
          <w:p w:rsidRPr="0016671C" w:rsidR="00860D16" w:rsidRDefault="00860D16" w14:paraId="142CA8CC" w14:textId="77777777">
            <w:pPr>
              <w:rPr>
                <w:rFonts w:ascii="Palatino Linotype" w:hAnsi="Palatino Linotype"/>
                <w:color w:val="000000" w:themeColor="text1"/>
                <w:sz w:val="20"/>
                <w:szCs w:val="20"/>
              </w:rPr>
            </w:pPr>
            <w:r w:rsidRPr="0016671C">
              <w:rPr>
                <w:rFonts w:ascii="Palatino Linotype" w:hAnsi="Palatino Linotype"/>
                <w:color w:val="000000" w:themeColor="text1"/>
                <w:sz w:val="20"/>
                <w:szCs w:val="20"/>
              </w:rPr>
              <w:lastRenderedPageBreak/>
              <w:t>SoCalGas assembled an Advisory Panel of seven ESJ stakeholders who participated in the Annual Workshop.</w:t>
            </w:r>
            <w:r w:rsidRPr="0016671C">
              <w:rPr>
                <w:rStyle w:val="FootnoteReference"/>
                <w:rFonts w:ascii="Palatino Linotype" w:hAnsi="Palatino Linotype"/>
                <w:color w:val="000000" w:themeColor="text1"/>
                <w:sz w:val="20"/>
                <w:szCs w:val="20"/>
              </w:rPr>
              <w:footnoteReference w:id="252"/>
            </w:r>
            <w:r w:rsidRPr="0016671C">
              <w:rPr>
                <w:rFonts w:ascii="Palatino Linotype" w:hAnsi="Palatino Linotype"/>
                <w:color w:val="000000" w:themeColor="text1"/>
                <w:sz w:val="20"/>
                <w:szCs w:val="20"/>
              </w:rPr>
              <w:t xml:space="preserve"> SoCalGas “describes the establishment of the ESJ Advisory Panel and its role in supporting inclusive engagement. Prior to the Annual Workshop, SoCalGas convened the panel to preview workshop content and facilitate meaningful participation. During the workshop, seven panel members provided public input during the Q&amp;A segments. Following the workshop, panelists completed a feedback survey developed by the SoCalGas RD&amp;D team. In consultation with the Commission, SoCalGas compensated panel representatives at a </w:t>
            </w:r>
            <w:r w:rsidRPr="0016671C">
              <w:rPr>
                <w:rFonts w:ascii="Palatino Linotype" w:hAnsi="Palatino Linotype"/>
                <w:color w:val="000000" w:themeColor="text1"/>
                <w:sz w:val="20"/>
                <w:szCs w:val="20"/>
              </w:rPr>
              <w:lastRenderedPageBreak/>
              <w:t>rate of $150 per hour for their time and contributions.”</w:t>
            </w:r>
            <w:r w:rsidRPr="0016671C">
              <w:rPr>
                <w:rStyle w:val="FootnoteReference"/>
                <w:rFonts w:ascii="Palatino Linotype" w:hAnsi="Palatino Linotype"/>
                <w:color w:val="000000" w:themeColor="text1"/>
                <w:sz w:val="20"/>
                <w:szCs w:val="20"/>
              </w:rPr>
              <w:footnoteReference w:id="253"/>
            </w:r>
            <w:r w:rsidRPr="0016671C">
              <w:rPr>
                <w:rFonts w:ascii="Palatino Linotype" w:hAnsi="Palatino Linotype"/>
                <w:color w:val="000000" w:themeColor="text1"/>
                <w:sz w:val="20"/>
                <w:szCs w:val="20"/>
              </w:rPr>
              <w:t xml:space="preserve"> SoCalGas discusses feedback received from public workshop attendees, including an ESJ Advisory Panel, for each Initiative.</w:t>
            </w:r>
            <w:r w:rsidRPr="0016671C">
              <w:rPr>
                <w:rStyle w:val="FootnoteReference"/>
                <w:rFonts w:ascii="Palatino Linotype" w:hAnsi="Palatino Linotype"/>
                <w:color w:val="000000" w:themeColor="text1"/>
                <w:sz w:val="20"/>
                <w:szCs w:val="20"/>
              </w:rPr>
              <w:footnoteReference w:id="254"/>
            </w:r>
          </w:p>
        </w:tc>
        <w:tc>
          <w:tcPr>
            <w:tcW w:w="3600" w:type="dxa"/>
          </w:tcPr>
          <w:p w:rsidRPr="0016671C" w:rsidR="00860D16" w:rsidRDefault="00860D16" w14:paraId="105459BA" w14:textId="77777777">
            <w:pPr>
              <w:rPr>
                <w:color w:val="000000" w:themeColor="text1"/>
              </w:rPr>
            </w:pPr>
            <w:r w:rsidRPr="0016671C">
              <w:rPr>
                <w:rFonts w:ascii="Palatino Linotype" w:hAnsi="Palatino Linotype"/>
                <w:color w:val="000000" w:themeColor="text1"/>
                <w:sz w:val="20"/>
                <w:szCs w:val="20"/>
              </w:rPr>
              <w:lastRenderedPageBreak/>
              <w:t xml:space="preserve">SoCalGas </w:t>
            </w:r>
            <w:proofErr w:type="gramStart"/>
            <w:r w:rsidRPr="0016671C">
              <w:rPr>
                <w:rFonts w:ascii="Palatino Linotype" w:hAnsi="Palatino Linotype"/>
                <w:color w:val="000000" w:themeColor="text1"/>
                <w:sz w:val="20"/>
                <w:szCs w:val="20"/>
              </w:rPr>
              <w:t>curated</w:t>
            </w:r>
            <w:proofErr w:type="gramEnd"/>
            <w:r w:rsidRPr="0016671C">
              <w:rPr>
                <w:rFonts w:ascii="Palatino Linotype" w:hAnsi="Palatino Linotype"/>
                <w:color w:val="000000" w:themeColor="text1"/>
                <w:sz w:val="20"/>
                <w:szCs w:val="20"/>
              </w:rPr>
              <w:t xml:space="preserve"> an ESJ community advisory panel to seek input prior to submitting its proposed Plan and provided compensation.</w:t>
            </w:r>
            <w:r w:rsidRPr="0016671C">
              <w:rPr>
                <w:rFonts w:ascii="Palatino Linotype" w:hAnsi="Palatino Linotype"/>
                <w:i/>
                <w:iCs/>
                <w:color w:val="000000" w:themeColor="text1"/>
                <w:sz w:val="20"/>
                <w:szCs w:val="20"/>
              </w:rPr>
              <w:t xml:space="preserve"> </w:t>
            </w:r>
            <w:r w:rsidRPr="0016671C">
              <w:rPr>
                <w:rFonts w:ascii="Palatino Linotype" w:hAnsi="Palatino Linotype"/>
                <w:b/>
                <w:color w:val="000000" w:themeColor="text1"/>
                <w:sz w:val="20"/>
                <w:szCs w:val="20"/>
              </w:rPr>
              <w:t>SoCalGas is compliant with this requirement.</w:t>
            </w:r>
            <w:r w:rsidRPr="0016671C">
              <w:rPr>
                <w:rFonts w:ascii="Palatino Linotype" w:hAnsi="Palatino Linotype"/>
                <w:color w:val="000000" w:themeColor="text1"/>
                <w:sz w:val="20"/>
                <w:szCs w:val="20"/>
              </w:rPr>
              <w:t xml:space="preserve"> </w:t>
            </w:r>
          </w:p>
        </w:tc>
      </w:tr>
      <w:tr w:rsidRPr="006F5335" w:rsidR="00860D16" w:rsidTr="00EE197B" w14:paraId="6FB739BE" w14:textId="77777777">
        <w:trPr>
          <w:trHeight w:val="638"/>
        </w:trPr>
        <w:tc>
          <w:tcPr>
            <w:tcW w:w="3744" w:type="dxa"/>
          </w:tcPr>
          <w:p w:rsidRPr="006F5335" w:rsidR="00860D16" w:rsidRDefault="00860D16" w14:paraId="7EC637EE" w14:textId="77777777">
            <w:pPr>
              <w:rPr>
                <w:sz w:val="20"/>
                <w:szCs w:val="20"/>
              </w:rPr>
            </w:pPr>
            <w:r w:rsidRPr="006F5335">
              <w:rPr>
                <w:rFonts w:ascii="Palatino Linotype" w:hAnsi="Palatino Linotype"/>
                <w:b/>
                <w:sz w:val="20"/>
                <w:szCs w:val="20"/>
              </w:rPr>
              <w:t xml:space="preserve">[24] </w:t>
            </w:r>
            <w:hyperlink r:id="rId85">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In its 2024 Gas [RD&amp;D]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shall: h. Demonstrate that any hydrogen programs and projects utilize clean renewable hydrogen, consistent with the definition given in D.22-12-057, or the Commission’s successor definition for clean hydrogen.</w:t>
            </w:r>
          </w:p>
        </w:tc>
        <w:tc>
          <w:tcPr>
            <w:tcW w:w="6912" w:type="dxa"/>
          </w:tcPr>
          <w:p w:rsidRPr="0016671C" w:rsidR="00860D16" w:rsidRDefault="00860D16" w14:paraId="155CB062"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states that it “requires proposed hydrogen projects meet specific criteria consistent with the clean renewable hydrogen definition adopted in D.22-12-057”</w:t>
            </w:r>
            <w:r w:rsidRPr="0016671C">
              <w:rPr>
                <w:rStyle w:val="FootnoteReference"/>
                <w:rFonts w:ascii="Palatino Linotype" w:hAnsi="Palatino Linotype"/>
                <w:color w:val="000000" w:themeColor="text1"/>
                <w:sz w:val="20"/>
                <w:szCs w:val="20"/>
              </w:rPr>
              <w:footnoteReference w:id="255"/>
            </w:r>
            <w:r w:rsidRPr="0016671C">
              <w:rPr>
                <w:rFonts w:ascii="Palatino Linotype" w:hAnsi="Palatino Linotype"/>
                <w:color w:val="000000" w:themeColor="text1"/>
                <w:sz w:val="20"/>
                <w:szCs w:val="20"/>
              </w:rPr>
              <w:t xml:space="preserve"> and a “vendor must:</w:t>
            </w:r>
          </w:p>
          <w:p w:rsidRPr="0016671C" w:rsidR="00860D16" w:rsidP="00860D16" w:rsidRDefault="00860D16" w14:paraId="1FE74A17" w14:textId="77777777">
            <w:pPr>
              <w:pStyle w:val="ListParagraph"/>
              <w:numPr>
                <w:ilvl w:val="0"/>
                <w:numId w:val="28"/>
              </w:numPr>
              <w:rPr>
                <w:rFonts w:ascii="Palatino Linotype" w:hAnsi="Palatino Linotype"/>
                <w:bCs w:val="0"/>
                <w:color w:val="000000" w:themeColor="text1"/>
                <w:sz w:val="20"/>
                <w:szCs w:val="20"/>
              </w:rPr>
            </w:pPr>
            <w:proofErr w:type="gramStart"/>
            <w:r w:rsidRPr="0016671C">
              <w:rPr>
                <w:rFonts w:ascii="Palatino Linotype" w:hAnsi="Palatino Linotype"/>
                <w:color w:val="000000" w:themeColor="text1"/>
                <w:sz w:val="20"/>
                <w:szCs w:val="20"/>
              </w:rPr>
              <w:t>Commit</w:t>
            </w:r>
            <w:proofErr w:type="gramEnd"/>
            <w:r w:rsidRPr="0016671C">
              <w:rPr>
                <w:rFonts w:ascii="Palatino Linotype" w:hAnsi="Palatino Linotype"/>
                <w:color w:val="000000" w:themeColor="text1"/>
                <w:sz w:val="20"/>
                <w:szCs w:val="20"/>
              </w:rPr>
              <w:t xml:space="preserve"> to procuring clean renewable hydrogen;</w:t>
            </w:r>
          </w:p>
          <w:p w:rsidRPr="0016671C" w:rsidR="00860D16" w:rsidP="00860D16" w:rsidRDefault="00860D16" w14:paraId="07120776" w14:textId="77777777">
            <w:pPr>
              <w:pStyle w:val="ListParagraph"/>
              <w:numPr>
                <w:ilvl w:val="0"/>
                <w:numId w:val="28"/>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Identify the source, amount, and cost of clean renewable hydrogen to be procured on the project; and</w:t>
            </w:r>
          </w:p>
          <w:p w:rsidRPr="0016671C" w:rsidR="00860D16" w:rsidP="00860D16" w:rsidRDefault="00860D16" w14:paraId="59B4E8B2" w14:textId="77777777">
            <w:pPr>
              <w:pStyle w:val="ListParagraph"/>
              <w:numPr>
                <w:ilvl w:val="0"/>
                <w:numId w:val="28"/>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Evaluate the risk of not finding adequate sources of clean renewable hydrogen.”</w:t>
            </w:r>
            <w:r w:rsidRPr="0016671C">
              <w:rPr>
                <w:rStyle w:val="FootnoteReference"/>
                <w:rFonts w:ascii="Palatino Linotype" w:hAnsi="Palatino Linotype"/>
                <w:color w:val="000000" w:themeColor="text1"/>
                <w:sz w:val="20"/>
                <w:szCs w:val="20"/>
              </w:rPr>
              <w:footnoteReference w:id="256"/>
            </w:r>
          </w:p>
        </w:tc>
        <w:tc>
          <w:tcPr>
            <w:tcW w:w="3600" w:type="dxa"/>
          </w:tcPr>
          <w:p w:rsidR="00860D16" w:rsidRDefault="00860D16" w14:paraId="463391B8" w14:textId="4ADA392E">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t xml:space="preserve">SoCalGas demonstrates that </w:t>
            </w:r>
            <w:r w:rsidR="002E7297">
              <w:rPr>
                <w:rFonts w:ascii="Palatino Linotype" w:hAnsi="Palatino Linotype"/>
                <w:color w:val="000000" w:themeColor="text1"/>
                <w:sz w:val="20"/>
                <w:szCs w:val="20"/>
              </w:rPr>
              <w:t xml:space="preserve">previously approved </w:t>
            </w:r>
            <w:r w:rsidRPr="0016671C">
              <w:rPr>
                <w:rFonts w:ascii="Palatino Linotype" w:hAnsi="Palatino Linotype"/>
                <w:color w:val="000000" w:themeColor="text1"/>
                <w:sz w:val="20"/>
                <w:szCs w:val="20"/>
              </w:rPr>
              <w:t xml:space="preserve">hydrogen projects utilize clean renewable hydrogen. </w:t>
            </w:r>
            <w:r w:rsidRPr="0016671C">
              <w:rPr>
                <w:rFonts w:ascii="Palatino Linotype" w:hAnsi="Palatino Linotype"/>
                <w:b/>
                <w:color w:val="000000" w:themeColor="text1"/>
                <w:sz w:val="20"/>
                <w:szCs w:val="20"/>
              </w:rPr>
              <w:t>SoCalGas is compliant with this requirement.</w:t>
            </w:r>
          </w:p>
          <w:p w:rsidRPr="002E7297" w:rsidR="002E7297" w:rsidP="002E7297" w:rsidRDefault="002E7297" w14:paraId="0C4FE2AA" w14:textId="58372DFA">
            <w:pPr>
              <w:spacing w:before="240"/>
              <w:rPr>
                <w:rFonts w:ascii="Palatino Linotype" w:hAnsi="Palatino Linotype"/>
                <w:bCs w:val="0"/>
                <w:color w:val="000000" w:themeColor="text1"/>
                <w:sz w:val="20"/>
                <w:szCs w:val="20"/>
              </w:rPr>
            </w:pPr>
            <w:r w:rsidRPr="002E7297">
              <w:rPr>
                <w:rFonts w:ascii="Palatino Linotype" w:hAnsi="Palatino Linotype"/>
                <w:bCs w:val="0"/>
                <w:color w:val="000000" w:themeColor="text1"/>
                <w:sz w:val="20"/>
                <w:szCs w:val="20"/>
              </w:rPr>
              <w:t>However, this Resolution does not approve new or further funding for hydrogen-related projects.</w:t>
            </w:r>
          </w:p>
        </w:tc>
      </w:tr>
      <w:tr w:rsidR="00860D16" w:rsidTr="00EE197B" w14:paraId="405155C5" w14:textId="77777777">
        <w:trPr>
          <w:trHeight w:val="638"/>
        </w:trPr>
        <w:tc>
          <w:tcPr>
            <w:tcW w:w="3744" w:type="dxa"/>
          </w:tcPr>
          <w:p w:rsidRPr="006F5335" w:rsidR="00860D16" w:rsidRDefault="00860D16" w14:paraId="632F31BF" w14:textId="77777777">
            <w:pPr>
              <w:rPr>
                <w:sz w:val="20"/>
                <w:szCs w:val="20"/>
              </w:rPr>
            </w:pPr>
            <w:r w:rsidRPr="006F5335">
              <w:rPr>
                <w:rFonts w:ascii="Palatino Linotype" w:hAnsi="Palatino Linotype"/>
                <w:b/>
                <w:sz w:val="20"/>
                <w:szCs w:val="20"/>
              </w:rPr>
              <w:t xml:space="preserve">[25] </w:t>
            </w:r>
            <w:hyperlink r:id="rId86">
              <w:r w:rsidRPr="006F5335">
                <w:rPr>
                  <w:rStyle w:val="Hyperlink"/>
                  <w:rFonts w:ascii="Palatino Linotype" w:hAnsi="Palatino Linotype"/>
                  <w:sz w:val="20"/>
                  <w:szCs w:val="20"/>
                </w:rPr>
                <w:t>Resolution G-3601</w:t>
              </w:r>
            </w:hyperlink>
            <w:r w:rsidRPr="006F5335">
              <w:rPr>
                <w:rFonts w:ascii="Palatino Linotype" w:hAnsi="Palatino Linotype"/>
                <w:sz w:val="20"/>
                <w:szCs w:val="20"/>
              </w:rPr>
              <w:t xml:space="preserve"> (2023) at OP 6. </w:t>
            </w:r>
            <w:r w:rsidRPr="006F5335">
              <w:rPr>
                <w:rFonts w:ascii="Palatino Linotype" w:hAnsi="Palatino Linotype"/>
                <w:i/>
                <w:iCs/>
                <w:sz w:val="20"/>
                <w:szCs w:val="20"/>
              </w:rPr>
              <w:t>In its 2024 Gas [RD&amp;D] Plan and beyond, [</w:t>
            </w:r>
            <w:r w:rsidRPr="006F5335">
              <w:rPr>
                <w:rFonts w:ascii="Palatino Linotype" w:hAnsi="Palatino Linotype"/>
                <w:i/>
                <w:iCs/>
                <w:color w:val="000000" w:themeColor="text1"/>
                <w:sz w:val="20"/>
                <w:szCs w:val="20"/>
              </w:rPr>
              <w:t>SoCalGas</w:t>
            </w:r>
            <w:r w:rsidRPr="006F5335">
              <w:rPr>
                <w:rFonts w:ascii="Palatino Linotype" w:hAnsi="Palatino Linotype"/>
                <w:i/>
                <w:iCs/>
                <w:sz w:val="20"/>
                <w:szCs w:val="20"/>
              </w:rPr>
              <w:t>] shall: i. Demonstrate how SoCalGas coordinates in advance with other gas RD&amp;D program administrators to ensure efficiencies, avoid duplication, and optimize research that benefits California ratepayers.</w:t>
            </w:r>
          </w:p>
        </w:tc>
        <w:tc>
          <w:tcPr>
            <w:tcW w:w="6912" w:type="dxa"/>
          </w:tcPr>
          <w:p w:rsidRPr="0016671C" w:rsidR="00860D16" w:rsidRDefault="00860D16" w14:paraId="249452D1"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discusses coordination with other Gas RD&amp;D Administrators for each Initiative.</w:t>
            </w:r>
            <w:r w:rsidRPr="0016671C">
              <w:rPr>
                <w:rStyle w:val="FootnoteReference"/>
                <w:rFonts w:ascii="Palatino Linotype" w:hAnsi="Palatino Linotype"/>
                <w:color w:val="000000" w:themeColor="text1"/>
                <w:sz w:val="20"/>
                <w:szCs w:val="20"/>
              </w:rPr>
              <w:footnoteReference w:id="257"/>
            </w:r>
            <w:r w:rsidRPr="0016671C">
              <w:rPr>
                <w:rFonts w:ascii="Palatino Linotype" w:hAnsi="Palatino Linotype"/>
                <w:color w:val="000000" w:themeColor="text1"/>
                <w:sz w:val="20"/>
                <w:szCs w:val="20"/>
              </w:rPr>
              <w:t xml:space="preserve"> SoCalGas states that “projects funded via (2) multiple administrators or funders or (3) consortia include activities such as project scoping, project tracking, milestone acceptance, and payment. Additional utility participation may include, but is not limited to, serving on Technical Advisory Committees, providing technical expertise, providing operating data, and hosting technology demonstrations.”</w:t>
            </w:r>
            <w:r w:rsidRPr="0016671C">
              <w:rPr>
                <w:rStyle w:val="FootnoteReference"/>
                <w:rFonts w:ascii="Palatino Linotype" w:hAnsi="Palatino Linotype"/>
                <w:color w:val="000000" w:themeColor="text1"/>
                <w:sz w:val="20"/>
                <w:szCs w:val="20"/>
              </w:rPr>
              <w:footnoteReference w:id="258"/>
            </w:r>
            <w:r w:rsidRPr="0016671C">
              <w:rPr>
                <w:rFonts w:ascii="Palatino Linotype" w:hAnsi="Palatino Linotype"/>
                <w:color w:val="000000" w:themeColor="text1"/>
                <w:sz w:val="20"/>
                <w:szCs w:val="20"/>
              </w:rPr>
              <w:t xml:space="preserve"> SoCalGas describes collaboration opportunities with the other Gas RD&amp;D administrators (CEC </w:t>
            </w:r>
            <w:r w:rsidRPr="0016671C">
              <w:rPr>
                <w:rFonts w:ascii="Palatino Linotype" w:hAnsi="Palatino Linotype"/>
                <w:color w:val="000000" w:themeColor="text1"/>
                <w:sz w:val="20"/>
                <w:szCs w:val="20"/>
              </w:rPr>
              <w:lastRenderedPageBreak/>
              <w:t xml:space="preserve">and PG&amp;E) in addition to Southwest Gas (SWG) under each Initiative, also reporting recommended areas of focus and delineating where there is no apparent overlap: </w:t>
            </w:r>
          </w:p>
          <w:p w:rsidRPr="0016671C" w:rsidR="00860D16" w:rsidP="00860D16" w:rsidRDefault="00860D16" w14:paraId="6939DB03" w14:textId="77777777">
            <w:pPr>
              <w:pStyle w:val="ListParagraph"/>
              <w:numPr>
                <w:ilvl w:val="0"/>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 xml:space="preserve">The CEC recommended: </w:t>
            </w:r>
          </w:p>
          <w:p w:rsidRPr="0016671C" w:rsidR="00860D16" w:rsidP="00860D16" w:rsidRDefault="00860D16" w14:paraId="6B94000B" w14:textId="77777777">
            <w:pPr>
              <w:pStyle w:val="ListParagraph"/>
              <w:numPr>
                <w:ilvl w:val="1"/>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Getting robust public data on emissions profiles of linear generators with different fuel sources and changing emissions profiles over time and other emerging technologies to drive down emissions.</w:t>
            </w:r>
            <w:r w:rsidRPr="0016671C">
              <w:rPr>
                <w:rStyle w:val="FootnoteReference"/>
                <w:rFonts w:ascii="Palatino Linotype" w:hAnsi="Palatino Linotype"/>
                <w:color w:val="000000" w:themeColor="text1"/>
                <w:sz w:val="20"/>
                <w:szCs w:val="20"/>
              </w:rPr>
              <w:footnoteReference w:id="259"/>
            </w:r>
            <w:r w:rsidRPr="0016671C">
              <w:rPr>
                <w:rFonts w:ascii="Palatino Linotype" w:hAnsi="Palatino Linotype"/>
                <w:color w:val="000000" w:themeColor="text1"/>
                <w:sz w:val="20"/>
                <w:szCs w:val="20"/>
              </w:rPr>
              <w:t xml:space="preserve"> </w:t>
            </w:r>
          </w:p>
          <w:p w:rsidRPr="0016671C" w:rsidR="00860D16" w:rsidP="00860D16" w:rsidRDefault="00860D16" w14:paraId="27D28CCD" w14:textId="77777777">
            <w:pPr>
              <w:pStyle w:val="ListParagraph"/>
              <w:numPr>
                <w:ilvl w:val="1"/>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Identifying existing technologies that are inherently fuel-flexible and “can transition to cleaner fuels with little or no complex modifications or new infrastructure.”</w:t>
            </w:r>
            <w:r w:rsidRPr="0016671C">
              <w:rPr>
                <w:rStyle w:val="FootnoteReference"/>
                <w:rFonts w:ascii="Palatino Linotype" w:hAnsi="Palatino Linotype"/>
                <w:color w:val="000000" w:themeColor="text1"/>
                <w:sz w:val="20"/>
                <w:szCs w:val="20"/>
              </w:rPr>
              <w:footnoteReference w:id="260"/>
            </w:r>
          </w:p>
          <w:p w:rsidRPr="0016671C" w:rsidR="00860D16" w:rsidP="00860D16" w:rsidRDefault="00860D16" w14:paraId="5370500A" w14:textId="77777777">
            <w:pPr>
              <w:pStyle w:val="ListParagraph"/>
              <w:numPr>
                <w:ilvl w:val="1"/>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“[G]</w:t>
            </w:r>
            <w:proofErr w:type="spellStart"/>
            <w:r w:rsidRPr="0016671C">
              <w:rPr>
                <w:rFonts w:ascii="Palatino Linotype" w:hAnsi="Palatino Linotype"/>
                <w:color w:val="000000" w:themeColor="text1"/>
                <w:sz w:val="20"/>
                <w:szCs w:val="20"/>
              </w:rPr>
              <w:t>etting</w:t>
            </w:r>
            <w:proofErr w:type="spellEnd"/>
            <w:r w:rsidRPr="0016671C">
              <w:rPr>
                <w:rFonts w:ascii="Palatino Linotype" w:hAnsi="Palatino Linotype"/>
                <w:color w:val="000000" w:themeColor="text1"/>
                <w:sz w:val="20"/>
                <w:szCs w:val="20"/>
              </w:rPr>
              <w:t xml:space="preserve"> a better understanding of methods for detecting leakage, quantifying leakage, understanding strategies for minimizing leakage, or prioritizing where leakage is happening the most, and then using that to inform design or other decisions.”</w:t>
            </w:r>
            <w:r w:rsidRPr="0016671C">
              <w:rPr>
                <w:rStyle w:val="FootnoteReference"/>
                <w:rFonts w:ascii="Palatino Linotype" w:hAnsi="Palatino Linotype"/>
                <w:color w:val="000000" w:themeColor="text1"/>
                <w:sz w:val="20"/>
                <w:szCs w:val="20"/>
              </w:rPr>
              <w:footnoteReference w:id="261"/>
            </w:r>
          </w:p>
          <w:p w:rsidRPr="0016671C" w:rsidR="00860D16" w:rsidP="00860D16" w:rsidRDefault="00860D16" w14:paraId="16BB78FC" w14:textId="77777777">
            <w:pPr>
              <w:pStyle w:val="ListParagraph"/>
              <w:numPr>
                <w:ilvl w:val="0"/>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PG&amp;E requested information sharing, discussions of results and their implications,</w:t>
            </w:r>
            <w:r w:rsidRPr="0016671C">
              <w:rPr>
                <w:rStyle w:val="FootnoteReference"/>
                <w:rFonts w:ascii="Palatino Linotype" w:hAnsi="Palatino Linotype"/>
                <w:color w:val="000000" w:themeColor="text1"/>
                <w:sz w:val="20"/>
                <w:szCs w:val="20"/>
              </w:rPr>
              <w:footnoteReference w:id="262"/>
            </w:r>
            <w:r w:rsidRPr="0016671C">
              <w:rPr>
                <w:rFonts w:ascii="Palatino Linotype" w:hAnsi="Palatino Linotype"/>
                <w:color w:val="000000" w:themeColor="text1"/>
                <w:sz w:val="20"/>
                <w:szCs w:val="20"/>
              </w:rPr>
              <w:t xml:space="preserve"> and collaboration on material blends,</w:t>
            </w:r>
            <w:r w:rsidRPr="0016671C">
              <w:rPr>
                <w:rStyle w:val="FootnoteReference"/>
                <w:rFonts w:ascii="Palatino Linotype" w:hAnsi="Palatino Linotype"/>
                <w:color w:val="000000" w:themeColor="text1"/>
                <w:sz w:val="20"/>
                <w:szCs w:val="20"/>
              </w:rPr>
              <w:footnoteReference w:id="263"/>
            </w:r>
            <w:r w:rsidRPr="0016671C">
              <w:rPr>
                <w:rFonts w:ascii="Palatino Linotype" w:hAnsi="Palatino Linotype"/>
                <w:color w:val="000000" w:themeColor="text1"/>
                <w:sz w:val="20"/>
                <w:szCs w:val="20"/>
              </w:rPr>
              <w:t xml:space="preserve"> scouring monitoring, and remote sensing and aerial and satellite-related technology.</w:t>
            </w:r>
            <w:r w:rsidRPr="0016671C">
              <w:rPr>
                <w:rStyle w:val="FootnoteReference"/>
                <w:rFonts w:ascii="Palatino Linotype" w:hAnsi="Palatino Linotype"/>
                <w:color w:val="000000" w:themeColor="text1"/>
                <w:sz w:val="20"/>
                <w:szCs w:val="20"/>
              </w:rPr>
              <w:footnoteReference w:id="264"/>
            </w:r>
          </w:p>
          <w:p w:rsidRPr="0016671C" w:rsidR="00860D16" w:rsidP="00860D16" w:rsidRDefault="00860D16" w14:paraId="311D1DDC" w14:textId="77777777">
            <w:pPr>
              <w:pStyle w:val="ListParagraph"/>
              <w:numPr>
                <w:ilvl w:val="0"/>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SWG:</w:t>
            </w:r>
          </w:p>
          <w:p w:rsidRPr="0016671C" w:rsidR="00860D16" w:rsidP="00860D16" w:rsidRDefault="00860D16" w14:paraId="450F513F" w14:textId="77777777">
            <w:pPr>
              <w:pStyle w:val="ListParagraph"/>
              <w:numPr>
                <w:ilvl w:val="1"/>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Generally noted a need for technoeconomic studies of new technologies and cleaner fuels.</w:t>
            </w:r>
            <w:r w:rsidRPr="0016671C">
              <w:rPr>
                <w:rStyle w:val="FootnoteReference"/>
                <w:rFonts w:ascii="Palatino Linotype" w:hAnsi="Palatino Linotype"/>
                <w:color w:val="000000" w:themeColor="text1"/>
                <w:sz w:val="20"/>
                <w:szCs w:val="20"/>
              </w:rPr>
              <w:footnoteReference w:id="265"/>
            </w:r>
          </w:p>
          <w:p w:rsidRPr="0016671C" w:rsidR="00860D16" w:rsidP="00860D16" w:rsidRDefault="00860D16" w14:paraId="77ACACEF" w14:textId="77777777">
            <w:pPr>
              <w:pStyle w:val="ListParagraph"/>
              <w:numPr>
                <w:ilvl w:val="1"/>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lastRenderedPageBreak/>
              <w:t>Expressed a “[n]</w:t>
            </w:r>
            <w:proofErr w:type="spellStart"/>
            <w:r w:rsidRPr="0016671C">
              <w:rPr>
                <w:rFonts w:ascii="Palatino Linotype" w:hAnsi="Palatino Linotype"/>
                <w:color w:val="000000" w:themeColor="text1"/>
                <w:sz w:val="20"/>
                <w:szCs w:val="20"/>
              </w:rPr>
              <w:t>eed</w:t>
            </w:r>
            <w:proofErr w:type="spellEnd"/>
            <w:r w:rsidRPr="0016671C">
              <w:rPr>
                <w:rFonts w:ascii="Palatino Linotype" w:hAnsi="Palatino Linotype"/>
                <w:color w:val="000000" w:themeColor="text1"/>
                <w:sz w:val="20"/>
                <w:szCs w:val="20"/>
              </w:rPr>
              <w:t xml:space="preserve"> to prioritize economic and fiscal ROI evaluations of potential technologies/fuels” and articulate operational benefits of proposed RD&amp;D.</w:t>
            </w:r>
            <w:r w:rsidRPr="0016671C">
              <w:rPr>
                <w:rStyle w:val="FootnoteReference"/>
                <w:rFonts w:ascii="Palatino Linotype" w:hAnsi="Palatino Linotype"/>
                <w:color w:val="000000" w:themeColor="text1"/>
                <w:sz w:val="20"/>
                <w:szCs w:val="20"/>
              </w:rPr>
              <w:footnoteReference w:id="266"/>
            </w:r>
          </w:p>
          <w:p w:rsidRPr="0016671C" w:rsidR="00860D16" w:rsidP="00860D16" w:rsidRDefault="00860D16" w14:paraId="36733EDE" w14:textId="77777777">
            <w:pPr>
              <w:pStyle w:val="ListParagraph"/>
              <w:numPr>
                <w:ilvl w:val="1"/>
                <w:numId w:val="43"/>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Recommended the use of camera inspection tools for plastic systems for the System Inspection &amp; Monitoring Initiative.</w:t>
            </w:r>
            <w:r w:rsidRPr="0016671C">
              <w:rPr>
                <w:rStyle w:val="FootnoteReference"/>
                <w:rFonts w:ascii="Palatino Linotype" w:hAnsi="Palatino Linotype"/>
                <w:color w:val="000000" w:themeColor="text1"/>
                <w:sz w:val="20"/>
                <w:szCs w:val="20"/>
              </w:rPr>
              <w:footnoteReference w:id="267"/>
            </w:r>
            <w:r w:rsidRPr="0016671C">
              <w:rPr>
                <w:rFonts w:ascii="Palatino Linotype" w:hAnsi="Palatino Linotype"/>
                <w:color w:val="000000" w:themeColor="text1"/>
                <w:sz w:val="20"/>
                <w:szCs w:val="20"/>
              </w:rPr>
              <w:t xml:space="preserve"> </w:t>
            </w:r>
          </w:p>
          <w:p w:rsidRPr="0016671C" w:rsidR="00860D16" w:rsidRDefault="00860D16" w14:paraId="7E3F8FCE" w14:textId="77777777">
            <w:pPr>
              <w:spacing w:before="240"/>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Further, SoCalGas includes charts for each Initiative with Research Topics, Completed Projects, Active Projects, and Future Project Areas in the 2024 Research Plan to “[demonstrate] how initiatives are designed to progress over time to achieve ratepayer benefits.”</w:t>
            </w:r>
            <w:r w:rsidRPr="0016671C">
              <w:rPr>
                <w:rStyle w:val="FootnoteReference"/>
                <w:rFonts w:ascii="Palatino Linotype" w:hAnsi="Palatino Linotype"/>
                <w:color w:val="000000" w:themeColor="text1"/>
                <w:sz w:val="20"/>
                <w:szCs w:val="20"/>
              </w:rPr>
              <w:footnoteReference w:id="268"/>
            </w:r>
            <w:r w:rsidRPr="0016671C">
              <w:rPr>
                <w:rFonts w:ascii="Palatino Linotype" w:hAnsi="Palatino Linotype"/>
                <w:color w:val="000000" w:themeColor="text1"/>
                <w:sz w:val="20"/>
                <w:szCs w:val="20"/>
              </w:rPr>
              <w:t xml:space="preserve"> SoCalGas differentiates its 2024 Plan from its 2025 Plan for each Initiative; for example, for the RNG Infrastructure Optimization Initiative, SoCalGas states the following for the “Advanced interconnection design” research area: </w:t>
            </w:r>
          </w:p>
          <w:p w:rsidRPr="0016671C" w:rsidR="00860D16" w:rsidP="00860D16" w:rsidRDefault="00860D16" w14:paraId="677CC4C6" w14:textId="77777777">
            <w:pPr>
              <w:pStyle w:val="ListParagraph"/>
              <w:numPr>
                <w:ilvl w:val="0"/>
                <w:numId w:val="44"/>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“For the 2024 Research Plan, the intent is to support optimization and standardization of RNG interconnection designs, identify open-access interconnection alternatives, and related research activities.”</w:t>
            </w:r>
            <w:r w:rsidRPr="0016671C">
              <w:rPr>
                <w:rStyle w:val="FootnoteReference"/>
                <w:rFonts w:ascii="Palatino Linotype" w:hAnsi="Palatino Linotype"/>
                <w:color w:val="000000" w:themeColor="text1"/>
                <w:sz w:val="20"/>
                <w:szCs w:val="20"/>
              </w:rPr>
              <w:footnoteReference w:id="269"/>
            </w:r>
          </w:p>
          <w:p w:rsidRPr="0016671C" w:rsidR="00860D16" w:rsidP="00860D16" w:rsidRDefault="00860D16" w14:paraId="3895D259" w14:textId="77777777">
            <w:pPr>
              <w:pStyle w:val="ListParagraph"/>
              <w:numPr>
                <w:ilvl w:val="0"/>
                <w:numId w:val="44"/>
              </w:num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“For the 2025 Research Plan, the intent is to explore reverse flow strategies to optimize RNG collection and injection through seasonal fluctuations, as well as other related research activities.”</w:t>
            </w:r>
            <w:r w:rsidRPr="0016671C">
              <w:rPr>
                <w:rStyle w:val="FootnoteReference"/>
                <w:rFonts w:ascii="Palatino Linotype" w:hAnsi="Palatino Linotype"/>
                <w:color w:val="000000" w:themeColor="text1"/>
                <w:sz w:val="20"/>
                <w:szCs w:val="20"/>
              </w:rPr>
              <w:footnoteReference w:id="270"/>
            </w:r>
          </w:p>
        </w:tc>
        <w:tc>
          <w:tcPr>
            <w:tcW w:w="3600" w:type="dxa"/>
          </w:tcPr>
          <w:p w:rsidRPr="0016671C" w:rsidR="00860D16" w:rsidRDefault="00860D16" w14:paraId="66B361D1" w14:textId="77777777">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lastRenderedPageBreak/>
              <w:t xml:space="preserve">SoCalGas demonstrates how SoCalGas coordinates in advance with other Gas RD&amp;D program administrators for each Initiative. Further, SoCalGas demonstrates that its 2024 Plan is differentiated from its 2025 Plan to avoid duplication via varying research areas. </w:t>
            </w:r>
            <w:r w:rsidRPr="0016671C">
              <w:rPr>
                <w:rFonts w:ascii="Palatino Linotype" w:hAnsi="Palatino Linotype"/>
                <w:b/>
                <w:color w:val="000000" w:themeColor="text1"/>
                <w:sz w:val="20"/>
                <w:szCs w:val="20"/>
              </w:rPr>
              <w:t xml:space="preserve">SoCalGas is </w:t>
            </w:r>
            <w:r w:rsidRPr="0016671C">
              <w:rPr>
                <w:rFonts w:ascii="Palatino Linotype" w:hAnsi="Palatino Linotype"/>
                <w:b/>
                <w:color w:val="000000" w:themeColor="text1"/>
                <w:sz w:val="20"/>
                <w:szCs w:val="20"/>
              </w:rPr>
              <w:lastRenderedPageBreak/>
              <w:t xml:space="preserve">compliant with this requirement, </w:t>
            </w:r>
            <w:proofErr w:type="gramStart"/>
            <w:r w:rsidRPr="0016671C">
              <w:rPr>
                <w:rFonts w:ascii="Palatino Linotype" w:hAnsi="Palatino Linotype"/>
                <w:color w:val="000000" w:themeColor="text1"/>
                <w:sz w:val="20"/>
                <w:szCs w:val="20"/>
              </w:rPr>
              <w:t>with the exception of</w:t>
            </w:r>
            <w:proofErr w:type="gramEnd"/>
            <w:r w:rsidRPr="0016671C">
              <w:rPr>
                <w:rFonts w:ascii="Palatino Linotype" w:hAnsi="Palatino Linotype"/>
                <w:color w:val="000000" w:themeColor="text1"/>
                <w:sz w:val="20"/>
                <w:szCs w:val="20"/>
              </w:rPr>
              <w:t xml:space="preserve"> the System Design &amp; Materials Initiative.</w:t>
            </w:r>
          </w:p>
          <w:p w:rsidRPr="0016671C" w:rsidR="00860D16" w:rsidRDefault="00860D16" w14:paraId="0ABC85B1" w14:textId="77777777">
            <w:pPr>
              <w:rPr>
                <w:rFonts w:ascii="Palatino Linotype" w:hAnsi="Palatino Linotype"/>
                <w:bCs w:val="0"/>
                <w:color w:val="000000" w:themeColor="text1"/>
                <w:sz w:val="20"/>
                <w:szCs w:val="20"/>
              </w:rPr>
            </w:pPr>
          </w:p>
          <w:p w:rsidRPr="0016671C" w:rsidR="00860D16" w:rsidRDefault="00860D16" w14:paraId="7D6186F4" w14:textId="77777777">
            <w:pPr>
              <w:rPr>
                <w:rFonts w:ascii="Palatino Linotype" w:hAnsi="Palatino Linotype"/>
                <w:bCs w:val="0"/>
                <w:color w:val="000000" w:themeColor="text1"/>
                <w:sz w:val="20"/>
                <w:szCs w:val="20"/>
              </w:rPr>
            </w:pPr>
            <w:r w:rsidRPr="0016671C">
              <w:rPr>
                <w:rFonts w:ascii="Palatino Linotype" w:hAnsi="Palatino Linotype"/>
                <w:color w:val="000000" w:themeColor="text1"/>
                <w:sz w:val="20"/>
                <w:szCs w:val="20"/>
              </w:rPr>
              <w:t>SoCalGas must provide greater detail to differentiate proposed RD&amp;D under the System Design &amp; Materials Initiative—which includes the research area of “[i]</w:t>
            </w:r>
            <w:proofErr w:type="spellStart"/>
            <w:r w:rsidRPr="0016671C">
              <w:rPr>
                <w:rFonts w:ascii="Palatino Linotype" w:hAnsi="Palatino Linotype"/>
                <w:color w:val="000000" w:themeColor="text1"/>
                <w:sz w:val="20"/>
                <w:szCs w:val="20"/>
              </w:rPr>
              <w:t>nfrastructure</w:t>
            </w:r>
            <w:proofErr w:type="spellEnd"/>
            <w:r w:rsidRPr="0016671C">
              <w:rPr>
                <w:rFonts w:ascii="Palatino Linotype" w:hAnsi="Palatino Linotype"/>
                <w:color w:val="000000" w:themeColor="text1"/>
                <w:sz w:val="20"/>
                <w:szCs w:val="20"/>
              </w:rPr>
              <w:t xml:space="preserve"> compatibility with RNG diverse feedstocks and non-pipeline alternatives”</w:t>
            </w:r>
            <w:r w:rsidRPr="0016671C">
              <w:rPr>
                <w:rStyle w:val="FootnoteReference"/>
                <w:rFonts w:ascii="Palatino Linotype" w:hAnsi="Palatino Linotype"/>
                <w:color w:val="000000" w:themeColor="text1"/>
                <w:sz w:val="20"/>
                <w:szCs w:val="20"/>
              </w:rPr>
              <w:footnoteReference w:id="271"/>
            </w:r>
            <w:r w:rsidRPr="0016671C">
              <w:rPr>
                <w:rFonts w:ascii="Palatino Linotype" w:hAnsi="Palatino Linotype"/>
                <w:color w:val="000000" w:themeColor="text1"/>
                <w:sz w:val="20"/>
                <w:szCs w:val="20"/>
              </w:rPr>
              <w:t>—from the CEC’s Fuel-Flexible Distributed Power Generation Initiative in its proposed FY2024-25 Gas RD&amp;D Plan, which “seeks to support modifications on existing gas-fired generation systems” to support biomethane.</w:t>
            </w:r>
            <w:r w:rsidRPr="0016671C">
              <w:rPr>
                <w:rStyle w:val="FootnoteReference"/>
                <w:rFonts w:ascii="Palatino Linotype" w:hAnsi="Palatino Linotype"/>
                <w:color w:val="000000" w:themeColor="text1"/>
                <w:sz w:val="20"/>
                <w:szCs w:val="20"/>
              </w:rPr>
              <w:footnoteReference w:id="272"/>
            </w:r>
            <w:r w:rsidRPr="0016671C">
              <w:rPr>
                <w:rFonts w:ascii="Palatino Linotype" w:hAnsi="Palatino Linotype"/>
                <w:color w:val="000000" w:themeColor="text1"/>
                <w:sz w:val="20"/>
                <w:szCs w:val="20"/>
              </w:rPr>
              <w:t xml:space="preserve"> For the System Design &amp; Materials Initiative, </w:t>
            </w:r>
            <w:r w:rsidRPr="0016671C">
              <w:rPr>
                <w:rFonts w:ascii="Palatino Linotype" w:hAnsi="Palatino Linotype"/>
                <w:b/>
                <w:color w:val="000000" w:themeColor="text1"/>
                <w:sz w:val="20"/>
                <w:szCs w:val="20"/>
              </w:rPr>
              <w:t xml:space="preserve">SoCalGas is </w:t>
            </w:r>
            <w:r w:rsidRPr="0016671C">
              <w:rPr>
                <w:rFonts w:ascii="Palatino Linotype" w:hAnsi="Palatino Linotype"/>
                <w:b/>
                <w:i/>
                <w:iCs/>
                <w:color w:val="000000" w:themeColor="text1"/>
                <w:sz w:val="20"/>
                <w:szCs w:val="20"/>
              </w:rPr>
              <w:t>not</w:t>
            </w:r>
            <w:r w:rsidRPr="0016671C">
              <w:rPr>
                <w:rFonts w:ascii="Palatino Linotype" w:hAnsi="Palatino Linotype"/>
                <w:b/>
                <w:color w:val="000000" w:themeColor="text1"/>
                <w:sz w:val="20"/>
                <w:szCs w:val="20"/>
              </w:rPr>
              <w:t xml:space="preserve"> compliant with this requirement.</w:t>
            </w:r>
          </w:p>
          <w:p w:rsidRPr="0016671C" w:rsidR="00860D16" w:rsidRDefault="00860D16" w14:paraId="21832C90" w14:textId="77777777">
            <w:pPr>
              <w:spacing w:before="240"/>
              <w:rPr>
                <w:rFonts w:ascii="Palatino Linotype" w:hAnsi="Palatino Linotype"/>
                <w:bCs w:val="0"/>
                <w:color w:val="000000" w:themeColor="text1"/>
                <w:sz w:val="20"/>
                <w:szCs w:val="20"/>
              </w:rPr>
            </w:pPr>
          </w:p>
        </w:tc>
      </w:tr>
    </w:tbl>
    <w:p w:rsidR="00F17850" w:rsidP="00E851DF" w:rsidRDefault="00F17850" w14:paraId="55D73387" w14:textId="77777777">
      <w:pPr>
        <w:keepNext/>
        <w:spacing w:after="0" w:line="240" w:lineRule="auto"/>
      </w:pPr>
    </w:p>
    <w:p w:rsidR="0062004F" w:rsidRDefault="0062004F" w14:paraId="5B2589FC" w14:textId="77777777">
      <w:pPr>
        <w:sectPr w:rsidR="0062004F" w:rsidSect="00063FD3">
          <w:headerReference w:type="default" r:id="rId87"/>
          <w:footerReference w:type="default" r:id="rId88"/>
          <w:headerReference w:type="first" r:id="rId89"/>
          <w:footerReference w:type="first" r:id="rId90"/>
          <w:pgSz w:w="15840" w:h="12240" w:orient="landscape"/>
          <w:pgMar w:top="720" w:right="720" w:bottom="720" w:left="720" w:header="720" w:footer="666" w:gutter="0"/>
          <w:pgNumType w:start="1"/>
          <w:cols w:space="720"/>
          <w:titlePg/>
          <w:docGrid w:linePitch="360"/>
        </w:sectPr>
      </w:pPr>
    </w:p>
    <w:p w:rsidR="00F17850" w:rsidRDefault="00F17850" w14:paraId="3D4C4EFA" w14:textId="4C7934B2"/>
    <w:p w:rsidR="00EF7D0C" w:rsidP="002E2821" w:rsidRDefault="00EF7D0C" w14:paraId="1EB1196F" w14:textId="77777777">
      <w:pPr>
        <w:spacing w:line="240" w:lineRule="auto"/>
        <w:rPr>
          <w:rFonts w:ascii="Palatino Linotype" w:hAnsi="Palatino Linotype"/>
          <w:b/>
          <w:sz w:val="36"/>
          <w:szCs w:val="36"/>
        </w:rPr>
      </w:pPr>
    </w:p>
    <w:p w:rsidR="00EF7D0C" w:rsidP="002E2821" w:rsidRDefault="00EF7D0C" w14:paraId="5190CE03" w14:textId="77777777">
      <w:pPr>
        <w:spacing w:line="240" w:lineRule="auto"/>
        <w:rPr>
          <w:rFonts w:ascii="Palatino Linotype" w:hAnsi="Palatino Linotype"/>
          <w:b/>
          <w:sz w:val="36"/>
          <w:szCs w:val="36"/>
        </w:rPr>
      </w:pPr>
    </w:p>
    <w:p w:rsidR="00EF7D0C" w:rsidP="002E2821" w:rsidRDefault="00EF7D0C" w14:paraId="0CD878DA" w14:textId="77777777">
      <w:pPr>
        <w:spacing w:line="240" w:lineRule="auto"/>
        <w:rPr>
          <w:rFonts w:ascii="Palatino Linotype" w:hAnsi="Palatino Linotype"/>
          <w:b/>
          <w:sz w:val="36"/>
          <w:szCs w:val="36"/>
        </w:rPr>
      </w:pPr>
    </w:p>
    <w:p w:rsidR="00860D16" w:rsidP="002E2821" w:rsidRDefault="00E74FB2" w14:paraId="022F8397" w14:textId="3B3C215B">
      <w:pPr>
        <w:spacing w:line="240" w:lineRule="auto"/>
        <w:rPr>
          <w:rFonts w:ascii="Palatino Linotype" w:hAnsi="Palatino Linotype"/>
          <w:b/>
          <w:sz w:val="36"/>
          <w:szCs w:val="36"/>
        </w:rPr>
      </w:pPr>
      <w:r w:rsidRPr="00EF7D0C">
        <w:rPr>
          <w:rFonts w:ascii="Palatino Linotype" w:hAnsi="Palatino Linotype"/>
          <w:b/>
          <w:sz w:val="36"/>
          <w:szCs w:val="36"/>
        </w:rPr>
        <w:t>Appendix H: Compliance Assessment of Advice Letter 6496-G-A – 2025 Plan</w:t>
      </w:r>
    </w:p>
    <w:p w:rsidR="009346A8" w:rsidP="002E2821" w:rsidRDefault="009346A8" w14:paraId="4E85657C" w14:textId="77777777">
      <w:pPr>
        <w:spacing w:line="240" w:lineRule="auto"/>
        <w:rPr>
          <w:rFonts w:ascii="Palatino Linotype" w:hAnsi="Palatino Linotype"/>
          <w:b/>
          <w:sz w:val="36"/>
          <w:szCs w:val="36"/>
        </w:rPr>
      </w:pPr>
    </w:p>
    <w:p w:rsidR="009346A8" w:rsidP="002E2821" w:rsidRDefault="009346A8" w14:paraId="27970C76" w14:textId="77777777">
      <w:pPr>
        <w:spacing w:line="240" w:lineRule="auto"/>
        <w:rPr>
          <w:rFonts w:ascii="Palatino Linotype" w:hAnsi="Palatino Linotype"/>
          <w:b/>
          <w:bCs/>
          <w:sz w:val="36"/>
          <w:szCs w:val="36"/>
        </w:rPr>
      </w:pPr>
    </w:p>
    <w:p w:rsidRPr="009346A8" w:rsidR="009346A8" w:rsidP="009346A8" w:rsidRDefault="009346A8" w14:paraId="02C97F0D" w14:textId="77777777">
      <w:pPr>
        <w:rPr>
          <w:rFonts w:ascii="Palatino Linotype" w:hAnsi="Palatino Linotype"/>
          <w:sz w:val="36"/>
          <w:szCs w:val="36"/>
        </w:rPr>
      </w:pPr>
    </w:p>
    <w:p w:rsidRPr="009346A8" w:rsidR="009346A8" w:rsidP="009346A8" w:rsidRDefault="009346A8" w14:paraId="4E0891F6" w14:textId="77777777">
      <w:pPr>
        <w:rPr>
          <w:rFonts w:ascii="Palatino Linotype" w:hAnsi="Palatino Linotype"/>
          <w:sz w:val="36"/>
          <w:szCs w:val="36"/>
        </w:rPr>
      </w:pPr>
    </w:p>
    <w:p w:rsidRPr="009346A8" w:rsidR="009346A8" w:rsidP="009346A8" w:rsidRDefault="009346A8" w14:paraId="26EBFA32" w14:textId="77777777">
      <w:pPr>
        <w:rPr>
          <w:rFonts w:ascii="Palatino Linotype" w:hAnsi="Palatino Linotype"/>
          <w:sz w:val="36"/>
          <w:szCs w:val="36"/>
        </w:rPr>
      </w:pPr>
    </w:p>
    <w:p w:rsidRPr="009346A8" w:rsidR="009346A8" w:rsidP="009346A8" w:rsidRDefault="009346A8" w14:paraId="41F2EA33" w14:textId="77777777">
      <w:pPr>
        <w:rPr>
          <w:rFonts w:ascii="Palatino Linotype" w:hAnsi="Palatino Linotype"/>
          <w:sz w:val="36"/>
          <w:szCs w:val="36"/>
        </w:rPr>
      </w:pPr>
    </w:p>
    <w:p w:rsidR="009346A8" w:rsidP="009346A8" w:rsidRDefault="009346A8" w14:paraId="5BF47F1A" w14:textId="77777777">
      <w:pPr>
        <w:jc w:val="center"/>
        <w:rPr>
          <w:rFonts w:ascii="Palatino Linotype" w:hAnsi="Palatino Linotype"/>
          <w:b/>
          <w:bCs/>
          <w:sz w:val="36"/>
          <w:szCs w:val="36"/>
        </w:rPr>
      </w:pPr>
    </w:p>
    <w:p w:rsidR="009346A8" w:rsidP="009346A8" w:rsidRDefault="009346A8" w14:paraId="77919FCA" w14:textId="77777777">
      <w:pPr>
        <w:rPr>
          <w:rFonts w:ascii="Palatino Linotype" w:hAnsi="Palatino Linotype"/>
          <w:b/>
          <w:bCs/>
          <w:sz w:val="36"/>
          <w:szCs w:val="36"/>
        </w:rPr>
      </w:pPr>
    </w:p>
    <w:p w:rsidRPr="009346A8" w:rsidR="009346A8" w:rsidP="009346A8" w:rsidRDefault="009346A8" w14:paraId="512529D0" w14:textId="77777777">
      <w:pPr>
        <w:rPr>
          <w:rFonts w:ascii="Palatino Linotype" w:hAnsi="Palatino Linotype"/>
          <w:sz w:val="36"/>
          <w:szCs w:val="36"/>
        </w:rPr>
        <w:sectPr w:rsidRPr="009346A8" w:rsidR="009346A8" w:rsidSect="00063FD3">
          <w:footerReference w:type="first" r:id="rId91"/>
          <w:pgSz w:w="15840" w:h="12240" w:orient="landscape"/>
          <w:pgMar w:top="720" w:right="720" w:bottom="720" w:left="720" w:header="720" w:footer="666" w:gutter="0"/>
          <w:pgNumType w:start="1"/>
          <w:cols w:space="720"/>
          <w:titlePg/>
          <w:docGrid w:linePitch="360"/>
        </w:sectPr>
      </w:pPr>
    </w:p>
    <w:tbl>
      <w:tblPr>
        <w:tblStyle w:val="TableGrid"/>
        <w:tblW w:w="14256" w:type="dxa"/>
        <w:tblLook w:val="04A0" w:firstRow="1" w:lastRow="0" w:firstColumn="1" w:lastColumn="0" w:noHBand="0" w:noVBand="1"/>
      </w:tblPr>
      <w:tblGrid>
        <w:gridCol w:w="3744"/>
        <w:gridCol w:w="6912"/>
        <w:gridCol w:w="3600"/>
      </w:tblGrid>
      <w:tr w:rsidRPr="00BD2528" w:rsidR="00C05FB0" w14:paraId="68650B20" w14:textId="77777777">
        <w:trPr>
          <w:trHeight w:val="384"/>
          <w:tblHeader/>
        </w:trPr>
        <w:tc>
          <w:tcPr>
            <w:tcW w:w="3744" w:type="dxa"/>
            <w:vAlign w:val="center"/>
          </w:tcPr>
          <w:p w:rsidRPr="00BD2528" w:rsidR="00C05FB0" w:rsidRDefault="00C05FB0" w14:paraId="3772B245" w14:textId="77777777">
            <w:pPr>
              <w:rPr>
                <w:rFonts w:ascii="Palatino Linotype" w:hAnsi="Palatino Linotype"/>
                <w:b/>
                <w:bCs w:val="0"/>
                <w:sz w:val="20"/>
                <w:szCs w:val="20"/>
              </w:rPr>
            </w:pPr>
            <w:r w:rsidRPr="00BD2528">
              <w:rPr>
                <w:rFonts w:ascii="Palatino Linotype" w:hAnsi="Palatino Linotype"/>
                <w:b/>
                <w:sz w:val="20"/>
                <w:szCs w:val="20"/>
              </w:rPr>
              <w:lastRenderedPageBreak/>
              <w:t>CPUC Requirement</w:t>
            </w:r>
          </w:p>
        </w:tc>
        <w:tc>
          <w:tcPr>
            <w:tcW w:w="6912" w:type="dxa"/>
            <w:vAlign w:val="center"/>
          </w:tcPr>
          <w:p w:rsidRPr="00BD2528" w:rsidR="00C05FB0" w:rsidRDefault="00C05FB0" w14:paraId="462DDEF4" w14:textId="77777777">
            <w:pPr>
              <w:rPr>
                <w:rFonts w:ascii="Palatino Linotype" w:hAnsi="Palatino Linotype"/>
                <w:b/>
                <w:bCs w:val="0"/>
                <w:sz w:val="20"/>
                <w:szCs w:val="20"/>
              </w:rPr>
            </w:pPr>
            <w:r w:rsidRPr="00BD2528">
              <w:rPr>
                <w:rFonts w:ascii="Palatino Linotype" w:hAnsi="Palatino Linotype"/>
                <w:b/>
                <w:sz w:val="20"/>
                <w:szCs w:val="20"/>
              </w:rPr>
              <w:t>SoCalGas Response in AL 6496-G-A</w:t>
            </w:r>
          </w:p>
        </w:tc>
        <w:tc>
          <w:tcPr>
            <w:tcW w:w="3600" w:type="dxa"/>
            <w:vAlign w:val="center"/>
          </w:tcPr>
          <w:p w:rsidRPr="00BD2528" w:rsidR="00C05FB0" w:rsidRDefault="00C05FB0" w14:paraId="68CF00F8" w14:textId="77777777">
            <w:pPr>
              <w:rPr>
                <w:rFonts w:ascii="Palatino Linotype" w:hAnsi="Palatino Linotype"/>
                <w:b/>
                <w:bCs w:val="0"/>
                <w:color w:val="EE0000"/>
                <w:sz w:val="20"/>
                <w:szCs w:val="20"/>
              </w:rPr>
            </w:pPr>
            <w:r w:rsidRPr="00BD2528">
              <w:rPr>
                <w:rFonts w:ascii="Palatino Linotype" w:hAnsi="Palatino Linotype"/>
                <w:b/>
                <w:sz w:val="20"/>
                <w:szCs w:val="20"/>
              </w:rPr>
              <w:t>Compliance Assessment</w:t>
            </w:r>
          </w:p>
        </w:tc>
      </w:tr>
      <w:tr w:rsidRPr="00BD2528" w:rsidR="00C05FB0" w14:paraId="3B5D685C" w14:textId="77777777">
        <w:trPr>
          <w:trHeight w:val="638"/>
          <w:tblHeader/>
        </w:trPr>
        <w:tc>
          <w:tcPr>
            <w:tcW w:w="3744" w:type="dxa"/>
          </w:tcPr>
          <w:p w:rsidRPr="00BD2528" w:rsidR="00C05FB0" w:rsidRDefault="00C05FB0" w14:paraId="0768AD16" w14:textId="77777777">
            <w:pPr>
              <w:rPr>
                <w:rFonts w:ascii="Palatino Linotype" w:hAnsi="Palatino Linotype"/>
                <w:i/>
                <w:iCs/>
                <w:sz w:val="20"/>
                <w:szCs w:val="20"/>
              </w:rPr>
            </w:pPr>
            <w:r w:rsidRPr="00BD2528">
              <w:rPr>
                <w:rFonts w:ascii="Palatino Linotype" w:hAnsi="Palatino Linotype"/>
                <w:b/>
                <w:sz w:val="20"/>
                <w:szCs w:val="20"/>
              </w:rPr>
              <w:t>[1]</w:t>
            </w:r>
            <w:r w:rsidRPr="00BD2528">
              <w:rPr>
                <w:rFonts w:ascii="Palatino Linotype" w:hAnsi="Palatino Linotype"/>
                <w:sz w:val="20"/>
                <w:szCs w:val="20"/>
              </w:rPr>
              <w:t xml:space="preserve"> </w:t>
            </w:r>
            <w:hyperlink r:id="rId92">
              <w:r w:rsidRPr="00BD2528">
                <w:rPr>
                  <w:rStyle w:val="Hyperlink"/>
                  <w:rFonts w:ascii="Palatino Linotype" w:hAnsi="Palatino Linotype"/>
                  <w:sz w:val="20"/>
                  <w:szCs w:val="20"/>
                </w:rPr>
                <w:t>D.19-09-051</w:t>
              </w:r>
            </w:hyperlink>
            <w:r w:rsidRPr="00BD2528">
              <w:rPr>
                <w:rFonts w:ascii="Palatino Linotype" w:hAnsi="Palatino Linotype"/>
                <w:sz w:val="20"/>
                <w:szCs w:val="20"/>
              </w:rPr>
              <w:t xml:space="preserve"> at p. 378-379 &amp; OP 30. </w:t>
            </w:r>
            <w:r w:rsidRPr="00BD2528">
              <w:rPr>
                <w:rFonts w:ascii="Palatino Linotype" w:hAnsi="Palatino Linotype"/>
                <w:i/>
                <w:iCs/>
                <w:sz w:val="20"/>
                <w:szCs w:val="20"/>
              </w:rPr>
              <w:t>[SoCalGas shall] provide Energy Division staff with the workshop presentation materials as well as documentation of stakeholders consulted in the development of RD&amp;D projects… [and host an annual workshop to] present the result of the previous year’s RD&amp;D program and obtain input regarding its intended spending for the following calendar year.</w:t>
            </w:r>
            <w:r w:rsidRPr="00BD2528">
              <w:rPr>
                <w:rStyle w:val="FootnoteReference"/>
                <w:rFonts w:ascii="Palatino Linotype" w:hAnsi="Palatino Linotype"/>
                <w:i/>
                <w:iCs/>
                <w:sz w:val="20"/>
                <w:szCs w:val="20"/>
              </w:rPr>
              <w:footnoteReference w:id="273"/>
            </w:r>
          </w:p>
          <w:p w:rsidRPr="00BD2528" w:rsidR="00C05FB0" w:rsidRDefault="00C05FB0" w14:paraId="55C4CC07" w14:textId="77777777">
            <w:pPr>
              <w:rPr>
                <w:rFonts w:ascii="Palatino Linotype" w:hAnsi="Palatino Linotype"/>
                <w:i/>
                <w:iCs/>
                <w:sz w:val="20"/>
                <w:szCs w:val="20"/>
              </w:rPr>
            </w:pPr>
          </w:p>
          <w:p w:rsidRPr="00BD2528" w:rsidR="00C05FB0" w:rsidRDefault="00C05FB0" w14:paraId="79D41ABB" w14:textId="77777777">
            <w:r w:rsidRPr="00BD2528">
              <w:rPr>
                <w:rStyle w:val="normaltextrun"/>
                <w:rFonts w:ascii="Palatino Linotype" w:hAnsi="Palatino Linotype"/>
                <w:color w:val="000000" w:themeColor="text1"/>
                <w:sz w:val="20"/>
                <w:szCs w:val="20"/>
                <w:shd w:val="clear" w:color="auto" w:fill="FFFFFF"/>
              </w:rPr>
              <w:t>See also: [18] on integration of public stakeholder feedback.</w:t>
            </w:r>
          </w:p>
        </w:tc>
        <w:tc>
          <w:tcPr>
            <w:tcW w:w="6912" w:type="dxa"/>
          </w:tcPr>
          <w:p w:rsidRPr="00BD2528" w:rsidR="00C05FB0" w:rsidRDefault="00C05FB0" w14:paraId="5912713E" w14:textId="77777777">
            <w:pPr>
              <w:pStyle w:val="paragraph"/>
              <w:spacing w:before="0" w:beforeAutospacing="0" w:after="0" w:afterAutospacing="0"/>
              <w:textAlignment w:val="baseline"/>
              <w:rPr>
                <w:rFonts w:ascii="Segoe UI" w:hAnsi="Segoe UI" w:cs="Segoe UI"/>
                <w:sz w:val="18"/>
                <w:szCs w:val="18"/>
              </w:rPr>
            </w:pPr>
            <w:r w:rsidRPr="00BD2528">
              <w:rPr>
                <w:rFonts w:ascii="Palatino Linotype" w:hAnsi="Palatino Linotype"/>
                <w:color w:val="000000" w:themeColor="text1"/>
                <w:sz w:val="20"/>
                <w:szCs w:val="20"/>
              </w:rPr>
              <w:t>SoCalGas</w:t>
            </w:r>
            <w:r w:rsidRPr="00BD2528">
              <w:rPr>
                <w:rStyle w:val="normaltextrun"/>
                <w:rFonts w:ascii="Palatino Linotype" w:hAnsi="Palatino Linotype" w:cs="Segoe UI" w:eastAsiaTheme="majorEastAsia"/>
                <w:color w:val="000000"/>
                <w:sz w:val="20"/>
                <w:szCs w:val="20"/>
              </w:rPr>
              <w:t xml:space="preserve"> states the following: </w:t>
            </w:r>
            <w:r w:rsidRPr="00BD2528">
              <w:rPr>
                <w:rStyle w:val="eop"/>
                <w:rFonts w:ascii="Palatino Linotype" w:hAnsi="Palatino Linotype" w:cs="Segoe UI" w:eastAsiaTheme="majorEastAsia"/>
                <w:color w:val="000000"/>
                <w:sz w:val="20"/>
                <w:szCs w:val="20"/>
              </w:rPr>
              <w:t> </w:t>
            </w:r>
          </w:p>
          <w:p w:rsidRPr="00BD2528" w:rsidR="00C05FB0" w:rsidP="00C05FB0" w:rsidRDefault="00C05FB0" w14:paraId="338F345C" w14:textId="77777777">
            <w:pPr>
              <w:pStyle w:val="paragraph"/>
              <w:numPr>
                <w:ilvl w:val="0"/>
                <w:numId w:val="54"/>
              </w:numPr>
              <w:spacing w:before="0" w:beforeAutospacing="0" w:after="0" w:afterAutospacing="0"/>
              <w:textAlignment w:val="baseline"/>
              <w:rPr>
                <w:rStyle w:val="eop"/>
                <w:rFonts w:ascii="Palatino Linotype" w:hAnsi="Palatino Linotype" w:cs="Segoe UI"/>
                <w:sz w:val="20"/>
                <w:szCs w:val="20"/>
              </w:rPr>
            </w:pPr>
            <w:r w:rsidRPr="00BD2528">
              <w:rPr>
                <w:rStyle w:val="normaltextrun"/>
                <w:rFonts w:ascii="Palatino Linotype" w:hAnsi="Palatino Linotype" w:cs="Segoe UI" w:eastAsiaTheme="majorEastAsia"/>
                <w:color w:val="000000"/>
                <w:sz w:val="20"/>
                <w:szCs w:val="20"/>
              </w:rPr>
              <w:t>“On April 21, 2025, SoCalGas submitted its workshop presentation materials to CPUC Energy Division staff for review. The presentation included documentation of the stakeholders consulted in the development of the workshop presentation.”</w:t>
            </w:r>
            <w:r w:rsidRPr="00BD2528">
              <w:rPr>
                <w:rStyle w:val="FootnoteReference"/>
                <w:rFonts w:ascii="Palatino Linotype" w:hAnsi="Palatino Linotype" w:cs="Segoe UI" w:eastAsiaTheme="majorEastAsia"/>
                <w:color w:val="000000"/>
                <w:sz w:val="20"/>
                <w:szCs w:val="20"/>
              </w:rPr>
              <w:footnoteReference w:id="274"/>
            </w:r>
          </w:p>
          <w:p w:rsidRPr="00BD2528" w:rsidR="00C05FB0" w:rsidP="00C05FB0" w:rsidRDefault="00C05FB0" w14:paraId="17D88949" w14:textId="77777777">
            <w:pPr>
              <w:pStyle w:val="paragraph"/>
              <w:numPr>
                <w:ilvl w:val="0"/>
                <w:numId w:val="54"/>
              </w:numPr>
              <w:spacing w:before="0" w:beforeAutospacing="0" w:after="0" w:afterAutospacing="0"/>
              <w:textAlignment w:val="baseline"/>
              <w:rPr>
                <w:rStyle w:val="eop"/>
                <w:rFonts w:ascii="Palatino Linotype" w:hAnsi="Palatino Linotype" w:cs="Segoe UI"/>
                <w:sz w:val="20"/>
                <w:szCs w:val="20"/>
              </w:rPr>
            </w:pPr>
            <w:r w:rsidRPr="00BD2528">
              <w:rPr>
                <w:rStyle w:val="normaltextrun"/>
                <w:rFonts w:ascii="Palatino Linotype" w:hAnsi="Palatino Linotype" w:cs="Segoe UI" w:eastAsiaTheme="majorEastAsia"/>
                <w:color w:val="000000"/>
                <w:sz w:val="20"/>
                <w:szCs w:val="20"/>
              </w:rPr>
              <w:t>“On April 28, 2025, RD&amp;D staff hosted a public workshop in a hybrid format. In consultation with Energy Division staff, SoCalGas extended invitations to approximately 340 stakeholders and encouraged both in-person and virtual participation. Notifications of the workshop were also sent to several relevant service lists.</w:t>
            </w:r>
            <w:r w:rsidRPr="00BD2528">
              <w:rPr>
                <w:rStyle w:val="FootnoteReference"/>
                <w:rFonts w:ascii="Palatino Linotype" w:hAnsi="Palatino Linotype" w:cs="Segoe UI" w:eastAsiaTheme="majorEastAsia"/>
                <w:color w:val="000000"/>
                <w:sz w:val="20"/>
                <w:szCs w:val="20"/>
              </w:rPr>
              <w:footnoteReference w:id="275"/>
            </w:r>
            <w:r w:rsidRPr="00BD2528">
              <w:rPr>
                <w:rStyle w:val="normaltextrun"/>
                <w:rFonts w:ascii="Palatino Linotype" w:hAnsi="Palatino Linotype" w:cs="Segoe UI" w:eastAsiaTheme="majorEastAsia"/>
                <w:color w:val="000000"/>
                <w:sz w:val="20"/>
                <w:szCs w:val="20"/>
              </w:rPr>
              <w:t> Approximately 200 individuals attended the workshop, representing a broad range of research organizations.”</w:t>
            </w:r>
            <w:r w:rsidRPr="00BD2528">
              <w:rPr>
                <w:rStyle w:val="FootnoteReference"/>
                <w:rFonts w:ascii="Palatino Linotype" w:hAnsi="Palatino Linotype" w:cs="Segoe UI" w:eastAsiaTheme="majorEastAsia"/>
                <w:color w:val="000000"/>
                <w:sz w:val="20"/>
                <w:szCs w:val="20"/>
              </w:rPr>
              <w:footnoteReference w:id="276"/>
            </w:r>
          </w:p>
          <w:p w:rsidRPr="00BD2528" w:rsidR="00C05FB0" w:rsidP="00C05FB0" w:rsidRDefault="00C05FB0" w14:paraId="69178385" w14:textId="77777777">
            <w:pPr>
              <w:pStyle w:val="paragraph"/>
              <w:numPr>
                <w:ilvl w:val="0"/>
                <w:numId w:val="54"/>
              </w:numPr>
              <w:spacing w:before="0" w:beforeAutospacing="0" w:after="0" w:afterAutospacing="0"/>
              <w:textAlignment w:val="baseline"/>
              <w:rPr>
                <w:rFonts w:ascii="Palatino Linotype" w:hAnsi="Palatino Linotype" w:cs="Segoe UI"/>
                <w:sz w:val="20"/>
                <w:szCs w:val="20"/>
              </w:rPr>
            </w:pPr>
            <w:r w:rsidRPr="00BD2528">
              <w:rPr>
                <w:rStyle w:val="normaltextrun"/>
                <w:rFonts w:ascii="Palatino Linotype" w:hAnsi="Palatino Linotype" w:cs="Segoe UI" w:eastAsiaTheme="majorEastAsia"/>
                <w:color w:val="000000"/>
                <w:sz w:val="20"/>
                <w:szCs w:val="20"/>
              </w:rPr>
              <w:t>“During the two-hour workshop, RD&amp;D team members presented results from 2024 RD&amp;D activities and outlined proposed spending and activities for the 2024 and 2025 Research Plans.”</w:t>
            </w:r>
            <w:r w:rsidRPr="00BD2528">
              <w:rPr>
                <w:rStyle w:val="FootnoteReference"/>
                <w:rFonts w:ascii="Palatino Linotype" w:hAnsi="Palatino Linotype" w:cs="Segoe UI" w:eastAsiaTheme="majorEastAsia"/>
                <w:color w:val="000000"/>
                <w:sz w:val="20"/>
                <w:szCs w:val="20"/>
              </w:rPr>
              <w:footnoteReference w:id="277"/>
            </w:r>
          </w:p>
          <w:p w:rsidRPr="00BD2528" w:rsidR="00C05FB0" w:rsidRDefault="00C05FB0" w14:paraId="461D6287" w14:textId="77777777">
            <w:pPr>
              <w:spacing w:before="240"/>
              <w:rPr>
                <w:rFonts w:ascii="Palatino Linotype" w:hAnsi="Palatino Linotype"/>
                <w:sz w:val="20"/>
                <w:szCs w:val="20"/>
              </w:rPr>
            </w:pPr>
            <w:r w:rsidRPr="00BD2528">
              <w:rPr>
                <w:rFonts w:ascii="Palatino Linotype" w:hAnsi="Palatino Linotype"/>
                <w:color w:val="000000" w:themeColor="text1"/>
                <w:sz w:val="20"/>
                <w:szCs w:val="20"/>
              </w:rPr>
              <w:t>SoCalGas</w:t>
            </w:r>
            <w:r w:rsidRPr="00BD2528">
              <w:rPr>
                <w:rStyle w:val="normaltextrun"/>
                <w:rFonts w:ascii="Palatino Linotype" w:hAnsi="Palatino Linotype"/>
                <w:color w:val="000000" w:themeColor="text1"/>
                <w:sz w:val="20"/>
                <w:szCs w:val="20"/>
              </w:rPr>
              <w:t xml:space="preserve"> discussed feedback received from public workshop attendees for each Initiative.</w:t>
            </w:r>
            <w:r w:rsidRPr="00BD2528">
              <w:rPr>
                <w:rStyle w:val="FootnoteReference"/>
                <w:rFonts w:ascii="Palatino Linotype" w:hAnsi="Palatino Linotype"/>
                <w:color w:val="000000" w:themeColor="text1"/>
                <w:sz w:val="20"/>
                <w:szCs w:val="20"/>
              </w:rPr>
              <w:footnoteReference w:id="278"/>
            </w:r>
            <w:r w:rsidRPr="00BD2528">
              <w:rPr>
                <w:rStyle w:val="normaltextrun"/>
                <w:rFonts w:ascii="Palatino Linotype" w:hAnsi="Palatino Linotype"/>
                <w:color w:val="000000" w:themeColor="text1"/>
                <w:sz w:val="20"/>
                <w:szCs w:val="20"/>
              </w:rPr>
              <w:t xml:space="preserve"> </w:t>
            </w:r>
          </w:p>
        </w:tc>
        <w:tc>
          <w:tcPr>
            <w:tcW w:w="3600" w:type="dxa"/>
          </w:tcPr>
          <w:p w:rsidRPr="00BD2528" w:rsidR="00C05FB0" w:rsidRDefault="00C05FB0" w14:paraId="7059AD61" w14:textId="77777777">
            <w:pPr>
              <w:rPr>
                <w:rFonts w:ascii="Palatino Linotype" w:hAnsi="Palatino Linotype"/>
                <w:b/>
                <w:color w:val="000000" w:themeColor="text1"/>
                <w:sz w:val="20"/>
                <w:szCs w:val="20"/>
              </w:rPr>
            </w:pPr>
            <w:r w:rsidRPr="00BD2528">
              <w:rPr>
                <w:rFonts w:ascii="Palatino Linotype" w:hAnsi="Palatino Linotype"/>
                <w:color w:val="000000" w:themeColor="text1"/>
                <w:sz w:val="20"/>
                <w:szCs w:val="20"/>
              </w:rPr>
              <w:t>SoCalGas</w:t>
            </w:r>
            <w:r w:rsidRPr="00BD2528">
              <w:rPr>
                <w:rStyle w:val="normaltextrun"/>
                <w:rFonts w:ascii="Palatino Linotype" w:hAnsi="Palatino Linotype"/>
                <w:color w:val="000000"/>
                <w:sz w:val="20"/>
                <w:szCs w:val="20"/>
              </w:rPr>
              <w:t xml:space="preserve"> provided Energy Division staff with workshop materials in advance of hosting an annual public workshop to seek input on proposed Plans. </w:t>
            </w:r>
            <w:r w:rsidRPr="00BD2528">
              <w:rPr>
                <w:rFonts w:ascii="Palatino Linotype" w:hAnsi="Palatino Linotype"/>
                <w:b/>
                <w:color w:val="000000" w:themeColor="text1"/>
                <w:sz w:val="20"/>
                <w:szCs w:val="20"/>
              </w:rPr>
              <w:t>SoCalGas is compliant with this requirement.</w:t>
            </w:r>
          </w:p>
        </w:tc>
      </w:tr>
      <w:tr w:rsidRPr="00BD2528" w:rsidR="00C05FB0" w14:paraId="5B083A82" w14:textId="77777777">
        <w:trPr>
          <w:trHeight w:val="638"/>
          <w:tblHeader/>
        </w:trPr>
        <w:tc>
          <w:tcPr>
            <w:tcW w:w="3744" w:type="dxa"/>
          </w:tcPr>
          <w:p w:rsidRPr="00BD2528" w:rsidR="00C05FB0" w:rsidRDefault="00C05FB0" w14:paraId="097970A9" w14:textId="77777777">
            <w:r w:rsidRPr="00BD2528">
              <w:rPr>
                <w:rFonts w:ascii="Palatino Linotype" w:hAnsi="Palatino Linotype"/>
                <w:b/>
                <w:sz w:val="20"/>
                <w:szCs w:val="20"/>
              </w:rPr>
              <w:t xml:space="preserve">[2] </w:t>
            </w:r>
            <w:hyperlink r:id="rId93">
              <w:r w:rsidRPr="00BD2528">
                <w:rPr>
                  <w:rStyle w:val="Hyperlink"/>
                  <w:rFonts w:ascii="Palatino Linotype" w:hAnsi="Palatino Linotype"/>
                  <w:sz w:val="20"/>
                  <w:szCs w:val="20"/>
                </w:rPr>
                <w:t>D.19-09-051</w:t>
              </w:r>
            </w:hyperlink>
            <w:r w:rsidRPr="00BD2528">
              <w:rPr>
                <w:rFonts w:ascii="Palatino Linotype" w:hAnsi="Palatino Linotype"/>
                <w:sz w:val="20"/>
                <w:szCs w:val="20"/>
              </w:rPr>
              <w:t xml:space="preserve"> at p. 378 &amp; OP 30. </w:t>
            </w:r>
            <w:r w:rsidRPr="00BD2528">
              <w:rPr>
                <w:rFonts w:ascii="Palatino Linotype" w:hAnsi="Palatino Linotype"/>
                <w:i/>
                <w:iCs/>
                <w:sz w:val="20"/>
                <w:szCs w:val="20"/>
              </w:rPr>
              <w:t>[SoCalGas shall] submit a report to Energy Division staff describing prior years’ RD&amp;D program. This should include a summary of ongoing and completed projects; funds expended, funding recipients, and leveraged funding; and an explanation of the process used for selecting RD&amp;D project areas as well as the structure of SoCalGas’ RD&amp;D portfolio.</w:t>
            </w:r>
            <w:r w:rsidRPr="00BD2528">
              <w:rPr>
                <w:rStyle w:val="FootnoteReference"/>
                <w:rFonts w:ascii="Palatino Linotype" w:hAnsi="Palatino Linotype"/>
                <w:i/>
                <w:iCs/>
                <w:sz w:val="20"/>
                <w:szCs w:val="20"/>
              </w:rPr>
              <w:footnoteReference w:id="279"/>
            </w:r>
          </w:p>
        </w:tc>
        <w:tc>
          <w:tcPr>
            <w:tcW w:w="6912" w:type="dxa"/>
          </w:tcPr>
          <w:p w:rsidRPr="00BD2528" w:rsidR="00C05FB0" w:rsidRDefault="00C05FB0" w14:paraId="12E3B1B4" w14:textId="77777777">
            <w:pPr>
              <w:rPr>
                <w:rFonts w:ascii="Palatino Linotype" w:hAnsi="Palatino Linotype"/>
                <w:bCs w:val="0"/>
                <w:sz w:val="20"/>
                <w:szCs w:val="20"/>
              </w:rPr>
            </w:pPr>
            <w:r w:rsidRPr="00BD2528">
              <w:rPr>
                <w:rFonts w:ascii="Palatino Linotype" w:hAnsi="Palatino Linotype"/>
                <w:color w:val="000000" w:themeColor="text1"/>
                <w:sz w:val="20"/>
                <w:szCs w:val="20"/>
              </w:rPr>
              <w:t>In April 2025, SoCalGas submitted its 2024 Gas RD&amp;D Annual Report</w:t>
            </w:r>
            <w:r w:rsidRPr="00BD2528">
              <w:rPr>
                <w:rStyle w:val="FootnoteReference"/>
                <w:rFonts w:ascii="Palatino Linotype" w:hAnsi="Palatino Linotype"/>
                <w:color w:val="000000" w:themeColor="text1"/>
                <w:sz w:val="20"/>
                <w:szCs w:val="20"/>
              </w:rPr>
              <w:footnoteReference w:id="280"/>
            </w:r>
            <w:r w:rsidRPr="00BD2528">
              <w:rPr>
                <w:rFonts w:ascii="Palatino Linotype" w:hAnsi="Palatino Linotype"/>
                <w:color w:val="000000" w:themeColor="text1"/>
                <w:sz w:val="20"/>
                <w:szCs w:val="20"/>
              </w:rPr>
              <w:t xml:space="preserve"> to </w:t>
            </w:r>
            <w:proofErr w:type="gramStart"/>
            <w:r w:rsidRPr="00BD2528">
              <w:rPr>
                <w:rFonts w:ascii="Palatino Linotype" w:hAnsi="Palatino Linotype"/>
                <w:color w:val="000000" w:themeColor="text1"/>
                <w:sz w:val="20"/>
                <w:szCs w:val="20"/>
              </w:rPr>
              <w:t>CPUC‘</w:t>
            </w:r>
            <w:proofErr w:type="gramEnd"/>
            <w:r w:rsidRPr="00BD2528">
              <w:rPr>
                <w:rFonts w:ascii="Palatino Linotype" w:hAnsi="Palatino Linotype"/>
                <w:color w:val="000000" w:themeColor="text1"/>
                <w:sz w:val="20"/>
                <w:szCs w:val="20"/>
              </w:rPr>
              <w:t>s Energy Division. The report includes summaries of ongoing and completed projects;</w:t>
            </w:r>
            <w:r w:rsidRPr="00BD2528">
              <w:rPr>
                <w:rStyle w:val="FootnoteReference"/>
                <w:rFonts w:ascii="Palatino Linotype" w:hAnsi="Palatino Linotype"/>
                <w:color w:val="000000" w:themeColor="text1"/>
                <w:sz w:val="20"/>
                <w:szCs w:val="20"/>
              </w:rPr>
              <w:footnoteReference w:id="281"/>
            </w:r>
            <w:r w:rsidRPr="00BD2528">
              <w:rPr>
                <w:rFonts w:ascii="Palatino Linotype" w:hAnsi="Palatino Linotype"/>
                <w:color w:val="000000" w:themeColor="text1"/>
                <w:sz w:val="20"/>
                <w:szCs w:val="20"/>
              </w:rPr>
              <w:t xml:space="preserve"> funds expended,</w:t>
            </w:r>
            <w:r w:rsidRPr="00BD2528">
              <w:rPr>
                <w:rStyle w:val="FootnoteReference"/>
                <w:rFonts w:ascii="Palatino Linotype" w:hAnsi="Palatino Linotype"/>
                <w:color w:val="000000" w:themeColor="text1"/>
                <w:sz w:val="20"/>
                <w:szCs w:val="20"/>
              </w:rPr>
              <w:footnoteReference w:id="282"/>
            </w:r>
            <w:r w:rsidRPr="00BD2528">
              <w:rPr>
                <w:rFonts w:ascii="Palatino Linotype" w:hAnsi="Palatino Linotype"/>
                <w:color w:val="000000" w:themeColor="text1"/>
                <w:sz w:val="20"/>
                <w:szCs w:val="20"/>
              </w:rPr>
              <w:t xml:space="preserve"> funding recipients,</w:t>
            </w:r>
            <w:r w:rsidRPr="00BD2528">
              <w:rPr>
                <w:rStyle w:val="FootnoteReference"/>
                <w:rFonts w:ascii="Palatino Linotype" w:hAnsi="Palatino Linotype"/>
                <w:color w:val="000000" w:themeColor="text1"/>
                <w:sz w:val="20"/>
                <w:szCs w:val="20"/>
              </w:rPr>
              <w:footnoteReference w:id="283"/>
            </w:r>
            <w:r w:rsidRPr="00BD2528">
              <w:rPr>
                <w:rFonts w:ascii="Palatino Linotype" w:hAnsi="Palatino Linotype"/>
                <w:color w:val="000000" w:themeColor="text1"/>
                <w:sz w:val="20"/>
                <w:szCs w:val="20"/>
              </w:rPr>
              <w:t xml:space="preserve"> and leveraged funding,</w:t>
            </w:r>
            <w:r w:rsidRPr="00BD2528">
              <w:rPr>
                <w:rStyle w:val="FootnoteReference"/>
                <w:rFonts w:ascii="Palatino Linotype" w:hAnsi="Palatino Linotype"/>
                <w:color w:val="000000" w:themeColor="text1"/>
                <w:sz w:val="20"/>
                <w:szCs w:val="20"/>
              </w:rPr>
              <w:footnoteReference w:id="284"/>
            </w:r>
            <w:r w:rsidRPr="00BD2528">
              <w:rPr>
                <w:rFonts w:ascii="Palatino Linotype" w:hAnsi="Palatino Linotype"/>
                <w:color w:val="000000" w:themeColor="text1"/>
                <w:sz w:val="20"/>
                <w:szCs w:val="20"/>
              </w:rPr>
              <w:t xml:space="preserve"> the project selection process,</w:t>
            </w:r>
            <w:r w:rsidRPr="00BD2528">
              <w:rPr>
                <w:rStyle w:val="FootnoteReference"/>
                <w:rFonts w:ascii="Palatino Linotype" w:hAnsi="Palatino Linotype"/>
                <w:color w:val="000000" w:themeColor="text1"/>
                <w:sz w:val="20"/>
                <w:szCs w:val="20"/>
              </w:rPr>
              <w:footnoteReference w:id="285"/>
            </w:r>
            <w:r w:rsidRPr="00BD2528">
              <w:rPr>
                <w:rFonts w:ascii="Palatino Linotype" w:hAnsi="Palatino Linotype"/>
                <w:color w:val="000000" w:themeColor="text1"/>
                <w:sz w:val="20"/>
                <w:szCs w:val="20"/>
              </w:rPr>
              <w:t xml:space="preserve"> and portfolio structure.</w:t>
            </w:r>
            <w:r w:rsidRPr="00BD2528">
              <w:rPr>
                <w:rStyle w:val="FootnoteReference"/>
                <w:rFonts w:ascii="Palatino Linotype" w:hAnsi="Palatino Linotype"/>
                <w:color w:val="000000" w:themeColor="text1"/>
                <w:sz w:val="20"/>
                <w:szCs w:val="20"/>
              </w:rPr>
              <w:footnoteReference w:id="286"/>
            </w:r>
          </w:p>
        </w:tc>
        <w:tc>
          <w:tcPr>
            <w:tcW w:w="3600" w:type="dxa"/>
          </w:tcPr>
          <w:p w:rsidRPr="00BD2528" w:rsidR="00C05FB0" w:rsidRDefault="00C05FB0" w14:paraId="4425039B" w14:textId="77777777">
            <w:pPr>
              <w:rPr>
                <w:rFonts w:ascii="Palatino Linotype" w:hAnsi="Palatino Linotype"/>
                <w:bCs w:val="0"/>
                <w:sz w:val="20"/>
                <w:szCs w:val="20"/>
              </w:rPr>
            </w:pPr>
            <w:r w:rsidRPr="00BD2528">
              <w:rPr>
                <w:rFonts w:ascii="Palatino Linotype" w:hAnsi="Palatino Linotype"/>
                <w:color w:val="000000" w:themeColor="text1"/>
                <w:sz w:val="20"/>
                <w:szCs w:val="20"/>
              </w:rPr>
              <w:t xml:space="preserve">SoCalGas submitted an Annual Gas RD&amp;D Report with the required contents. </w:t>
            </w:r>
            <w:r w:rsidRPr="00BD2528">
              <w:rPr>
                <w:rFonts w:ascii="Palatino Linotype" w:hAnsi="Palatino Linotype"/>
                <w:b/>
                <w:color w:val="000000" w:themeColor="text1"/>
                <w:sz w:val="20"/>
                <w:szCs w:val="20"/>
              </w:rPr>
              <w:t>SoCalGas is compliant with this requirement.</w:t>
            </w:r>
          </w:p>
        </w:tc>
      </w:tr>
      <w:tr w:rsidRPr="00BD2528" w:rsidR="00C05FB0" w14:paraId="11E8495E" w14:textId="77777777">
        <w:trPr>
          <w:trHeight w:val="980"/>
          <w:tblHeader/>
        </w:trPr>
        <w:tc>
          <w:tcPr>
            <w:tcW w:w="3744" w:type="dxa"/>
          </w:tcPr>
          <w:p w:rsidRPr="00BD2528" w:rsidR="00C05FB0" w:rsidRDefault="00C05FB0" w14:paraId="65B967F6" w14:textId="77777777">
            <w:r w:rsidRPr="00BD2528">
              <w:rPr>
                <w:rFonts w:ascii="Palatino Linotype" w:hAnsi="Palatino Linotype"/>
                <w:b/>
                <w:sz w:val="20"/>
                <w:szCs w:val="20"/>
              </w:rPr>
              <w:t xml:space="preserve">[3] </w:t>
            </w:r>
            <w:hyperlink r:id="rId94">
              <w:r w:rsidRPr="00BD2528">
                <w:rPr>
                  <w:rStyle w:val="Hyperlink"/>
                  <w:rFonts w:ascii="Palatino Linotype" w:hAnsi="Palatino Linotype"/>
                  <w:sz w:val="20"/>
                  <w:szCs w:val="20"/>
                </w:rPr>
                <w:t>D.19-09-051</w:t>
              </w:r>
            </w:hyperlink>
            <w:r w:rsidRPr="00BD2528">
              <w:rPr>
                <w:rFonts w:ascii="Palatino Linotype" w:hAnsi="Palatino Linotype"/>
                <w:sz w:val="20"/>
                <w:szCs w:val="20"/>
              </w:rPr>
              <w:t xml:space="preserve"> at p. 379 &amp; OP 30. </w:t>
            </w:r>
            <w:r w:rsidRPr="00BD2528">
              <w:rPr>
                <w:rFonts w:ascii="Palatino Linotype" w:hAnsi="Palatino Linotype"/>
                <w:i/>
                <w:iCs/>
                <w:sz w:val="20"/>
                <w:szCs w:val="20"/>
              </w:rPr>
              <w:t>After considering stakeholder comments during the workshop, SoCalGas shall file a Tier 3 Advice Letter with its research plan for the following calendar year.</w:t>
            </w:r>
            <w:r w:rsidRPr="00BD2528">
              <w:rPr>
                <w:rStyle w:val="FootnoteReference"/>
                <w:rFonts w:ascii="Palatino Linotype" w:hAnsi="Palatino Linotype"/>
                <w:i/>
                <w:iCs/>
                <w:sz w:val="20"/>
                <w:szCs w:val="20"/>
              </w:rPr>
              <w:footnoteReference w:id="287"/>
            </w:r>
          </w:p>
        </w:tc>
        <w:tc>
          <w:tcPr>
            <w:tcW w:w="6912" w:type="dxa"/>
          </w:tcPr>
          <w:p w:rsidRPr="00BD2528" w:rsidR="00C05FB0" w:rsidRDefault="00C05FB0" w14:paraId="14D6474C"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submitted its 2025 Plan (AL 6496-G) on June 27, 2025, and subsequently submitted its modified 2025 Plan via supplemental AL 6496-G-A on April 3, 2026.</w:t>
            </w:r>
          </w:p>
        </w:tc>
        <w:tc>
          <w:tcPr>
            <w:tcW w:w="3600" w:type="dxa"/>
          </w:tcPr>
          <w:p w:rsidRPr="00BD2528" w:rsidR="00C05FB0" w:rsidRDefault="00C05FB0" w14:paraId="7B79FCE8" w14:textId="77777777">
            <w:pPr>
              <w:rPr>
                <w:rFonts w:ascii="Palatino Linotype" w:hAnsi="Palatino Linotype"/>
                <w:bCs w:val="0"/>
                <w:sz w:val="20"/>
                <w:szCs w:val="20"/>
              </w:rPr>
            </w:pPr>
            <w:r w:rsidRPr="00BD2528">
              <w:rPr>
                <w:rFonts w:ascii="Palatino Linotype" w:hAnsi="Palatino Linotype"/>
                <w:color w:val="000000" w:themeColor="text1"/>
                <w:sz w:val="20"/>
                <w:szCs w:val="20"/>
              </w:rPr>
              <w:t xml:space="preserve">SoCalGas filed a Tier 3 AL with its proposed 2025 Plan. </w:t>
            </w:r>
            <w:r w:rsidRPr="00BD2528">
              <w:rPr>
                <w:rFonts w:ascii="Palatino Linotype" w:hAnsi="Palatino Linotype"/>
                <w:b/>
                <w:color w:val="000000" w:themeColor="text1"/>
                <w:sz w:val="20"/>
                <w:szCs w:val="20"/>
              </w:rPr>
              <w:t>SoCalGas is compliant with this requirement.</w:t>
            </w:r>
          </w:p>
        </w:tc>
      </w:tr>
      <w:tr w:rsidRPr="00BD2528" w:rsidR="00C05FB0" w14:paraId="647CA41F" w14:textId="77777777">
        <w:trPr>
          <w:trHeight w:val="638"/>
          <w:tblHeader/>
        </w:trPr>
        <w:tc>
          <w:tcPr>
            <w:tcW w:w="3744" w:type="dxa"/>
          </w:tcPr>
          <w:p w:rsidRPr="00BD2528" w:rsidR="00C05FB0" w:rsidRDefault="00C05FB0" w14:paraId="17536302" w14:textId="77777777">
            <w:pPr>
              <w:rPr>
                <w:rFonts w:ascii="Palatino Linotype" w:hAnsi="Palatino Linotype"/>
                <w:i/>
                <w:iCs/>
                <w:sz w:val="20"/>
                <w:szCs w:val="20"/>
              </w:rPr>
            </w:pPr>
            <w:r w:rsidRPr="00BD2528">
              <w:rPr>
                <w:rFonts w:ascii="Palatino Linotype" w:hAnsi="Palatino Linotype"/>
                <w:b/>
                <w:sz w:val="20"/>
                <w:szCs w:val="20"/>
              </w:rPr>
              <w:lastRenderedPageBreak/>
              <w:t xml:space="preserve">[4] </w:t>
            </w:r>
            <w:hyperlink w:history="1" r:id="rId95">
              <w:r w:rsidRPr="00BD2528">
                <w:rPr>
                  <w:rStyle w:val="Hyperlink"/>
                  <w:rFonts w:ascii="Palatino Linotype" w:hAnsi="Palatino Linotype"/>
                  <w:sz w:val="20"/>
                  <w:szCs w:val="20"/>
                </w:rPr>
                <w:t>D.19-09-051</w:t>
              </w:r>
            </w:hyperlink>
            <w:r w:rsidRPr="00BD2528">
              <w:rPr>
                <w:rFonts w:ascii="Palatino Linotype" w:hAnsi="Palatino Linotype"/>
                <w:sz w:val="20"/>
                <w:szCs w:val="20"/>
              </w:rPr>
              <w:t xml:space="preserve"> at p. 379 &amp; OP 30. </w:t>
            </w:r>
            <w:r w:rsidRPr="00BD2528">
              <w:rPr>
                <w:rFonts w:ascii="Palatino Linotype" w:hAnsi="Palatino Linotype"/>
                <w:i/>
                <w:iCs/>
                <w:sz w:val="20"/>
                <w:szCs w:val="20"/>
              </w:rPr>
              <w:t xml:space="preserve">SoCalGas must also present its budget broken down by research projects, </w:t>
            </w:r>
          </w:p>
          <w:p w:rsidRPr="00BD2528" w:rsidR="00C05FB0" w:rsidRDefault="00C05FB0" w14:paraId="7509FE9E" w14:textId="77777777">
            <w:r w:rsidRPr="00BD2528">
              <w:rPr>
                <w:rFonts w:ascii="Palatino Linotype" w:hAnsi="Palatino Linotype"/>
                <w:i/>
                <w:iCs/>
                <w:sz w:val="20"/>
                <w:szCs w:val="20"/>
              </w:rPr>
              <w:t>request for proposals, and funding amounts… [and] detail budgets broken down by research sub-program area.</w:t>
            </w:r>
          </w:p>
        </w:tc>
        <w:tc>
          <w:tcPr>
            <w:tcW w:w="6912" w:type="dxa"/>
          </w:tcPr>
          <w:p w:rsidRPr="00BD2528" w:rsidR="00C05FB0" w:rsidRDefault="00C05FB0" w14:paraId="1B79EAC3" w14:textId="77777777">
            <w:pPr>
              <w:rPr>
                <w:rFonts w:ascii="Palatino Linotype" w:hAnsi="Palatino Linotype"/>
                <w:bCs w:val="0"/>
                <w:sz w:val="20"/>
                <w:szCs w:val="20"/>
              </w:rPr>
            </w:pPr>
            <w:r w:rsidRPr="00BD2528">
              <w:rPr>
                <w:rFonts w:ascii="Palatino Linotype" w:hAnsi="Palatino Linotype"/>
                <w:color w:val="000000" w:themeColor="text1"/>
                <w:sz w:val="20"/>
                <w:szCs w:val="20"/>
              </w:rPr>
              <w:t>SoCalGas</w:t>
            </w:r>
            <w:r w:rsidRPr="00BD2528">
              <w:rPr>
                <w:rFonts w:ascii="Palatino Linotype" w:hAnsi="Palatino Linotype"/>
                <w:sz w:val="20"/>
                <w:szCs w:val="20"/>
              </w:rPr>
              <w:t xml:space="preserve"> proposes budgets allocations to several Initiatives or research sub-program areas:  </w:t>
            </w:r>
          </w:p>
          <w:p w:rsidRPr="00BD2528" w:rsidR="00C05FB0" w:rsidP="00C05FB0" w:rsidRDefault="00C05FB0" w14:paraId="2F2FFBF4" w14:textId="77777777">
            <w:pPr>
              <w:numPr>
                <w:ilvl w:val="0"/>
                <w:numId w:val="55"/>
              </w:numPr>
              <w:tabs>
                <w:tab w:val="num" w:pos="720"/>
              </w:tabs>
              <w:rPr>
                <w:rFonts w:ascii="Palatino Linotype" w:hAnsi="Palatino Linotype"/>
                <w:bCs w:val="0"/>
                <w:sz w:val="20"/>
                <w:szCs w:val="20"/>
              </w:rPr>
            </w:pPr>
            <w:r w:rsidRPr="00BD2528">
              <w:rPr>
                <w:rFonts w:ascii="Palatino Linotype" w:hAnsi="Palatino Linotype"/>
                <w:sz w:val="20"/>
                <w:szCs w:val="20"/>
              </w:rPr>
              <w:t>Gas System Integrity Investment Theme:  </w:t>
            </w:r>
          </w:p>
          <w:p w:rsidRPr="00BD2528" w:rsidR="00C05FB0" w:rsidP="00C05FB0" w:rsidRDefault="00C05FB0" w14:paraId="5EE1938F" w14:textId="77777777">
            <w:pPr>
              <w:numPr>
                <w:ilvl w:val="0"/>
                <w:numId w:val="56"/>
              </w:numPr>
              <w:rPr>
                <w:rFonts w:ascii="Palatino Linotype" w:hAnsi="Palatino Linotype"/>
                <w:bCs w:val="0"/>
                <w:sz w:val="20"/>
                <w:szCs w:val="20"/>
              </w:rPr>
            </w:pPr>
            <w:r w:rsidRPr="00BD2528">
              <w:rPr>
                <w:rFonts w:ascii="Palatino Linotype" w:hAnsi="Palatino Linotype"/>
                <w:sz w:val="20"/>
                <w:szCs w:val="20"/>
              </w:rPr>
              <w:t>Environmental &amp; Safety </w:t>
            </w:r>
          </w:p>
          <w:p w:rsidRPr="00BD2528" w:rsidR="00C05FB0" w:rsidP="00C05FB0" w:rsidRDefault="00C05FB0" w14:paraId="0EE6BF93" w14:textId="77777777">
            <w:pPr>
              <w:numPr>
                <w:ilvl w:val="0"/>
                <w:numId w:val="57"/>
              </w:numPr>
              <w:rPr>
                <w:rFonts w:ascii="Palatino Linotype" w:hAnsi="Palatino Linotype"/>
                <w:bCs w:val="0"/>
                <w:sz w:val="20"/>
                <w:szCs w:val="20"/>
              </w:rPr>
            </w:pPr>
            <w:r w:rsidRPr="00BD2528">
              <w:rPr>
                <w:rFonts w:ascii="Palatino Linotype" w:hAnsi="Palatino Linotype"/>
                <w:sz w:val="20"/>
                <w:szCs w:val="20"/>
              </w:rPr>
              <w:t>Operations Technology </w:t>
            </w:r>
          </w:p>
          <w:p w:rsidRPr="00BD2528" w:rsidR="00C05FB0" w:rsidP="00C05FB0" w:rsidRDefault="00C05FB0" w14:paraId="45503016" w14:textId="77777777">
            <w:pPr>
              <w:numPr>
                <w:ilvl w:val="0"/>
                <w:numId w:val="58"/>
              </w:numPr>
              <w:rPr>
                <w:rFonts w:ascii="Palatino Linotype" w:hAnsi="Palatino Linotype"/>
                <w:bCs w:val="0"/>
                <w:sz w:val="20"/>
                <w:szCs w:val="20"/>
              </w:rPr>
            </w:pPr>
            <w:r w:rsidRPr="00BD2528">
              <w:rPr>
                <w:rFonts w:ascii="Palatino Linotype" w:hAnsi="Palatino Linotype"/>
                <w:sz w:val="20"/>
                <w:szCs w:val="20"/>
              </w:rPr>
              <w:t>System Design &amp; Materials </w:t>
            </w:r>
          </w:p>
          <w:p w:rsidRPr="00BD2528" w:rsidR="00C05FB0" w:rsidP="00C05FB0" w:rsidRDefault="00C05FB0" w14:paraId="305192FC" w14:textId="77777777">
            <w:pPr>
              <w:numPr>
                <w:ilvl w:val="0"/>
                <w:numId w:val="59"/>
              </w:numPr>
              <w:rPr>
                <w:rFonts w:ascii="Palatino Linotype" w:hAnsi="Palatino Linotype"/>
                <w:bCs w:val="0"/>
                <w:sz w:val="20"/>
                <w:szCs w:val="20"/>
              </w:rPr>
            </w:pPr>
            <w:r w:rsidRPr="00BD2528">
              <w:rPr>
                <w:rFonts w:ascii="Palatino Linotype" w:hAnsi="Palatino Linotype"/>
                <w:sz w:val="20"/>
                <w:szCs w:val="20"/>
              </w:rPr>
              <w:t>System Inspection &amp; Monitoring </w:t>
            </w:r>
          </w:p>
          <w:p w:rsidRPr="00BD2528" w:rsidR="00C05FB0" w:rsidP="00C05FB0" w:rsidRDefault="00C05FB0" w14:paraId="4480A2F7" w14:textId="77777777">
            <w:pPr>
              <w:numPr>
                <w:ilvl w:val="0"/>
                <w:numId w:val="60"/>
              </w:numPr>
              <w:rPr>
                <w:rFonts w:ascii="Palatino Linotype" w:hAnsi="Palatino Linotype"/>
                <w:bCs w:val="0"/>
                <w:sz w:val="20"/>
                <w:szCs w:val="20"/>
              </w:rPr>
            </w:pPr>
            <w:r w:rsidRPr="00BD2528">
              <w:rPr>
                <w:rFonts w:ascii="Palatino Linotype" w:hAnsi="Palatino Linotype"/>
                <w:sz w:val="20"/>
                <w:szCs w:val="20"/>
              </w:rPr>
              <w:t>RNG Infrastructure Optimization </w:t>
            </w:r>
          </w:p>
          <w:p w:rsidRPr="00BD2528" w:rsidR="00C05FB0" w:rsidP="00C05FB0" w:rsidRDefault="00C05FB0" w14:paraId="15F8BA45" w14:textId="77777777">
            <w:pPr>
              <w:numPr>
                <w:ilvl w:val="0"/>
                <w:numId w:val="61"/>
              </w:numPr>
              <w:tabs>
                <w:tab w:val="num" w:pos="720"/>
              </w:tabs>
              <w:rPr>
                <w:rFonts w:ascii="Palatino Linotype" w:hAnsi="Palatino Linotype"/>
                <w:bCs w:val="0"/>
                <w:sz w:val="20"/>
                <w:szCs w:val="20"/>
              </w:rPr>
            </w:pPr>
            <w:r w:rsidRPr="00BD2528">
              <w:rPr>
                <w:rFonts w:ascii="Palatino Linotype" w:hAnsi="Palatino Linotype"/>
                <w:sz w:val="20"/>
                <w:szCs w:val="20"/>
              </w:rPr>
              <w:t>Decarbonization:  </w:t>
            </w:r>
          </w:p>
          <w:p w:rsidRPr="00BD2528" w:rsidR="00C05FB0" w:rsidP="00C05FB0" w:rsidRDefault="00C05FB0" w14:paraId="020EA90F" w14:textId="77777777">
            <w:pPr>
              <w:numPr>
                <w:ilvl w:val="0"/>
                <w:numId w:val="62"/>
              </w:numPr>
              <w:rPr>
                <w:rFonts w:ascii="Palatino Linotype" w:hAnsi="Palatino Linotype"/>
                <w:bCs w:val="0"/>
                <w:sz w:val="20"/>
                <w:szCs w:val="20"/>
              </w:rPr>
            </w:pPr>
            <w:r w:rsidRPr="00BD2528">
              <w:rPr>
                <w:rFonts w:ascii="Palatino Linotype" w:hAnsi="Palatino Linotype"/>
                <w:sz w:val="20"/>
                <w:szCs w:val="20"/>
              </w:rPr>
              <w:t>Low-Carbon Fuels Technologies </w:t>
            </w:r>
          </w:p>
          <w:p w:rsidRPr="00BD2528" w:rsidR="00C05FB0" w:rsidP="00C05FB0" w:rsidRDefault="00C05FB0" w14:paraId="07785C93" w14:textId="77777777">
            <w:pPr>
              <w:numPr>
                <w:ilvl w:val="0"/>
                <w:numId w:val="63"/>
              </w:numPr>
              <w:rPr>
                <w:rFonts w:ascii="Palatino Linotype" w:hAnsi="Palatino Linotype"/>
                <w:bCs w:val="0"/>
                <w:sz w:val="20"/>
                <w:szCs w:val="20"/>
              </w:rPr>
            </w:pPr>
            <w:r w:rsidRPr="00BD2528">
              <w:rPr>
                <w:rFonts w:ascii="Palatino Linotype" w:hAnsi="Palatino Linotype"/>
                <w:sz w:val="20"/>
                <w:szCs w:val="20"/>
              </w:rPr>
              <w:t>Energy Reliability &amp; Resilience </w:t>
            </w:r>
          </w:p>
          <w:p w:rsidRPr="00BD2528" w:rsidR="00C05FB0" w:rsidP="00C05FB0" w:rsidRDefault="00C05FB0" w14:paraId="2F8428C1" w14:textId="77777777">
            <w:pPr>
              <w:numPr>
                <w:ilvl w:val="0"/>
                <w:numId w:val="64"/>
              </w:numPr>
              <w:rPr>
                <w:rFonts w:ascii="Palatino Linotype" w:hAnsi="Palatino Linotype"/>
                <w:bCs w:val="0"/>
                <w:sz w:val="20"/>
                <w:szCs w:val="20"/>
              </w:rPr>
            </w:pPr>
            <w:r w:rsidRPr="00BD2528">
              <w:rPr>
                <w:rFonts w:ascii="Palatino Linotype" w:hAnsi="Palatino Linotype"/>
                <w:sz w:val="20"/>
                <w:szCs w:val="20"/>
              </w:rPr>
              <w:t>Building &amp; Facility Systems </w:t>
            </w:r>
          </w:p>
        </w:tc>
        <w:tc>
          <w:tcPr>
            <w:tcW w:w="3600" w:type="dxa"/>
          </w:tcPr>
          <w:p w:rsidRPr="00BD2528" w:rsidR="00C05FB0" w:rsidRDefault="00C05FB0" w14:paraId="7C1C4B2B" w14:textId="77777777">
            <w:pPr>
              <w:rPr>
                <w:rFonts w:ascii="Palatino Linotype" w:hAnsi="Palatino Linotype"/>
                <w:bCs w:val="0"/>
                <w:sz w:val="20"/>
                <w:szCs w:val="20"/>
              </w:rPr>
            </w:pPr>
            <w:r w:rsidRPr="00BD2528">
              <w:rPr>
                <w:rFonts w:ascii="Palatino Linotype" w:hAnsi="Palatino Linotype"/>
                <w:color w:val="000000" w:themeColor="text1"/>
                <w:sz w:val="20"/>
                <w:szCs w:val="20"/>
              </w:rPr>
              <w:t>SoCalGas</w:t>
            </w:r>
            <w:r w:rsidRPr="00BD2528">
              <w:rPr>
                <w:rFonts w:ascii="Palatino Linotype" w:hAnsi="Palatino Linotype"/>
                <w:sz w:val="20"/>
                <w:szCs w:val="20"/>
              </w:rPr>
              <w:t> details budgets broken down by research sub-program area. </w:t>
            </w:r>
            <w:r w:rsidRPr="00BD2528">
              <w:rPr>
                <w:rFonts w:ascii="Palatino Linotype" w:hAnsi="Palatino Linotype"/>
                <w:b/>
                <w:color w:val="000000" w:themeColor="text1"/>
                <w:sz w:val="20"/>
                <w:szCs w:val="20"/>
              </w:rPr>
              <w:t>SoCalGas is compliant with this requirement.</w:t>
            </w:r>
          </w:p>
        </w:tc>
      </w:tr>
      <w:tr w:rsidRPr="00BD2528" w:rsidR="00C05FB0" w14:paraId="7F4D1F03" w14:textId="77777777">
        <w:trPr>
          <w:trHeight w:val="638"/>
          <w:tblHeader/>
        </w:trPr>
        <w:tc>
          <w:tcPr>
            <w:tcW w:w="3744" w:type="dxa"/>
          </w:tcPr>
          <w:p w:rsidRPr="00BD2528" w:rsidR="00C05FB0" w:rsidRDefault="00C05FB0" w14:paraId="1CB12649" w14:textId="77777777">
            <w:pPr>
              <w:rPr>
                <w:rFonts w:ascii="Palatino Linotype" w:hAnsi="Palatino Linotype"/>
                <w:sz w:val="20"/>
                <w:szCs w:val="20"/>
              </w:rPr>
            </w:pPr>
            <w:r w:rsidRPr="00BD2528">
              <w:rPr>
                <w:rFonts w:ascii="Palatino Linotype" w:hAnsi="Palatino Linotype"/>
                <w:b/>
                <w:sz w:val="20"/>
                <w:szCs w:val="20"/>
              </w:rPr>
              <w:t xml:space="preserve">[5] </w:t>
            </w:r>
            <w:hyperlink r:id="rId96">
              <w:r w:rsidRPr="00BD2528">
                <w:rPr>
                  <w:rStyle w:val="Hyperlink"/>
                  <w:rFonts w:ascii="Palatino Linotype" w:hAnsi="Palatino Linotype"/>
                  <w:sz w:val="20"/>
                  <w:szCs w:val="20"/>
                </w:rPr>
                <w:t>D.24-12-074</w:t>
              </w:r>
            </w:hyperlink>
            <w:r w:rsidRPr="00BD2528">
              <w:rPr>
                <w:rFonts w:ascii="Palatino Linotype" w:hAnsi="Palatino Linotype"/>
              </w:rPr>
              <w:t xml:space="preserve"> </w:t>
            </w:r>
            <w:r w:rsidRPr="00BD2528">
              <w:rPr>
                <w:rFonts w:ascii="Palatino Linotype" w:hAnsi="Palatino Linotype"/>
                <w:sz w:val="20"/>
                <w:szCs w:val="20"/>
              </w:rPr>
              <w:t>authorized an $18.389M budget for SoCalGas’ 2025 Gas RD&amp;D Plan.</w:t>
            </w:r>
            <w:r w:rsidRPr="00BD2528">
              <w:rPr>
                <w:rStyle w:val="FootnoteReference"/>
                <w:rFonts w:ascii="Palatino Linotype" w:hAnsi="Palatino Linotype"/>
                <w:sz w:val="20"/>
                <w:szCs w:val="20"/>
              </w:rPr>
              <w:footnoteReference w:id="288"/>
            </w:r>
          </w:p>
        </w:tc>
        <w:tc>
          <w:tcPr>
            <w:tcW w:w="6912" w:type="dxa"/>
          </w:tcPr>
          <w:p w:rsidRPr="00BD2528" w:rsidR="00C05FB0" w:rsidRDefault="00C05FB0" w14:paraId="53167D02" w14:textId="77777777">
            <w:pPr>
              <w:rPr>
                <w:rFonts w:ascii="Palatino Linotype" w:hAnsi="Palatino Linotype"/>
                <w:bCs w:val="0"/>
                <w:sz w:val="20"/>
                <w:szCs w:val="20"/>
              </w:rPr>
            </w:pPr>
            <w:r w:rsidRPr="00BD2528">
              <w:rPr>
                <w:rFonts w:ascii="Palatino Linotype" w:hAnsi="Palatino Linotype"/>
                <w:color w:val="000000" w:themeColor="text1"/>
                <w:sz w:val="20"/>
                <w:szCs w:val="20"/>
              </w:rPr>
              <w:t>SoCalGas</w:t>
            </w:r>
            <w:r w:rsidRPr="00BD2528">
              <w:rPr>
                <w:rFonts w:ascii="Palatino Linotype" w:hAnsi="Palatino Linotype"/>
                <w:sz w:val="20"/>
                <w:szCs w:val="20"/>
              </w:rPr>
              <w:t xml:space="preserve"> requests an annual budget of $18.389M for its 2025 Gas RD&amp;D Plan.</w:t>
            </w:r>
            <w:r w:rsidRPr="00BD2528">
              <w:rPr>
                <w:rStyle w:val="FootnoteReference"/>
                <w:rFonts w:ascii="Palatino Linotype" w:hAnsi="Palatino Linotype"/>
                <w:sz w:val="20"/>
                <w:szCs w:val="20"/>
              </w:rPr>
              <w:footnoteReference w:id="289"/>
            </w:r>
          </w:p>
        </w:tc>
        <w:tc>
          <w:tcPr>
            <w:tcW w:w="3600" w:type="dxa"/>
          </w:tcPr>
          <w:p w:rsidRPr="00BD2528" w:rsidR="00C05FB0" w:rsidRDefault="00C05FB0" w14:paraId="20C6A24D" w14:textId="77777777">
            <w:pPr>
              <w:rPr>
                <w:rFonts w:ascii="Palatino Linotype" w:hAnsi="Palatino Linotype"/>
                <w:bCs w:val="0"/>
                <w:sz w:val="20"/>
                <w:szCs w:val="20"/>
              </w:rPr>
            </w:pPr>
            <w:r w:rsidRPr="00BD2528">
              <w:rPr>
                <w:rFonts w:ascii="Palatino Linotype" w:hAnsi="Palatino Linotype"/>
                <w:color w:val="000000" w:themeColor="text1"/>
                <w:sz w:val="20"/>
                <w:szCs w:val="20"/>
              </w:rPr>
              <w:t>SoCalGas</w:t>
            </w:r>
            <w:r w:rsidRPr="00BD2528">
              <w:rPr>
                <w:rFonts w:ascii="Palatino Linotype" w:hAnsi="Palatino Linotype"/>
                <w:sz w:val="20"/>
                <w:szCs w:val="20"/>
              </w:rPr>
              <w:t>’ request for $18.389M for its 2025 Gas RD&amp;D Plan is consistent with the authorized budget.</w:t>
            </w:r>
            <w:r w:rsidRPr="00BD2528">
              <w:rPr>
                <w:rFonts w:ascii="Palatino Linotype" w:hAnsi="Palatino Linotype"/>
                <w:b/>
                <w:sz w:val="20"/>
                <w:szCs w:val="20"/>
              </w:rPr>
              <w:t xml:space="preserve"> </w:t>
            </w:r>
            <w:r w:rsidRPr="00BD2528">
              <w:rPr>
                <w:rFonts w:ascii="Palatino Linotype" w:hAnsi="Palatino Linotype"/>
                <w:b/>
                <w:color w:val="000000" w:themeColor="text1"/>
                <w:sz w:val="20"/>
                <w:szCs w:val="20"/>
              </w:rPr>
              <w:t>SoCalGas is compliant with this requirement.</w:t>
            </w:r>
          </w:p>
        </w:tc>
      </w:tr>
      <w:tr w:rsidRPr="00BD2528" w:rsidR="00C05FB0" w14:paraId="71374C3F" w14:textId="77777777">
        <w:trPr>
          <w:trHeight w:val="638"/>
          <w:tblHeader/>
        </w:trPr>
        <w:tc>
          <w:tcPr>
            <w:tcW w:w="3744" w:type="dxa"/>
          </w:tcPr>
          <w:p w:rsidRPr="00BD2528" w:rsidR="00C05FB0" w:rsidRDefault="00C05FB0" w14:paraId="4CABBB63" w14:textId="77777777">
            <w:pPr>
              <w:rPr>
                <w:rFonts w:ascii="Palatino Linotype" w:hAnsi="Palatino Linotype"/>
                <w:sz w:val="20"/>
                <w:szCs w:val="20"/>
              </w:rPr>
            </w:pPr>
            <w:r w:rsidRPr="00BD2528">
              <w:rPr>
                <w:rFonts w:ascii="Palatino Linotype" w:hAnsi="Palatino Linotype"/>
                <w:b/>
                <w:sz w:val="20"/>
                <w:szCs w:val="20"/>
              </w:rPr>
              <w:lastRenderedPageBreak/>
              <w:t>[6]</w:t>
            </w:r>
            <w:r w:rsidRPr="00BD2528">
              <w:rPr>
                <w:rFonts w:ascii="Palatino Linotype" w:hAnsi="Palatino Linotype"/>
                <w:sz w:val="20"/>
                <w:szCs w:val="20"/>
              </w:rPr>
              <w:t xml:space="preserve"> California Public Utilities Code Section 740.1 at:</w:t>
            </w:r>
          </w:p>
          <w:p w:rsidRPr="00BD2528" w:rsidR="00C05FB0" w:rsidRDefault="00C05FB0" w14:paraId="7340A432" w14:textId="77777777">
            <w:pPr>
              <w:rPr>
                <w:rFonts w:ascii="Palatino Linotype" w:hAnsi="Palatino Linotype" w:eastAsia="Palatino Linotype" w:cs="Times New Roman"/>
                <w:bCs w:val="0"/>
                <w:i/>
                <w:iCs/>
                <w:color w:val="000000" w:themeColor="text1"/>
                <w:sz w:val="20"/>
                <w:szCs w:val="20"/>
              </w:rPr>
            </w:pPr>
            <w:r w:rsidRPr="00BD2528">
              <w:rPr>
                <w:rFonts w:ascii="Palatino Linotype" w:hAnsi="Palatino Linotype" w:eastAsia="Palatino Linotype" w:cs="Times New Roman"/>
                <w:color w:val="000000" w:themeColor="text1"/>
                <w:sz w:val="20"/>
                <w:szCs w:val="20"/>
              </w:rPr>
              <w:t>(a)</w:t>
            </w:r>
            <w:r w:rsidRPr="00BD2528">
              <w:rPr>
                <w:rFonts w:ascii="Palatino Linotype" w:hAnsi="Palatino Linotype" w:eastAsia="Palatino Linotype" w:cs="Times New Roman"/>
                <w:i/>
                <w:iCs/>
                <w:color w:val="000000" w:themeColor="text1"/>
                <w:sz w:val="20"/>
                <w:szCs w:val="20"/>
              </w:rPr>
              <w:t xml:space="preserve"> Projects should offer a reasonable probability of providing benefits to ratepayers.</w:t>
            </w:r>
          </w:p>
          <w:p w:rsidRPr="00BD2528" w:rsidR="00C05FB0" w:rsidRDefault="00C05FB0" w14:paraId="11E80D33" w14:textId="77777777">
            <w:pPr>
              <w:rPr>
                <w:rFonts w:ascii="Palatino Linotype" w:hAnsi="Palatino Linotype" w:eastAsia="Palatino Linotype" w:cs="Times New Roman"/>
                <w:bCs w:val="0"/>
                <w:i/>
                <w:iCs/>
                <w:color w:val="000000" w:themeColor="text1"/>
                <w:sz w:val="20"/>
                <w:szCs w:val="20"/>
              </w:rPr>
            </w:pPr>
            <w:r w:rsidRPr="00BD2528">
              <w:rPr>
                <w:rFonts w:ascii="Palatino Linotype" w:hAnsi="Palatino Linotype" w:eastAsia="Palatino Linotype" w:cs="Times New Roman"/>
                <w:color w:val="000000" w:themeColor="text1"/>
                <w:sz w:val="20"/>
                <w:szCs w:val="20"/>
              </w:rPr>
              <w:t>(b)</w:t>
            </w:r>
            <w:r w:rsidRPr="00BD2528">
              <w:rPr>
                <w:rFonts w:ascii="Palatino Linotype" w:hAnsi="Palatino Linotype" w:eastAsia="Palatino Linotype" w:cs="Times New Roman"/>
                <w:i/>
                <w:iCs/>
                <w:color w:val="000000" w:themeColor="text1"/>
                <w:sz w:val="20"/>
                <w:szCs w:val="20"/>
              </w:rPr>
              <w:t xml:space="preserve"> Expenditures on projects which have a low probability for success should be minimized.</w:t>
            </w:r>
          </w:p>
          <w:p w:rsidRPr="00BD2528" w:rsidR="00C05FB0" w:rsidRDefault="00C05FB0" w14:paraId="0E4F1AE6" w14:textId="77777777">
            <w:pPr>
              <w:rPr>
                <w:rFonts w:ascii="Palatino Linotype" w:hAnsi="Palatino Linotype" w:eastAsia="Palatino Linotype"/>
                <w:bCs w:val="0"/>
                <w:i/>
                <w:iCs/>
                <w:color w:val="000000" w:themeColor="text1"/>
              </w:rPr>
            </w:pPr>
          </w:p>
          <w:p w:rsidRPr="00BD2528" w:rsidR="00C05FB0" w:rsidRDefault="00C05FB0" w14:paraId="0BC793F8" w14:textId="77777777">
            <w:r w:rsidRPr="00BD2528">
              <w:rPr>
                <w:rStyle w:val="normaltextrun"/>
                <w:rFonts w:ascii="Palatino Linotype" w:hAnsi="Palatino Linotype"/>
                <w:color w:val="000000" w:themeColor="text1"/>
                <w:sz w:val="20"/>
                <w:szCs w:val="20"/>
                <w:shd w:val="clear" w:color="auto" w:fill="FFFFFF"/>
              </w:rPr>
              <w:t>See also: [19].</w:t>
            </w:r>
            <w:r w:rsidRPr="00BD2528">
              <w:rPr>
                <w:rStyle w:val="normaltextrun"/>
                <w:rFonts w:ascii="Times New Roman" w:hAnsi="Times New Roman" w:cs="Times New Roman"/>
                <w:color w:val="000000" w:themeColor="text1"/>
                <w:sz w:val="20"/>
                <w:szCs w:val="20"/>
                <w:shd w:val="clear" w:color="auto" w:fill="FFFFFF"/>
              </w:rPr>
              <w:t> </w:t>
            </w:r>
          </w:p>
        </w:tc>
        <w:tc>
          <w:tcPr>
            <w:tcW w:w="6912" w:type="dxa"/>
          </w:tcPr>
          <w:p w:rsidRPr="00BD2528" w:rsidR="00C05FB0" w:rsidRDefault="00C05FB0" w14:paraId="02843D3B"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lists anticipated ratepayer benefits, including affordability, improved air quality, reduced GHG emissions, reliability, and improved safety, and provides justification for the use of ratepayer funds for each Initiative.</w:t>
            </w:r>
            <w:r w:rsidRPr="00BD2528">
              <w:rPr>
                <w:rStyle w:val="FootnoteReference"/>
                <w:rFonts w:ascii="Palatino Linotype" w:hAnsi="Palatino Linotype"/>
                <w:color w:val="000000" w:themeColor="text1"/>
                <w:sz w:val="20"/>
                <w:szCs w:val="20"/>
              </w:rPr>
              <w:footnoteReference w:id="290"/>
            </w:r>
          </w:p>
          <w:p w:rsidRPr="00BD2528" w:rsidR="00C05FB0" w:rsidRDefault="00C05FB0" w14:paraId="262DB363" w14:textId="5CE40192">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 xml:space="preserve">SoCalGas requests funding for carbon capture activities under the “Integrating carbon management </w:t>
            </w:r>
            <w:r w:rsidR="00F05482">
              <w:rPr>
                <w:rFonts w:ascii="Palatino Linotype" w:hAnsi="Palatino Linotype"/>
                <w:color w:val="000000" w:themeColor="text1"/>
                <w:sz w:val="20"/>
                <w:szCs w:val="20"/>
              </w:rPr>
              <w:t>solutions</w:t>
            </w:r>
            <w:r w:rsidRPr="00BD2528">
              <w:rPr>
                <w:rFonts w:ascii="Palatino Linotype" w:hAnsi="Palatino Linotype"/>
                <w:color w:val="000000" w:themeColor="text1"/>
                <w:sz w:val="20"/>
                <w:szCs w:val="20"/>
              </w:rPr>
              <w:t xml:space="preserve">” Research Topic for its </w:t>
            </w:r>
            <w:r w:rsidRPr="00BD2528">
              <w:rPr>
                <w:rFonts w:ascii="Palatino Linotype" w:hAnsi="Palatino Linotype"/>
                <w:color w:val="000000" w:themeColor="text1"/>
                <w:sz w:val="20"/>
                <w:szCs w:val="20"/>
                <w:u w:val="single"/>
              </w:rPr>
              <w:t>Energy Reliability &amp; Resilience</w:t>
            </w:r>
            <w:r w:rsidRPr="00BD2528">
              <w:rPr>
                <w:rFonts w:ascii="Palatino Linotype" w:hAnsi="Palatino Linotype"/>
                <w:color w:val="000000" w:themeColor="text1"/>
                <w:sz w:val="20"/>
                <w:szCs w:val="20"/>
              </w:rPr>
              <w:t xml:space="preserve"> Initiative.</w:t>
            </w:r>
            <w:r w:rsidRPr="00BD2528">
              <w:rPr>
                <w:rStyle w:val="FootnoteReference"/>
                <w:rFonts w:ascii="Palatino Linotype" w:hAnsi="Palatino Linotype"/>
                <w:color w:val="000000" w:themeColor="text1"/>
                <w:sz w:val="20"/>
                <w:szCs w:val="20"/>
              </w:rPr>
              <w:footnoteReference w:id="291"/>
            </w:r>
            <w:r w:rsidRPr="00BD2528">
              <w:rPr>
                <w:rFonts w:ascii="Palatino Linotype" w:hAnsi="Palatino Linotype"/>
                <w:color w:val="000000" w:themeColor="text1"/>
                <w:sz w:val="20"/>
                <w:szCs w:val="20"/>
              </w:rPr>
              <w:t xml:space="preserve"> SoCalGas requests both new and further funding for hydrogen-related RD&amp;D projects under the following Initiatives:</w:t>
            </w:r>
            <w:r w:rsidRPr="00BD2528">
              <w:rPr>
                <w:rStyle w:val="FootnoteReference"/>
                <w:rFonts w:ascii="Palatino Linotype" w:hAnsi="Palatino Linotype"/>
                <w:color w:val="000000" w:themeColor="text1"/>
                <w:sz w:val="20"/>
                <w:szCs w:val="20"/>
              </w:rPr>
              <w:footnoteReference w:id="292"/>
            </w:r>
            <w:r w:rsidRPr="00BD2528">
              <w:rPr>
                <w:rFonts w:ascii="Palatino Linotype" w:hAnsi="Palatino Linotype"/>
                <w:color w:val="000000" w:themeColor="text1"/>
                <w:sz w:val="20"/>
                <w:szCs w:val="20"/>
              </w:rPr>
              <w:t xml:space="preserve"> </w:t>
            </w:r>
          </w:p>
          <w:p w:rsidRPr="00BD2528" w:rsidR="00C05FB0" w:rsidP="00C05FB0" w:rsidRDefault="00C05FB0" w14:paraId="4247A439" w14:textId="77777777">
            <w:pPr>
              <w:pStyle w:val="ListParagraph"/>
              <w:numPr>
                <w:ilvl w:val="0"/>
                <w:numId w:val="49"/>
              </w:numPr>
              <w:rPr>
                <w:rFonts w:ascii="Palatino Linotype" w:hAnsi="Palatino Linotype"/>
                <w:bCs w:val="0"/>
                <w:color w:val="000000" w:themeColor="text1"/>
                <w:sz w:val="20"/>
                <w:szCs w:val="20"/>
                <w:u w:val="single"/>
              </w:rPr>
            </w:pPr>
            <w:r w:rsidRPr="00BD2528">
              <w:rPr>
                <w:rFonts w:ascii="Palatino Linotype" w:hAnsi="Palatino Linotype"/>
                <w:color w:val="000000" w:themeColor="text1"/>
                <w:sz w:val="20"/>
                <w:szCs w:val="20"/>
                <w:u w:val="single"/>
              </w:rPr>
              <w:t>Environmental &amp; Safety.</w:t>
            </w:r>
          </w:p>
          <w:p w:rsidRPr="00BD2528" w:rsidR="00C05FB0" w:rsidP="00C05FB0" w:rsidRDefault="00C05FB0" w14:paraId="51740595" w14:textId="77777777">
            <w:pPr>
              <w:pStyle w:val="ListParagraph"/>
              <w:numPr>
                <w:ilvl w:val="0"/>
                <w:numId w:val="49"/>
              </w:numPr>
              <w:rPr>
                <w:rFonts w:ascii="Palatino Linotype" w:hAnsi="Palatino Linotype"/>
                <w:bCs w:val="0"/>
                <w:color w:val="000000" w:themeColor="text1"/>
                <w:sz w:val="20"/>
                <w:szCs w:val="20"/>
                <w:u w:val="single"/>
              </w:rPr>
            </w:pPr>
            <w:r w:rsidRPr="00BD2528">
              <w:rPr>
                <w:rFonts w:ascii="Palatino Linotype" w:hAnsi="Palatino Linotype"/>
                <w:color w:val="000000" w:themeColor="text1"/>
                <w:sz w:val="20"/>
                <w:szCs w:val="20"/>
                <w:u w:val="single"/>
              </w:rPr>
              <w:t xml:space="preserve">Operations Technology. </w:t>
            </w:r>
          </w:p>
          <w:p w:rsidRPr="00BD2528" w:rsidR="00C05FB0" w:rsidP="00C05FB0" w:rsidRDefault="00C05FB0" w14:paraId="6B070E07" w14:textId="77777777">
            <w:pPr>
              <w:pStyle w:val="ListParagraph"/>
              <w:numPr>
                <w:ilvl w:val="0"/>
                <w:numId w:val="49"/>
              </w:numPr>
              <w:rPr>
                <w:rFonts w:ascii="Palatino Linotype" w:hAnsi="Palatino Linotype"/>
                <w:bCs w:val="0"/>
                <w:color w:val="000000" w:themeColor="text1"/>
                <w:sz w:val="20"/>
                <w:szCs w:val="20"/>
                <w:u w:val="single"/>
              </w:rPr>
            </w:pPr>
            <w:r w:rsidRPr="00BD2528">
              <w:rPr>
                <w:rFonts w:ascii="Palatino Linotype" w:hAnsi="Palatino Linotype"/>
                <w:color w:val="000000" w:themeColor="text1"/>
                <w:sz w:val="20"/>
                <w:szCs w:val="20"/>
                <w:u w:val="single"/>
              </w:rPr>
              <w:t xml:space="preserve">Gas &amp; Energy Storage. </w:t>
            </w:r>
          </w:p>
          <w:p w:rsidRPr="00BD2528" w:rsidR="00C05FB0" w:rsidP="00C05FB0" w:rsidRDefault="00C05FB0" w14:paraId="08B207C6" w14:textId="77777777">
            <w:pPr>
              <w:pStyle w:val="ListParagraph"/>
              <w:numPr>
                <w:ilvl w:val="0"/>
                <w:numId w:val="49"/>
              </w:numPr>
              <w:rPr>
                <w:rFonts w:ascii="Palatino Linotype" w:hAnsi="Palatino Linotype"/>
                <w:bCs w:val="0"/>
                <w:color w:val="000000" w:themeColor="text1"/>
                <w:sz w:val="20"/>
                <w:szCs w:val="20"/>
                <w:u w:val="single"/>
              </w:rPr>
            </w:pPr>
            <w:r w:rsidRPr="00BD2528">
              <w:rPr>
                <w:rFonts w:ascii="Palatino Linotype" w:hAnsi="Palatino Linotype"/>
                <w:color w:val="000000" w:themeColor="text1"/>
                <w:sz w:val="20"/>
                <w:szCs w:val="20"/>
                <w:u w:val="single"/>
              </w:rPr>
              <w:t xml:space="preserve">Low Carbon Fuel Technologies. </w:t>
            </w:r>
          </w:p>
          <w:p w:rsidRPr="00BD2528" w:rsidR="00C05FB0" w:rsidP="00C05FB0" w:rsidRDefault="00C05FB0" w14:paraId="30E0F9B1" w14:textId="77777777">
            <w:pPr>
              <w:pStyle w:val="ListParagraph"/>
              <w:numPr>
                <w:ilvl w:val="0"/>
                <w:numId w:val="49"/>
              </w:numPr>
              <w:rPr>
                <w:rFonts w:ascii="Palatino Linotype" w:hAnsi="Palatino Linotype"/>
                <w:bCs w:val="0"/>
                <w:color w:val="000000" w:themeColor="text1"/>
                <w:sz w:val="20"/>
                <w:szCs w:val="20"/>
                <w:u w:val="single"/>
              </w:rPr>
            </w:pPr>
            <w:r w:rsidRPr="00BD2528">
              <w:rPr>
                <w:rFonts w:ascii="Palatino Linotype" w:hAnsi="Palatino Linotype"/>
                <w:color w:val="000000" w:themeColor="text1"/>
                <w:sz w:val="20"/>
                <w:szCs w:val="20"/>
                <w:u w:val="single"/>
              </w:rPr>
              <w:t xml:space="preserve">Low Carbon Fuel Integration. </w:t>
            </w:r>
          </w:p>
          <w:p w:rsidRPr="00BD2528" w:rsidR="00C05FB0" w:rsidP="00C05FB0" w:rsidRDefault="00C05FB0" w14:paraId="41D7CF12" w14:textId="77777777">
            <w:pPr>
              <w:pStyle w:val="ListParagraph"/>
              <w:numPr>
                <w:ilvl w:val="0"/>
                <w:numId w:val="49"/>
              </w:numPr>
              <w:rPr>
                <w:rFonts w:ascii="Palatino Linotype" w:hAnsi="Palatino Linotype"/>
                <w:bCs w:val="0"/>
                <w:color w:val="000000" w:themeColor="text1"/>
                <w:sz w:val="20"/>
                <w:szCs w:val="20"/>
                <w:u w:val="single"/>
              </w:rPr>
            </w:pPr>
            <w:r w:rsidRPr="00BD2528">
              <w:rPr>
                <w:rFonts w:ascii="Palatino Linotype" w:hAnsi="Palatino Linotype"/>
                <w:color w:val="000000" w:themeColor="text1"/>
                <w:sz w:val="20"/>
                <w:szCs w:val="20"/>
                <w:u w:val="single"/>
              </w:rPr>
              <w:t>Energy Reliability &amp; Resilience.</w:t>
            </w:r>
          </w:p>
          <w:p w:rsidRPr="00BD2528" w:rsidR="00C05FB0" w:rsidRDefault="00C05FB0" w14:paraId="0F2FC23B" w14:textId="77777777">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states that:  </w:t>
            </w:r>
          </w:p>
          <w:p w:rsidRPr="00BD2528" w:rsidR="00C05FB0" w:rsidP="00C05FB0" w:rsidRDefault="00C05FB0" w14:paraId="363AF8FF" w14:textId="77777777">
            <w:pPr>
              <w:numPr>
                <w:ilvl w:val="0"/>
                <w:numId w:val="69"/>
              </w:numPr>
              <w:tabs>
                <w:tab w:val="num" w:pos="720"/>
              </w:tabs>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It has “managed its project portfolio consistent with prior CPUC rulings,</w:t>
            </w:r>
            <w:r w:rsidRPr="00BD2528">
              <w:rPr>
                <w:rStyle w:val="FootnoteReference"/>
                <w:rFonts w:ascii="Palatino Linotype" w:hAnsi="Palatino Linotype"/>
                <w:color w:val="000000" w:themeColor="text1"/>
                <w:sz w:val="20"/>
                <w:szCs w:val="20"/>
              </w:rPr>
              <w:footnoteReference w:id="293"/>
            </w:r>
            <w:r w:rsidRPr="00BD2528">
              <w:rPr>
                <w:rFonts w:ascii="Palatino Linotype" w:hAnsi="Palatino Linotype"/>
                <w:color w:val="000000" w:themeColor="text1"/>
                <w:sz w:val="20"/>
                <w:szCs w:val="20"/>
              </w:rPr>
              <w:t xml:space="preserve"> which concluded that it is reasonable for utilities to continue incurring costs on multi-year RD&amp;D projects that are part of programs included in previously approved Research Plans, until a new RD&amp;D Plan resolution is issued. Therefore, in the absence of an approved Research Plan for over two and a half years, there was no prohibition on incurring hydrogen-related costs in 2024 and </w:t>
            </w:r>
            <w:proofErr w:type="gramStart"/>
            <w:r w:rsidRPr="00BD2528">
              <w:rPr>
                <w:rFonts w:ascii="Palatino Linotype" w:hAnsi="Palatino Linotype"/>
                <w:color w:val="000000" w:themeColor="text1"/>
                <w:sz w:val="20"/>
                <w:szCs w:val="20"/>
              </w:rPr>
              <w:t>2025.”</w:t>
            </w:r>
            <w:proofErr w:type="gramEnd"/>
          </w:p>
          <w:p w:rsidRPr="00BD2528" w:rsidR="00C05FB0" w:rsidP="00C05FB0" w:rsidRDefault="00C05FB0" w14:paraId="0F6F24E2" w14:textId="77777777">
            <w:pPr>
              <w:numPr>
                <w:ilvl w:val="0"/>
                <w:numId w:val="69"/>
              </w:numPr>
              <w:tabs>
                <w:tab w:val="num" w:pos="720"/>
              </w:tabs>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 xml:space="preserve">It “requests approval to see through to completion all hydrogen-related projects currently in-progress that are part of the programs included in previously approved Research Plans by the CPUC (e.g., Resolutions G-3601, G-3586, and G-3573). Ratepayer funds previously authorized to be used on these projects would be for naught if the projects were to be abandoned prior to completion. Furthermore, completing these projects is a reasonable and prudent use of funds to help achieve anticipated benefits. There are currently 25 hydrogen related projects in-progress, with approximately $3 million in remaining future payments expected prior to project completion. These projects span </w:t>
            </w:r>
            <w:r w:rsidRPr="00BD2528">
              <w:rPr>
                <w:rFonts w:ascii="Palatino Linotype" w:hAnsi="Palatino Linotype"/>
                <w:color w:val="000000" w:themeColor="text1"/>
                <w:sz w:val="20"/>
                <w:szCs w:val="20"/>
              </w:rPr>
              <w:lastRenderedPageBreak/>
              <w:t>several initiatives, including Energy Reliability and Resilience, Low Carbon Fuel Technologies, Low Carbon Fuel Integration, Operations Technology, and Environmental &amp; Safety.”</w:t>
            </w:r>
            <w:r w:rsidRPr="00BD2528">
              <w:rPr>
                <w:rStyle w:val="FootnoteReference"/>
                <w:rFonts w:ascii="Palatino Linotype" w:hAnsi="Palatino Linotype"/>
                <w:color w:val="000000" w:themeColor="text1"/>
                <w:sz w:val="20"/>
                <w:szCs w:val="20"/>
              </w:rPr>
              <w:footnoteReference w:id="294"/>
            </w:r>
          </w:p>
        </w:tc>
        <w:tc>
          <w:tcPr>
            <w:tcW w:w="3600" w:type="dxa"/>
          </w:tcPr>
          <w:p w:rsidRPr="00BD2528" w:rsidR="00C05FB0" w:rsidRDefault="00C05FB0" w14:paraId="35E6A833"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lastRenderedPageBreak/>
              <w:t>SoCalGas demonstrates that many projects offer a reasonable probability of providing benefits to ratepayers. </w:t>
            </w:r>
            <w:r w:rsidRPr="00BD2528">
              <w:rPr>
                <w:rFonts w:ascii="Palatino Linotype" w:hAnsi="Palatino Linotype"/>
                <w:b/>
                <w:color w:val="000000" w:themeColor="text1"/>
                <w:sz w:val="20"/>
                <w:szCs w:val="20"/>
              </w:rPr>
              <w:t xml:space="preserve">SoCalGas is compliant with this requirement </w:t>
            </w:r>
            <w:r w:rsidRPr="00BD2528">
              <w:rPr>
                <w:rFonts w:ascii="Palatino Linotype" w:hAnsi="Palatino Linotype"/>
                <w:color w:val="000000" w:themeColor="text1"/>
                <w:sz w:val="20"/>
                <w:szCs w:val="20"/>
              </w:rPr>
              <w:t>for some Initiatives: System Design &amp; Materials; System Inspection &amp; Monitoring; RNG Infrastructure Optimization; and Building &amp; Facility Systems.</w:t>
            </w:r>
          </w:p>
          <w:p w:rsidRPr="00BD2528" w:rsidR="00C05FB0" w:rsidRDefault="004C3830" w14:paraId="6CCF8BE9" w14:textId="4CAA946C">
            <w:pPr>
              <w:spacing w:before="240"/>
              <w:rPr>
                <w:rFonts w:ascii="Palatino Linotype" w:hAnsi="Palatino Linotype"/>
                <w:bCs w:val="0"/>
                <w:color w:val="000000" w:themeColor="text1"/>
                <w:sz w:val="20"/>
                <w:szCs w:val="20"/>
              </w:rPr>
            </w:pPr>
            <w:r w:rsidRPr="004C3830">
              <w:rPr>
                <w:rFonts w:ascii="Palatino Linotype" w:hAnsi="Palatino Linotype"/>
                <w:color w:val="000000" w:themeColor="text1"/>
                <w:sz w:val="20"/>
                <w:szCs w:val="20"/>
              </w:rPr>
              <w:t xml:space="preserve">However, as described in this Resolution, SoCalGas’ requests for hydrogen-related RD&amp;D projects </w:t>
            </w:r>
            <w:proofErr w:type="gramStart"/>
            <w:r w:rsidRPr="004C3830">
              <w:rPr>
                <w:rFonts w:ascii="Palatino Linotype" w:hAnsi="Palatino Linotype"/>
                <w:color w:val="000000" w:themeColor="text1"/>
                <w:sz w:val="20"/>
                <w:szCs w:val="20"/>
              </w:rPr>
              <w:t>are</w:t>
            </w:r>
            <w:proofErr w:type="gramEnd"/>
            <w:r w:rsidRPr="004C3830">
              <w:rPr>
                <w:rFonts w:ascii="Palatino Linotype" w:hAnsi="Palatino Linotype"/>
                <w:color w:val="000000" w:themeColor="text1"/>
                <w:sz w:val="20"/>
                <w:szCs w:val="20"/>
              </w:rPr>
              <w:t xml:space="preserve"> not complaint </w:t>
            </w:r>
            <w:proofErr w:type="gramStart"/>
            <w:r w:rsidRPr="004C3830">
              <w:rPr>
                <w:rFonts w:ascii="Palatino Linotype" w:hAnsi="Palatino Linotype"/>
                <w:color w:val="000000" w:themeColor="text1"/>
                <w:sz w:val="20"/>
                <w:szCs w:val="20"/>
              </w:rPr>
              <w:t>with</w:t>
            </w:r>
            <w:proofErr w:type="gramEnd"/>
            <w:r w:rsidRPr="004C3830">
              <w:rPr>
                <w:rFonts w:ascii="Palatino Linotype" w:hAnsi="Palatino Linotype"/>
                <w:color w:val="000000" w:themeColor="text1"/>
                <w:sz w:val="20"/>
                <w:szCs w:val="20"/>
              </w:rPr>
              <w:t xml:space="preserve"> this requirement to demonstrate clear ratepayer benefit.</w:t>
            </w:r>
            <w:r w:rsidRPr="004C3830">
              <w:rPr>
                <w:rStyle w:val="FootnoteReference"/>
                <w:rFonts w:ascii="Palatino Linotype" w:hAnsi="Palatino Linotype"/>
                <w:color w:val="000000" w:themeColor="text1"/>
                <w:sz w:val="20"/>
                <w:szCs w:val="20"/>
              </w:rPr>
              <w:footnoteReference w:id="295"/>
            </w:r>
            <w:r w:rsidRPr="004C3830">
              <w:rPr>
                <w:rFonts w:ascii="Palatino Linotype" w:hAnsi="Palatino Linotype"/>
                <w:color w:val="000000" w:themeColor="text1"/>
                <w:sz w:val="20"/>
                <w:szCs w:val="20"/>
              </w:rPr>
              <w:t xml:space="preserve"> </w:t>
            </w:r>
            <w:r w:rsidRPr="004C3830" w:rsidR="00C05FB0">
              <w:rPr>
                <w:rFonts w:ascii="Palatino Linotype" w:hAnsi="Palatino Linotype"/>
                <w:color w:val="000000" w:themeColor="text1"/>
                <w:sz w:val="20"/>
                <w:szCs w:val="20"/>
              </w:rPr>
              <w:t xml:space="preserve">The </w:t>
            </w:r>
            <w:r w:rsidRPr="00BD2528" w:rsidR="00C05FB0">
              <w:rPr>
                <w:rFonts w:ascii="Palatino Linotype" w:hAnsi="Palatino Linotype"/>
                <w:color w:val="000000" w:themeColor="text1"/>
                <w:sz w:val="20"/>
                <w:szCs w:val="20"/>
              </w:rPr>
              <w:t>Commission does not authorize additional funding for hydrogen-related RD&amp;D projects. The Commission authorized SoCalGas to continue funding multi-year projects approved and contracted under its previous Gas RD&amp;D Program (prior to D.19-09-051) to their planned completion. However, the Commission clarifies that this only pertained to projects under SoCalGas’ previous Gas RD&amp;D program in the interim between the Decision being issued and the Commission issuing its</w:t>
            </w:r>
            <w:r w:rsidRPr="00BD2528" w:rsidR="00C05FB0">
              <w:rPr>
                <w:rFonts w:ascii="Palatino Linotype" w:hAnsi="Palatino Linotype"/>
                <w:i/>
                <w:iCs/>
                <w:color w:val="000000" w:themeColor="text1"/>
                <w:sz w:val="20"/>
                <w:szCs w:val="20"/>
              </w:rPr>
              <w:t> first</w:t>
            </w:r>
            <w:r w:rsidRPr="00BD2528" w:rsidR="00C05FB0">
              <w:rPr>
                <w:rFonts w:ascii="Palatino Linotype" w:hAnsi="Palatino Linotype"/>
                <w:color w:val="000000" w:themeColor="text1"/>
                <w:sz w:val="20"/>
                <w:szCs w:val="20"/>
              </w:rPr>
              <w:t> SoCalGas Gas RD&amp;</w:t>
            </w:r>
            <w:r w:rsidR="00A42EDF">
              <w:rPr>
                <w:rFonts w:ascii="Palatino Linotype" w:hAnsi="Palatino Linotype"/>
                <w:color w:val="000000" w:themeColor="text1"/>
                <w:sz w:val="20"/>
                <w:szCs w:val="20"/>
              </w:rPr>
              <w:t xml:space="preserve">D </w:t>
            </w:r>
            <w:r w:rsidRPr="00BD2528" w:rsidR="00C05FB0">
              <w:rPr>
                <w:rFonts w:ascii="Palatino Linotype" w:hAnsi="Palatino Linotype"/>
                <w:color w:val="000000" w:themeColor="text1"/>
                <w:sz w:val="20"/>
                <w:szCs w:val="20"/>
              </w:rPr>
              <w:t>Resolution in 2021,</w:t>
            </w:r>
            <w:r w:rsidRPr="00BD2528" w:rsidR="00C05FB0">
              <w:rPr>
                <w:rStyle w:val="FootnoteReference"/>
                <w:rFonts w:ascii="Palatino Linotype" w:hAnsi="Palatino Linotype"/>
                <w:color w:val="000000" w:themeColor="text1"/>
                <w:sz w:val="20"/>
                <w:szCs w:val="20"/>
              </w:rPr>
              <w:footnoteReference w:id="296"/>
            </w:r>
            <w:r w:rsidR="00A42EDF">
              <w:rPr>
                <w:rFonts w:ascii="Palatino Linotype" w:hAnsi="Palatino Linotype"/>
                <w:color w:val="000000" w:themeColor="text1"/>
                <w:sz w:val="20"/>
                <w:szCs w:val="20"/>
              </w:rPr>
              <w:t xml:space="preserve"> b</w:t>
            </w:r>
            <w:r w:rsidRPr="00BD2528" w:rsidR="00C05FB0">
              <w:rPr>
                <w:rFonts w:ascii="Palatino Linotype" w:hAnsi="Palatino Linotype"/>
                <w:color w:val="000000" w:themeColor="text1"/>
                <w:sz w:val="20"/>
                <w:szCs w:val="20"/>
              </w:rPr>
              <w:t>ecause</w:t>
            </w:r>
            <w:r w:rsidR="00A42EDF">
              <w:rPr>
                <w:rFonts w:ascii="Palatino Linotype" w:hAnsi="Palatino Linotype"/>
                <w:color w:val="000000" w:themeColor="text1"/>
                <w:sz w:val="20"/>
                <w:szCs w:val="20"/>
              </w:rPr>
              <w:t xml:space="preserve"> f</w:t>
            </w:r>
            <w:r w:rsidRPr="00BD2528" w:rsidR="00C05FB0">
              <w:rPr>
                <w:rFonts w:ascii="Palatino Linotype" w:hAnsi="Palatino Linotype"/>
                <w:color w:val="000000" w:themeColor="text1"/>
                <w:sz w:val="20"/>
                <w:szCs w:val="20"/>
              </w:rPr>
              <w:t>ollowing t</w:t>
            </w:r>
            <w:r w:rsidR="00A42EDF">
              <w:rPr>
                <w:rFonts w:ascii="Palatino Linotype" w:hAnsi="Palatino Linotype"/>
                <w:color w:val="000000" w:themeColor="text1"/>
                <w:sz w:val="20"/>
                <w:szCs w:val="20"/>
              </w:rPr>
              <w:t xml:space="preserve">he </w:t>
            </w:r>
            <w:r w:rsidRPr="00BD2528" w:rsidR="00C05FB0">
              <w:rPr>
                <w:rFonts w:ascii="Palatino Linotype" w:hAnsi="Palatino Linotype"/>
                <w:color w:val="000000" w:themeColor="text1"/>
                <w:sz w:val="20"/>
                <w:szCs w:val="20"/>
              </w:rPr>
              <w:t>Decision,</w:t>
            </w:r>
            <w:r w:rsidR="00A42EDF">
              <w:rPr>
                <w:rFonts w:ascii="Palatino Linotype" w:hAnsi="Palatino Linotype"/>
                <w:color w:val="000000" w:themeColor="text1"/>
                <w:sz w:val="20"/>
                <w:szCs w:val="20"/>
              </w:rPr>
              <w:t xml:space="preserve"> </w:t>
            </w:r>
            <w:r w:rsidRPr="00BD2528" w:rsidR="00C05FB0">
              <w:rPr>
                <w:rFonts w:ascii="Palatino Linotype" w:hAnsi="Palatino Linotype"/>
                <w:color w:val="000000" w:themeColor="text1"/>
                <w:sz w:val="20"/>
                <w:szCs w:val="20"/>
              </w:rPr>
              <w:t>SoCalGas</w:t>
            </w:r>
            <w:r w:rsidR="00A42EDF">
              <w:rPr>
                <w:rFonts w:ascii="Palatino Linotype" w:hAnsi="Palatino Linotype"/>
                <w:color w:val="000000" w:themeColor="text1"/>
                <w:sz w:val="20"/>
                <w:szCs w:val="20"/>
              </w:rPr>
              <w:t xml:space="preserve"> </w:t>
            </w:r>
            <w:r w:rsidRPr="00BD2528" w:rsidR="00C05FB0">
              <w:rPr>
                <w:rFonts w:ascii="Palatino Linotype" w:hAnsi="Palatino Linotype"/>
                <w:color w:val="000000" w:themeColor="text1"/>
                <w:sz w:val="20"/>
                <w:szCs w:val="20"/>
              </w:rPr>
              <w:t>must now have an AL approved prior to recording expenses.</w:t>
            </w:r>
            <w:r w:rsidRPr="00BD2528" w:rsidR="00C05FB0">
              <w:rPr>
                <w:rStyle w:val="FootnoteReference"/>
                <w:rFonts w:ascii="Palatino Linotype" w:hAnsi="Palatino Linotype"/>
                <w:color w:val="000000" w:themeColor="text1"/>
                <w:sz w:val="20"/>
                <w:szCs w:val="20"/>
              </w:rPr>
              <w:footnoteReference w:id="297"/>
            </w:r>
            <w:r w:rsidRPr="00BD2528" w:rsidR="00C05FB0">
              <w:rPr>
                <w:rFonts w:ascii="Palatino Linotype" w:hAnsi="Palatino Linotype"/>
                <w:color w:val="000000" w:themeColor="text1"/>
                <w:sz w:val="20"/>
                <w:szCs w:val="20"/>
              </w:rPr>
              <w:t xml:space="preserve"> D.19-09-051 </w:t>
            </w:r>
            <w:r w:rsidRPr="00BD2528" w:rsidR="00C05FB0">
              <w:rPr>
                <w:rFonts w:ascii="Palatino Linotype" w:hAnsi="Palatino Linotype"/>
                <w:color w:val="000000" w:themeColor="text1"/>
                <w:sz w:val="20"/>
                <w:szCs w:val="20"/>
              </w:rPr>
              <w:lastRenderedPageBreak/>
              <w:t>does not necessarily approve the budget allocations SoCalGas proposes in Annual Plans.</w:t>
            </w:r>
            <w:r w:rsidRPr="00BD2528" w:rsidR="00C05FB0">
              <w:rPr>
                <w:rStyle w:val="FootnoteReference"/>
                <w:rFonts w:ascii="Palatino Linotype" w:hAnsi="Palatino Linotype"/>
                <w:color w:val="000000" w:themeColor="text1"/>
                <w:sz w:val="20"/>
                <w:szCs w:val="20"/>
              </w:rPr>
              <w:footnoteReference w:id="298"/>
            </w:r>
            <w:r w:rsidRPr="00BD2528" w:rsidR="00C05FB0">
              <w:rPr>
                <w:rFonts w:ascii="Palatino Linotype" w:hAnsi="Palatino Linotype"/>
                <w:color w:val="000000" w:themeColor="text1"/>
                <w:sz w:val="20"/>
                <w:szCs w:val="20"/>
              </w:rPr>
              <w:t xml:space="preserve"> SoCalGas must reallocate funds proposed for hydrogen projects for eligible purposes.</w:t>
            </w:r>
            <w:r w:rsidR="000A68A5">
              <w:rPr>
                <w:rFonts w:ascii="Palatino Linotype" w:hAnsi="Palatino Linotype"/>
                <w:color w:val="000000" w:themeColor="text1"/>
                <w:sz w:val="20"/>
                <w:szCs w:val="20"/>
              </w:rPr>
              <w:t xml:space="preserve"> </w:t>
            </w:r>
            <w:r w:rsidRPr="0016671C" w:rsidR="000A68A5">
              <w:rPr>
                <w:rFonts w:ascii="Palatino Linotype" w:hAnsi="Palatino Linotype"/>
                <w:color w:val="000000" w:themeColor="text1"/>
                <w:sz w:val="20"/>
                <w:szCs w:val="20"/>
              </w:rPr>
              <w:t>Further,</w:t>
            </w:r>
            <w:r w:rsidR="000A68A5">
              <w:rPr>
                <w:rFonts w:ascii="Palatino Linotype" w:hAnsi="Palatino Linotype"/>
                <w:color w:val="000000" w:themeColor="text1"/>
                <w:sz w:val="20"/>
                <w:szCs w:val="20"/>
              </w:rPr>
              <w:t xml:space="preserve"> SoCalGas must p</w:t>
            </w:r>
            <w:r w:rsidRPr="001E2DA3" w:rsidR="000A68A5">
              <w:rPr>
                <w:rFonts w:ascii="Palatino Linotype" w:hAnsi="Palatino Linotype"/>
                <w:color w:val="000000" w:themeColor="text1"/>
                <w:sz w:val="20"/>
                <w:szCs w:val="20"/>
              </w:rPr>
              <w:t xml:space="preserve">rovide further detail on the </w:t>
            </w:r>
            <w:r w:rsidRPr="00BD2528" w:rsidR="00392429">
              <w:rPr>
                <w:rFonts w:ascii="Palatino Linotype" w:hAnsi="Palatino Linotype"/>
                <w:color w:val="000000" w:themeColor="text1"/>
                <w:sz w:val="20"/>
                <w:szCs w:val="20"/>
              </w:rPr>
              <w:t xml:space="preserve">“Integrating carbon management </w:t>
            </w:r>
            <w:r w:rsidR="00392429">
              <w:rPr>
                <w:rFonts w:ascii="Palatino Linotype" w:hAnsi="Palatino Linotype"/>
                <w:color w:val="000000" w:themeColor="text1"/>
                <w:sz w:val="20"/>
                <w:szCs w:val="20"/>
              </w:rPr>
              <w:t>solutions</w:t>
            </w:r>
            <w:r w:rsidRPr="00BD2528" w:rsidR="00392429">
              <w:rPr>
                <w:rFonts w:ascii="Palatino Linotype" w:hAnsi="Palatino Linotype"/>
                <w:color w:val="000000" w:themeColor="text1"/>
                <w:sz w:val="20"/>
                <w:szCs w:val="20"/>
              </w:rPr>
              <w:t xml:space="preserve">” </w:t>
            </w:r>
            <w:r w:rsidRPr="001E2DA3" w:rsidR="000A68A5">
              <w:rPr>
                <w:rFonts w:ascii="Palatino Linotype" w:hAnsi="Palatino Linotype"/>
                <w:color w:val="000000" w:themeColor="text1"/>
                <w:sz w:val="20"/>
                <w:szCs w:val="20"/>
              </w:rPr>
              <w:t>Research Topic under its Energy Reliability &amp; Resilience Initiative as described herein.</w:t>
            </w:r>
            <w:r w:rsidRPr="00BD2528" w:rsidR="00C05FB0">
              <w:rPr>
                <w:rFonts w:ascii="Palatino Linotype" w:hAnsi="Palatino Linotype"/>
                <w:color w:val="000000" w:themeColor="text1"/>
                <w:sz w:val="20"/>
                <w:szCs w:val="20"/>
              </w:rPr>
              <w:t xml:space="preserve"> For these Initiatives, </w:t>
            </w:r>
            <w:r w:rsidRPr="00BD2528" w:rsidR="00C05FB0">
              <w:rPr>
                <w:rFonts w:ascii="Palatino Linotype" w:hAnsi="Palatino Linotype"/>
                <w:b/>
                <w:color w:val="000000" w:themeColor="text1"/>
                <w:sz w:val="20"/>
                <w:szCs w:val="20"/>
              </w:rPr>
              <w:t xml:space="preserve">SoCalGas </w:t>
            </w:r>
            <w:proofErr w:type="gramStart"/>
            <w:r w:rsidRPr="00BD2528" w:rsidR="00C05FB0">
              <w:rPr>
                <w:rFonts w:ascii="Palatino Linotype" w:hAnsi="Palatino Linotype"/>
                <w:b/>
                <w:color w:val="000000" w:themeColor="text1"/>
                <w:sz w:val="20"/>
                <w:szCs w:val="20"/>
              </w:rPr>
              <w:t>is</w:t>
            </w:r>
            <w:proofErr w:type="gramEnd"/>
            <w:r w:rsidRPr="00BD2528" w:rsidR="00C05FB0">
              <w:rPr>
                <w:rFonts w:ascii="Palatino Linotype" w:hAnsi="Palatino Linotype"/>
                <w:b/>
                <w:i/>
                <w:iCs/>
                <w:color w:val="000000" w:themeColor="text1"/>
                <w:sz w:val="20"/>
                <w:szCs w:val="20"/>
              </w:rPr>
              <w:t xml:space="preserve"> not</w:t>
            </w:r>
            <w:r w:rsidRPr="00BD2528" w:rsidR="00C05FB0">
              <w:rPr>
                <w:rFonts w:ascii="Palatino Linotype" w:hAnsi="Palatino Linotype"/>
                <w:b/>
                <w:color w:val="000000" w:themeColor="text1"/>
                <w:sz w:val="20"/>
                <w:szCs w:val="20"/>
              </w:rPr>
              <w:t xml:space="preserve"> </w:t>
            </w:r>
            <w:proofErr w:type="gramStart"/>
            <w:r w:rsidRPr="00BD2528" w:rsidR="00C05FB0">
              <w:rPr>
                <w:rFonts w:ascii="Palatino Linotype" w:hAnsi="Palatino Linotype"/>
                <w:b/>
                <w:color w:val="000000" w:themeColor="text1"/>
                <w:sz w:val="20"/>
                <w:szCs w:val="20"/>
              </w:rPr>
              <w:t>compliant</w:t>
            </w:r>
            <w:proofErr w:type="gramEnd"/>
            <w:r w:rsidRPr="00BD2528" w:rsidR="00C05FB0">
              <w:rPr>
                <w:rFonts w:ascii="Palatino Linotype" w:hAnsi="Palatino Linotype"/>
                <w:b/>
                <w:color w:val="000000" w:themeColor="text1"/>
                <w:sz w:val="20"/>
                <w:szCs w:val="20"/>
              </w:rPr>
              <w:t xml:space="preserve"> with this requirement.</w:t>
            </w:r>
          </w:p>
        </w:tc>
      </w:tr>
      <w:tr w:rsidRPr="00BD2528" w:rsidR="00C05FB0" w14:paraId="0DE502DF" w14:textId="77777777">
        <w:trPr>
          <w:trHeight w:val="638"/>
          <w:tblHeader/>
        </w:trPr>
        <w:tc>
          <w:tcPr>
            <w:tcW w:w="3744" w:type="dxa"/>
          </w:tcPr>
          <w:p w:rsidRPr="00BD2528" w:rsidR="00C05FB0" w:rsidRDefault="00C05FB0" w14:paraId="71750E96" w14:textId="77777777">
            <w:pPr>
              <w:rPr>
                <w:rFonts w:ascii="Palatino Linotype" w:hAnsi="Palatino Linotype"/>
                <w:sz w:val="20"/>
                <w:szCs w:val="20"/>
              </w:rPr>
            </w:pPr>
            <w:r w:rsidRPr="00BD2528">
              <w:rPr>
                <w:rFonts w:ascii="Palatino Linotype" w:hAnsi="Palatino Linotype"/>
                <w:b/>
                <w:sz w:val="20"/>
                <w:szCs w:val="20"/>
              </w:rPr>
              <w:lastRenderedPageBreak/>
              <w:t>[7]</w:t>
            </w:r>
            <w:r w:rsidRPr="00BD2528">
              <w:rPr>
                <w:rFonts w:ascii="Palatino Linotype" w:hAnsi="Palatino Linotype"/>
                <w:sz w:val="20"/>
                <w:szCs w:val="20"/>
              </w:rPr>
              <w:t xml:space="preserve"> California Public Utilities Code Section 740.1 at (c) </w:t>
            </w:r>
            <w:r w:rsidRPr="00BD2528">
              <w:rPr>
                <w:rFonts w:ascii="Palatino Linotype" w:hAnsi="Palatino Linotype"/>
                <w:i/>
                <w:iCs/>
                <w:sz w:val="20"/>
                <w:szCs w:val="20"/>
              </w:rPr>
              <w:t>Projects should be consistent with the corporation's resource plan.</w:t>
            </w:r>
          </w:p>
        </w:tc>
        <w:tc>
          <w:tcPr>
            <w:tcW w:w="6912" w:type="dxa"/>
          </w:tcPr>
          <w:p w:rsidRPr="00BD2528" w:rsidR="00C05FB0" w:rsidRDefault="00C05FB0" w14:paraId="32BD7A84"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SoCalGas states that, as a company, it seeks to “deliver increasingly clean, safe, affordable, and reliable energy.”</w:t>
            </w:r>
            <w:r w:rsidRPr="00BD2528">
              <w:rPr>
                <w:rStyle w:val="FootnoteReference"/>
                <w:rFonts w:ascii="Palatino Linotype" w:hAnsi="Palatino Linotype"/>
                <w:color w:val="000000" w:themeColor="text1"/>
                <w:sz w:val="20"/>
                <w:szCs w:val="20"/>
              </w:rPr>
              <w:footnoteReference w:id="299"/>
            </w:r>
            <w:r w:rsidRPr="00BD2528">
              <w:rPr>
                <w:rFonts w:ascii="Palatino Linotype" w:hAnsi="Palatino Linotype"/>
                <w:color w:val="000000" w:themeColor="text1"/>
                <w:sz w:val="20"/>
                <w:szCs w:val="20"/>
              </w:rPr>
              <w:t xml:space="preserve"> Consistent with this, SoCalGas states that Initiatives in its Gas System Integrity theme “support supply, transmission, distribution, storage, and customer operations through innovations that enhance pipeline, public, and employee safety, maintain system reliability, increase operational efficiency, improve affordability, and reduce GHG impacts to the environment.”</w:t>
            </w:r>
            <w:r w:rsidRPr="00BD2528">
              <w:rPr>
                <w:rStyle w:val="FootnoteReference"/>
                <w:rFonts w:ascii="Palatino Linotype" w:hAnsi="Palatino Linotype"/>
                <w:color w:val="000000" w:themeColor="text1"/>
                <w:sz w:val="20"/>
                <w:szCs w:val="20"/>
              </w:rPr>
              <w:footnoteReference w:id="300"/>
            </w:r>
            <w:r w:rsidRPr="00BD2528">
              <w:rPr>
                <w:rFonts w:ascii="Palatino Linotype" w:hAnsi="Palatino Linotype"/>
                <w:color w:val="0070C0"/>
                <w:sz w:val="20"/>
                <w:szCs w:val="20"/>
              </w:rPr>
              <w:t xml:space="preserve"> </w:t>
            </w:r>
            <w:r w:rsidRPr="00BD2528">
              <w:rPr>
                <w:rFonts w:ascii="Palatino Linotype" w:hAnsi="Palatino Linotype"/>
                <w:color w:val="000000" w:themeColor="text1"/>
                <w:sz w:val="20"/>
                <w:szCs w:val="20"/>
              </w:rPr>
              <w:t>Initiatives in the Decarbonization theme support advancing “technologies that improve the affordability, availability, reliability, and integration of low-carbon fuels and energy systems.”</w:t>
            </w:r>
            <w:r w:rsidRPr="00BD2528">
              <w:rPr>
                <w:rFonts w:ascii="Palatino Linotype" w:hAnsi="Palatino Linotype"/>
                <w:color w:val="000000" w:themeColor="text1"/>
                <w:sz w:val="20"/>
                <w:szCs w:val="20"/>
              </w:rPr>
              <w:footnoteReference w:id="301"/>
            </w:r>
          </w:p>
        </w:tc>
        <w:tc>
          <w:tcPr>
            <w:tcW w:w="3600" w:type="dxa"/>
          </w:tcPr>
          <w:p w:rsidRPr="00BD2528" w:rsidR="00C05FB0" w:rsidRDefault="00C05FB0" w14:paraId="2A11F4B1"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 xml:space="preserve">SoCalGas demonstrates that its proposed Initiatives and Plan are consistent with its resource plan. </w:t>
            </w:r>
            <w:r w:rsidRPr="00BD2528">
              <w:rPr>
                <w:rFonts w:ascii="Palatino Linotype" w:hAnsi="Palatino Linotype"/>
                <w:b/>
                <w:color w:val="000000" w:themeColor="text1"/>
                <w:sz w:val="20"/>
                <w:szCs w:val="20"/>
              </w:rPr>
              <w:t>SoCalGas is compliant with this requirement.</w:t>
            </w:r>
          </w:p>
        </w:tc>
      </w:tr>
      <w:tr w:rsidRPr="00BD2528" w:rsidR="00C05FB0" w14:paraId="48C3EB3A" w14:textId="77777777">
        <w:trPr>
          <w:trHeight w:val="638"/>
          <w:tblHeader/>
        </w:trPr>
        <w:tc>
          <w:tcPr>
            <w:tcW w:w="3744" w:type="dxa"/>
          </w:tcPr>
          <w:p w:rsidRPr="00BD2528" w:rsidR="00C05FB0" w:rsidRDefault="00C05FB0" w14:paraId="25ABCCF3" w14:textId="77777777">
            <w:pPr>
              <w:rPr>
                <w:rFonts w:ascii="Palatino Linotype" w:hAnsi="Palatino Linotype"/>
                <w:i/>
                <w:iCs/>
                <w:sz w:val="20"/>
                <w:szCs w:val="20"/>
              </w:rPr>
            </w:pPr>
            <w:r w:rsidRPr="00BD2528">
              <w:rPr>
                <w:rFonts w:ascii="Palatino Linotype" w:hAnsi="Palatino Linotype"/>
                <w:b/>
                <w:sz w:val="20"/>
                <w:szCs w:val="20"/>
              </w:rPr>
              <w:lastRenderedPageBreak/>
              <w:t>[8]</w:t>
            </w:r>
            <w:r w:rsidRPr="00BD2528">
              <w:rPr>
                <w:rFonts w:ascii="Palatino Linotype" w:hAnsi="Palatino Linotype"/>
                <w:sz w:val="20"/>
                <w:szCs w:val="20"/>
              </w:rPr>
              <w:t xml:space="preserve"> California Public Utilities Code Section 740.1 at (e) </w:t>
            </w:r>
            <w:r w:rsidRPr="00BD2528">
              <w:rPr>
                <w:rFonts w:ascii="Palatino Linotype" w:hAnsi="Palatino Linotype"/>
                <w:i/>
                <w:iCs/>
                <w:sz w:val="20"/>
                <w:szCs w:val="20"/>
              </w:rPr>
              <w:t>Each project should also support one or more of the following objectives:</w:t>
            </w:r>
          </w:p>
          <w:p w:rsidRPr="00BD2528" w:rsidR="00C05FB0" w:rsidP="00C05FB0" w:rsidRDefault="00C05FB0" w14:paraId="4AE258FF" w14:textId="77777777">
            <w:pPr>
              <w:pStyle w:val="ListParagraph"/>
              <w:numPr>
                <w:ilvl w:val="0"/>
                <w:numId w:val="65"/>
              </w:numPr>
              <w:rPr>
                <w:rFonts w:ascii="Palatino Linotype" w:hAnsi="Palatino Linotype"/>
                <w:i/>
                <w:iCs/>
                <w:sz w:val="20"/>
                <w:szCs w:val="20"/>
              </w:rPr>
            </w:pPr>
            <w:r w:rsidRPr="00BD2528">
              <w:rPr>
                <w:rFonts w:ascii="Palatino Linotype" w:hAnsi="Palatino Linotype"/>
                <w:i/>
                <w:iCs/>
                <w:sz w:val="20"/>
                <w:szCs w:val="20"/>
              </w:rPr>
              <w:t>Environmental improvement.</w:t>
            </w:r>
          </w:p>
          <w:p w:rsidRPr="00BD2528" w:rsidR="00C05FB0" w:rsidP="00C05FB0" w:rsidRDefault="00C05FB0" w14:paraId="687D1CDB" w14:textId="77777777">
            <w:pPr>
              <w:pStyle w:val="ListParagraph"/>
              <w:numPr>
                <w:ilvl w:val="0"/>
                <w:numId w:val="65"/>
              </w:numPr>
              <w:rPr>
                <w:rFonts w:ascii="Palatino Linotype" w:hAnsi="Palatino Linotype"/>
                <w:i/>
                <w:iCs/>
                <w:sz w:val="20"/>
                <w:szCs w:val="20"/>
              </w:rPr>
            </w:pPr>
            <w:r w:rsidRPr="00BD2528">
              <w:rPr>
                <w:rFonts w:ascii="Palatino Linotype" w:hAnsi="Palatino Linotype"/>
                <w:i/>
                <w:iCs/>
                <w:sz w:val="20"/>
                <w:szCs w:val="20"/>
              </w:rPr>
              <w:t>Public and employee safety.</w:t>
            </w:r>
          </w:p>
          <w:p w:rsidRPr="00BD2528" w:rsidR="00C05FB0" w:rsidP="00C05FB0" w:rsidRDefault="00C05FB0" w14:paraId="22C8DED1" w14:textId="77777777">
            <w:pPr>
              <w:pStyle w:val="ListParagraph"/>
              <w:numPr>
                <w:ilvl w:val="0"/>
                <w:numId w:val="65"/>
              </w:numPr>
              <w:rPr>
                <w:rFonts w:ascii="Palatino Linotype" w:hAnsi="Palatino Linotype"/>
                <w:i/>
                <w:iCs/>
                <w:sz w:val="20"/>
                <w:szCs w:val="20"/>
              </w:rPr>
            </w:pPr>
            <w:r w:rsidRPr="00BD2528">
              <w:rPr>
                <w:rFonts w:ascii="Palatino Linotype" w:hAnsi="Palatino Linotype"/>
                <w:i/>
                <w:iCs/>
                <w:sz w:val="20"/>
                <w:szCs w:val="20"/>
              </w:rPr>
              <w:t>Conservation by efficient resource use or by reducing or shifting system load.</w:t>
            </w:r>
          </w:p>
          <w:p w:rsidRPr="00BD2528" w:rsidR="00C05FB0" w:rsidP="00C05FB0" w:rsidRDefault="00C05FB0" w14:paraId="0F18C8ED" w14:textId="77777777">
            <w:pPr>
              <w:pStyle w:val="ListParagraph"/>
              <w:numPr>
                <w:ilvl w:val="0"/>
                <w:numId w:val="65"/>
              </w:numPr>
              <w:rPr>
                <w:rFonts w:ascii="Palatino Linotype" w:hAnsi="Palatino Linotype"/>
                <w:i/>
                <w:iCs/>
                <w:sz w:val="20"/>
                <w:szCs w:val="20"/>
              </w:rPr>
            </w:pPr>
            <w:r w:rsidRPr="00BD2528">
              <w:rPr>
                <w:rFonts w:ascii="Palatino Linotype" w:hAnsi="Palatino Linotype"/>
                <w:i/>
                <w:iCs/>
                <w:sz w:val="20"/>
                <w:szCs w:val="20"/>
              </w:rPr>
              <w:t>Development of new resources and processes, particularly renewable resources and processes which further supply technologies.</w:t>
            </w:r>
          </w:p>
          <w:p w:rsidRPr="00BD2528" w:rsidR="00C05FB0" w:rsidP="00C05FB0" w:rsidRDefault="00C05FB0" w14:paraId="44E0ED23" w14:textId="77777777">
            <w:pPr>
              <w:pStyle w:val="ListParagraph"/>
              <w:numPr>
                <w:ilvl w:val="0"/>
                <w:numId w:val="65"/>
              </w:numPr>
              <w:rPr>
                <w:rFonts w:ascii="Palatino Linotype" w:hAnsi="Palatino Linotype"/>
                <w:i/>
                <w:iCs/>
                <w:sz w:val="20"/>
                <w:szCs w:val="20"/>
              </w:rPr>
            </w:pPr>
            <w:r w:rsidRPr="00BD2528">
              <w:rPr>
                <w:rFonts w:ascii="Palatino Linotype" w:hAnsi="Palatino Linotype"/>
                <w:i/>
                <w:iCs/>
                <w:sz w:val="20"/>
                <w:szCs w:val="20"/>
              </w:rPr>
              <w:t>Improve operating efficiency and reliability or otherwise reduce operating costs.</w:t>
            </w:r>
          </w:p>
        </w:tc>
        <w:tc>
          <w:tcPr>
            <w:tcW w:w="6912" w:type="dxa"/>
          </w:tcPr>
          <w:p w:rsidRPr="00BD2528" w:rsidR="00C05FB0" w:rsidRDefault="00C05FB0" w14:paraId="03F624AC" w14:textId="77777777">
            <w:pPr>
              <w:rPr>
                <w:rFonts w:ascii="Palatino Linotype" w:hAnsi="Palatino Linotype"/>
                <w:color w:val="000000" w:themeColor="text1"/>
                <w:sz w:val="20"/>
                <w:szCs w:val="20"/>
              </w:rPr>
            </w:pPr>
            <w:r w:rsidRPr="00BD2528">
              <w:rPr>
                <w:rFonts w:ascii="Palatino Linotype" w:hAnsi="Palatino Linotype"/>
                <w:color w:val="000000" w:themeColor="text1"/>
                <w:sz w:val="20"/>
                <w:szCs w:val="20"/>
              </w:rPr>
              <w:t>SoCalGas proposes the following Initiatives in its 2025 Plan:</w:t>
            </w:r>
          </w:p>
          <w:p w:rsidRPr="00BD2528" w:rsidR="00C05FB0" w:rsidP="00C05FB0" w:rsidRDefault="00C05FB0" w14:paraId="14E97C81"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Environmental &amp; Safety</w:t>
            </w:r>
          </w:p>
          <w:p w:rsidRPr="00BD2528" w:rsidR="00C05FB0" w:rsidP="00C05FB0" w:rsidRDefault="00C05FB0" w14:paraId="5C5A262C"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Operations Technology</w:t>
            </w:r>
          </w:p>
          <w:p w:rsidRPr="00BD2528" w:rsidR="00C05FB0" w:rsidP="00C05FB0" w:rsidRDefault="00C05FB0" w14:paraId="09774080"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eastAsia="Palatino Linotype" w:cs="Times New Roman"/>
                <w:color w:val="000000" w:themeColor="text1"/>
                <w:sz w:val="20"/>
                <w:szCs w:val="20"/>
              </w:rPr>
              <w:t>System Design &amp; Materials</w:t>
            </w:r>
          </w:p>
          <w:p w:rsidRPr="00BD2528" w:rsidR="00C05FB0" w:rsidP="00C05FB0" w:rsidRDefault="00C05FB0" w14:paraId="3EF23229"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eastAsia="Palatino Linotype" w:cs="Times New Roman"/>
                <w:color w:val="000000" w:themeColor="text1"/>
                <w:sz w:val="20"/>
                <w:szCs w:val="20"/>
              </w:rPr>
              <w:t>System Inspection &amp; Monitoring</w:t>
            </w:r>
          </w:p>
          <w:p w:rsidRPr="00BD2528" w:rsidR="00C05FB0" w:rsidP="00C05FB0" w:rsidRDefault="00C05FB0" w14:paraId="6C7B298E"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eastAsia="Palatino Linotype" w:cs="Times New Roman"/>
                <w:color w:val="000000" w:themeColor="text1"/>
                <w:sz w:val="20"/>
                <w:szCs w:val="20"/>
              </w:rPr>
              <w:t>RNG Infrastructure Optimization</w:t>
            </w:r>
          </w:p>
          <w:p w:rsidRPr="00BD2528" w:rsidR="00C05FB0" w:rsidP="00C05FB0" w:rsidRDefault="00C05FB0" w14:paraId="4BF6248C"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Low-Carbon Fuels Technologies</w:t>
            </w:r>
          </w:p>
          <w:p w:rsidRPr="00BD2528" w:rsidR="00C05FB0" w:rsidP="00C05FB0" w:rsidRDefault="00C05FB0" w14:paraId="3CE4E15B"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Energy Reliability &amp; Resilience</w:t>
            </w:r>
          </w:p>
          <w:p w:rsidRPr="00BD2528" w:rsidR="00C05FB0" w:rsidP="00C05FB0" w:rsidRDefault="00C05FB0" w14:paraId="33A63960" w14:textId="77777777">
            <w:pPr>
              <w:pStyle w:val="ListParagraph"/>
              <w:numPr>
                <w:ilvl w:val="0"/>
                <w:numId w:val="3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Building &amp; Facility Systems</w:t>
            </w:r>
          </w:p>
        </w:tc>
        <w:tc>
          <w:tcPr>
            <w:tcW w:w="3600" w:type="dxa"/>
          </w:tcPr>
          <w:p w:rsidRPr="00BD2528" w:rsidR="00C05FB0" w:rsidRDefault="00C05FB0" w14:paraId="0AF3DF23"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 xml:space="preserve">Each of SoCalGas’ proposed Initiatives support one or more of the required objectives. </w:t>
            </w:r>
            <w:r w:rsidRPr="00BD2528">
              <w:rPr>
                <w:rFonts w:ascii="Palatino Linotype" w:hAnsi="Palatino Linotype"/>
                <w:b/>
                <w:color w:val="000000" w:themeColor="text1"/>
                <w:sz w:val="20"/>
                <w:szCs w:val="20"/>
              </w:rPr>
              <w:t>SoCalGas is compliant with this requirement.</w:t>
            </w:r>
          </w:p>
        </w:tc>
      </w:tr>
      <w:tr w:rsidRPr="00BD2528" w:rsidR="00C05FB0" w14:paraId="45064EA0" w14:textId="77777777">
        <w:trPr>
          <w:trHeight w:val="638"/>
          <w:tblHeader/>
        </w:trPr>
        <w:tc>
          <w:tcPr>
            <w:tcW w:w="3744" w:type="dxa"/>
          </w:tcPr>
          <w:p w:rsidRPr="00BD2528" w:rsidR="00C05FB0" w:rsidRDefault="00C05FB0" w14:paraId="1F23DBAD" w14:textId="77777777">
            <w:pPr>
              <w:rPr>
                <w:rFonts w:ascii="Palatino Linotype" w:hAnsi="Palatino Linotype"/>
                <w:sz w:val="20"/>
                <w:szCs w:val="20"/>
              </w:rPr>
            </w:pPr>
            <w:r w:rsidRPr="00BD2528">
              <w:rPr>
                <w:rFonts w:ascii="Palatino Linotype" w:hAnsi="Palatino Linotype"/>
                <w:b/>
                <w:sz w:val="20"/>
                <w:szCs w:val="20"/>
              </w:rPr>
              <w:t xml:space="preserve">[9] </w:t>
            </w:r>
            <w:hyperlink w:history="1" r:id="rId97">
              <w:r w:rsidRPr="00BD2528">
                <w:rPr>
                  <w:rStyle w:val="Hyperlink"/>
                  <w:rFonts w:ascii="Palatino Linotype" w:hAnsi="Palatino Linotype"/>
                  <w:sz w:val="20"/>
                  <w:szCs w:val="20"/>
                </w:rPr>
                <w:t>Resolution G-3573</w:t>
              </w:r>
            </w:hyperlink>
            <w:r w:rsidRPr="00BD2528">
              <w:rPr>
                <w:rFonts w:ascii="Palatino Linotype" w:hAnsi="Palatino Linotype"/>
                <w:sz w:val="20"/>
                <w:szCs w:val="20"/>
              </w:rPr>
              <w:t xml:space="preserve"> (2021) at OP 3. </w:t>
            </w:r>
            <w:r w:rsidRPr="00BD2528">
              <w:rPr>
                <w:rFonts w:ascii="Palatino Linotype" w:hAnsi="Palatino Linotype"/>
                <w:i/>
                <w:iCs/>
                <w:sz w:val="20"/>
                <w:szCs w:val="20"/>
              </w:rPr>
              <w:t>In developing the subsequent Research Plans, SoCalGas shall: Continue to increase transparency in project area selection processes and criteria.</w:t>
            </w:r>
          </w:p>
        </w:tc>
        <w:tc>
          <w:tcPr>
            <w:tcW w:w="6912" w:type="dxa"/>
          </w:tcPr>
          <w:p w:rsidRPr="00BD2528" w:rsidR="00C05FB0" w:rsidRDefault="00C05FB0" w14:paraId="3DAF39E4"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SoCalGas outlines a high-level internal RD&amp;D project proposal review process, stating it “enables them to 1) identify potential projects most in alignment with CPUC policies and objectives, RD&amp;D Department goals, state and federal policy 2) initiate projects that have a reasonable probability of providing benefits to ratepayers; 3) assess the likelihood of potential projects to succeed; 4) work with proven organizations and technologies over time; and 5) respond nimbly to changing market, technology, and policy drivers.”</w:t>
            </w:r>
            <w:r w:rsidRPr="00BD2528">
              <w:rPr>
                <w:rStyle w:val="FootnoteReference"/>
                <w:rFonts w:ascii="Palatino Linotype" w:hAnsi="Palatino Linotype"/>
                <w:color w:val="000000" w:themeColor="text1"/>
                <w:sz w:val="20"/>
                <w:szCs w:val="20"/>
              </w:rPr>
              <w:footnoteReference w:id="302"/>
            </w:r>
            <w:r w:rsidRPr="00BD2528">
              <w:rPr>
                <w:rFonts w:ascii="Palatino Linotype" w:hAnsi="Palatino Linotype"/>
                <w:color w:val="000000" w:themeColor="text1"/>
                <w:sz w:val="20"/>
                <w:szCs w:val="20"/>
              </w:rPr>
              <w:t xml:space="preserve"> SoCalGas lists specific evaluation criteria and states that “[a]</w:t>
            </w:r>
            <w:proofErr w:type="spellStart"/>
            <w:r w:rsidRPr="00BD2528">
              <w:rPr>
                <w:rFonts w:ascii="Palatino Linotype" w:hAnsi="Palatino Linotype"/>
                <w:color w:val="000000" w:themeColor="text1"/>
                <w:sz w:val="20"/>
                <w:szCs w:val="20"/>
              </w:rPr>
              <w:t>fter</w:t>
            </w:r>
            <w:proofErr w:type="spellEnd"/>
            <w:r w:rsidRPr="00BD2528">
              <w:rPr>
                <w:rFonts w:ascii="Palatino Linotype" w:hAnsi="Palatino Linotype"/>
                <w:color w:val="000000" w:themeColor="text1"/>
                <w:sz w:val="20"/>
                <w:szCs w:val="20"/>
              </w:rPr>
              <w:t xml:space="preserve"> approval of the Research Plan by the CPUC’s Energy Division, RD&amp;D staff follow a defined project selection and approval process to identify and select projects for RD&amp;D support. The approval process includes development of project concepts, multiple stages of review and project development, and selection of those projects with the greatest potential benefit to natural gas ratepayers.”</w:t>
            </w:r>
            <w:r w:rsidRPr="00BD2528">
              <w:rPr>
                <w:rStyle w:val="FootnoteReference"/>
                <w:rFonts w:ascii="Palatino Linotype" w:hAnsi="Palatino Linotype"/>
                <w:color w:val="000000" w:themeColor="text1"/>
                <w:sz w:val="20"/>
                <w:szCs w:val="20"/>
              </w:rPr>
              <w:footnoteReference w:id="303"/>
            </w:r>
            <w:r w:rsidRPr="00BD2528">
              <w:rPr>
                <w:rFonts w:ascii="Palatino Linotype" w:hAnsi="Palatino Linotype"/>
                <w:color w:val="000000" w:themeColor="text1"/>
                <w:sz w:val="20"/>
                <w:szCs w:val="20"/>
              </w:rPr>
              <w:t xml:space="preserve"> </w:t>
            </w:r>
          </w:p>
        </w:tc>
        <w:tc>
          <w:tcPr>
            <w:tcW w:w="3600" w:type="dxa"/>
          </w:tcPr>
          <w:p w:rsidRPr="00BD2528" w:rsidR="00C05FB0" w:rsidRDefault="00C05FB0" w14:paraId="064CA298"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 xml:space="preserve">SoCalGas describes the project selection process and specific evaluation criteria used in project selection. </w:t>
            </w:r>
            <w:r w:rsidRPr="00BD2528">
              <w:rPr>
                <w:rFonts w:ascii="Palatino Linotype" w:hAnsi="Palatino Linotype"/>
                <w:b/>
                <w:color w:val="000000" w:themeColor="text1"/>
                <w:sz w:val="20"/>
                <w:szCs w:val="20"/>
              </w:rPr>
              <w:t>SoCalGas is compliant with this requirement.</w:t>
            </w:r>
          </w:p>
        </w:tc>
      </w:tr>
      <w:tr w:rsidRPr="00BD2528" w:rsidR="00C05FB0" w14:paraId="0CEEED35" w14:textId="77777777">
        <w:trPr>
          <w:trHeight w:val="638"/>
          <w:tblHeader/>
        </w:trPr>
        <w:tc>
          <w:tcPr>
            <w:tcW w:w="3744" w:type="dxa"/>
          </w:tcPr>
          <w:p w:rsidRPr="00BD2528" w:rsidR="00C05FB0" w:rsidRDefault="00C05FB0" w14:paraId="1E032CD0" w14:textId="77777777">
            <w:r w:rsidRPr="00BD2528">
              <w:rPr>
                <w:rFonts w:ascii="Palatino Linotype" w:hAnsi="Palatino Linotype"/>
                <w:b/>
                <w:sz w:val="20"/>
                <w:szCs w:val="20"/>
              </w:rPr>
              <w:lastRenderedPageBreak/>
              <w:t xml:space="preserve">[10] </w:t>
            </w:r>
            <w:hyperlink w:history="1" r:id="rId98">
              <w:r w:rsidRPr="00BD2528">
                <w:rPr>
                  <w:rStyle w:val="Hyperlink"/>
                  <w:rFonts w:ascii="Palatino Linotype" w:hAnsi="Palatino Linotype"/>
                  <w:sz w:val="20"/>
                  <w:szCs w:val="20"/>
                </w:rPr>
                <w:t>Resolution G-3586</w:t>
              </w:r>
            </w:hyperlink>
            <w:r w:rsidRPr="00BD2528">
              <w:rPr>
                <w:rFonts w:ascii="Palatino Linotype" w:hAnsi="Palatino Linotype"/>
                <w:sz w:val="20"/>
                <w:szCs w:val="20"/>
              </w:rPr>
              <w:t xml:space="preserve"> (2022) at OP 5. </w:t>
            </w:r>
            <w:r w:rsidRPr="00BD2528">
              <w:rPr>
                <w:rFonts w:ascii="Palatino Linotype" w:hAnsi="Palatino Linotype"/>
                <w:i/>
                <w:iCs/>
                <w:sz w:val="20"/>
                <w:szCs w:val="20"/>
              </w:rPr>
              <w:t xml:space="preserve">In subsequent Research Plans, SoCalGas shall: Provide </w:t>
            </w:r>
            <w:r w:rsidRPr="00BD2528">
              <w:rPr>
                <w:rFonts w:ascii="Palatino Linotype" w:hAnsi="Palatino Linotype"/>
                <w:i/>
                <w:iCs/>
                <w:color w:val="000000" w:themeColor="text1"/>
                <w:sz w:val="20"/>
                <w:szCs w:val="20"/>
              </w:rPr>
              <w:t>detail quantifying the amount of program funds already committed and the quantity of program funds that are for projects under development in following years.</w:t>
            </w:r>
          </w:p>
        </w:tc>
        <w:tc>
          <w:tcPr>
            <w:tcW w:w="6912" w:type="dxa"/>
          </w:tcPr>
          <w:p w:rsidRPr="00BD2528" w:rsidR="00C05FB0" w:rsidRDefault="00C05FB0" w14:paraId="7ADAF57C"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SoCalGas details Authorized Funds (approved in the GRC for SoCalGas RD&amp;D), Committed Funds (supporting ongoing projects in accordance with an approved Gas RD&amp;D Plan) and Funds Available for Project Development (available for projects that are under development in the identified key research areas of interest) for each Initiative.</w:t>
            </w:r>
            <w:r w:rsidRPr="00BD2528">
              <w:rPr>
                <w:rStyle w:val="FootnoteReference"/>
                <w:rFonts w:ascii="Palatino Linotype" w:hAnsi="Palatino Linotype"/>
                <w:color w:val="000000" w:themeColor="text1"/>
                <w:sz w:val="20"/>
                <w:szCs w:val="20"/>
              </w:rPr>
              <w:footnoteReference w:id="304"/>
            </w:r>
            <w:r w:rsidRPr="00BD2528">
              <w:rPr>
                <w:rFonts w:ascii="Palatino Linotype" w:hAnsi="Palatino Linotype"/>
                <w:color w:val="000000" w:themeColor="text1"/>
                <w:sz w:val="20"/>
                <w:szCs w:val="20"/>
              </w:rPr>
              <w:t xml:space="preserve"> </w:t>
            </w:r>
          </w:p>
        </w:tc>
        <w:tc>
          <w:tcPr>
            <w:tcW w:w="3600" w:type="dxa"/>
          </w:tcPr>
          <w:p w:rsidRPr="00BD2528" w:rsidR="00C05FB0" w:rsidRDefault="00C05FB0" w14:paraId="3D0892A7"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 xml:space="preserve">SoCalGas details the quantity of program funds already committed and those that are for projects under development in following years. </w:t>
            </w:r>
            <w:r w:rsidRPr="00BD2528">
              <w:rPr>
                <w:rFonts w:ascii="Palatino Linotype" w:hAnsi="Palatino Linotype"/>
                <w:b/>
                <w:color w:val="000000" w:themeColor="text1"/>
                <w:sz w:val="20"/>
                <w:szCs w:val="20"/>
              </w:rPr>
              <w:t>SoCalGas is compliant with this requirement.</w:t>
            </w:r>
          </w:p>
        </w:tc>
      </w:tr>
      <w:tr w:rsidRPr="00BD2528" w:rsidR="00C05FB0" w14:paraId="7F9A5A1C" w14:textId="77777777">
        <w:trPr>
          <w:trHeight w:val="638"/>
          <w:tblHeader/>
        </w:trPr>
        <w:tc>
          <w:tcPr>
            <w:tcW w:w="3744" w:type="dxa"/>
          </w:tcPr>
          <w:p w:rsidRPr="00BD2528" w:rsidR="00C05FB0" w:rsidRDefault="00C05FB0" w14:paraId="450ECA3E" w14:textId="77777777">
            <w:r w:rsidRPr="00BD2528">
              <w:rPr>
                <w:rFonts w:ascii="Palatino Linotype" w:hAnsi="Palatino Linotype"/>
                <w:b/>
                <w:sz w:val="20"/>
                <w:szCs w:val="20"/>
              </w:rPr>
              <w:t xml:space="preserve">[11] </w:t>
            </w:r>
            <w:hyperlink w:history="1" r:id="rId99">
              <w:r w:rsidRPr="00BD2528">
                <w:rPr>
                  <w:rStyle w:val="Hyperlink"/>
                  <w:rFonts w:ascii="Palatino Linotype" w:hAnsi="Palatino Linotype"/>
                  <w:sz w:val="20"/>
                  <w:szCs w:val="20"/>
                </w:rPr>
                <w:t>Resolution G-3586</w:t>
              </w:r>
            </w:hyperlink>
            <w:r w:rsidRPr="00BD2528">
              <w:rPr>
                <w:rFonts w:ascii="Palatino Linotype" w:hAnsi="Palatino Linotype"/>
                <w:sz w:val="20"/>
                <w:szCs w:val="20"/>
              </w:rPr>
              <w:t xml:space="preserve"> (2022) at OP 5. </w:t>
            </w:r>
            <w:r w:rsidRPr="00BD2528">
              <w:rPr>
                <w:rFonts w:ascii="Palatino Linotype" w:hAnsi="Palatino Linotype"/>
                <w:i/>
                <w:iCs/>
                <w:sz w:val="20"/>
                <w:szCs w:val="20"/>
              </w:rPr>
              <w:t>In subsequent Research Plans, SoCalGas shall: Provide project-level detail about Research Plans with the 16 data fields described in the Discussion sub-section titled Detailed budgets broken down by research subprogram.</w:t>
            </w:r>
          </w:p>
        </w:tc>
        <w:tc>
          <w:tcPr>
            <w:tcW w:w="6912" w:type="dxa"/>
          </w:tcPr>
          <w:p w:rsidRPr="00BD2528" w:rsidR="00C05FB0" w:rsidRDefault="00C05FB0" w14:paraId="63718B02" w14:textId="77777777">
            <w:pPr>
              <w:rPr>
                <w:rFonts w:ascii="Palatino Linotype" w:hAnsi="Palatino Linotype"/>
                <w:color w:val="A6A6A6" w:themeColor="background1" w:themeShade="A6"/>
                <w:sz w:val="20"/>
                <w:szCs w:val="20"/>
              </w:rPr>
            </w:pPr>
            <w:r w:rsidRPr="00BD2528">
              <w:rPr>
                <w:rFonts w:ascii="Palatino Linotype" w:hAnsi="Palatino Linotype"/>
                <w:color w:val="000000" w:themeColor="text1"/>
                <w:sz w:val="20"/>
                <w:szCs w:val="20"/>
              </w:rPr>
              <w:t>SoCalGas</w:t>
            </w:r>
            <w:r w:rsidRPr="00BD2528">
              <w:rPr>
                <w:rFonts w:ascii="Palatino Linotype" w:hAnsi="Palatino Linotype" w:eastAsia="Palatino Linotype" w:cs="Times New Roman"/>
                <w:color w:val="000000" w:themeColor="text1"/>
                <w:sz w:val="20"/>
                <w:szCs w:val="20"/>
              </w:rPr>
              <w:t xml:space="preserve"> details active projects anticipated to continue from past research plans into the current proposed research plan year with the required data fields.</w:t>
            </w:r>
            <w:r w:rsidRPr="00BD2528">
              <w:rPr>
                <w:rStyle w:val="FootnoteReference"/>
                <w:rFonts w:ascii="Palatino Linotype" w:hAnsi="Palatino Linotype" w:eastAsia="Palatino Linotype" w:cs="Times New Roman"/>
                <w:color w:val="000000" w:themeColor="text1"/>
                <w:sz w:val="20"/>
                <w:szCs w:val="20"/>
              </w:rPr>
              <w:footnoteReference w:id="305"/>
            </w:r>
          </w:p>
        </w:tc>
        <w:tc>
          <w:tcPr>
            <w:tcW w:w="3600" w:type="dxa"/>
          </w:tcPr>
          <w:p w:rsidRPr="00BD2528" w:rsidR="00C05FB0" w:rsidRDefault="00C05FB0" w14:paraId="15EEA771"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 xml:space="preserve">SoCalGas provides project-level detail across the 16 required data fields. </w:t>
            </w:r>
            <w:r w:rsidRPr="00BD2528">
              <w:rPr>
                <w:rFonts w:ascii="Palatino Linotype" w:hAnsi="Palatino Linotype"/>
                <w:b/>
                <w:color w:val="000000" w:themeColor="text1"/>
                <w:sz w:val="20"/>
                <w:szCs w:val="20"/>
              </w:rPr>
              <w:t>SoCalGas is compliant with this requirement.</w:t>
            </w:r>
          </w:p>
        </w:tc>
      </w:tr>
      <w:tr w:rsidRPr="00BD2528" w:rsidR="00C05FB0" w14:paraId="529B67AC" w14:textId="77777777">
        <w:trPr>
          <w:trHeight w:val="638"/>
          <w:tblHeader/>
        </w:trPr>
        <w:tc>
          <w:tcPr>
            <w:tcW w:w="3744" w:type="dxa"/>
          </w:tcPr>
          <w:p w:rsidRPr="00BD2528" w:rsidR="00C05FB0" w:rsidRDefault="00C05FB0" w14:paraId="5F7FEFFD" w14:textId="77777777">
            <w:r w:rsidRPr="00BD2528">
              <w:rPr>
                <w:rFonts w:ascii="Palatino Linotype" w:hAnsi="Palatino Linotype"/>
                <w:b/>
                <w:sz w:val="20"/>
                <w:szCs w:val="20"/>
              </w:rPr>
              <w:t xml:space="preserve">[12] </w:t>
            </w:r>
            <w:hyperlink r:id="rId100">
              <w:r w:rsidRPr="00BD2528">
                <w:rPr>
                  <w:rStyle w:val="Hyperlink"/>
                  <w:rFonts w:ascii="Palatino Linotype" w:hAnsi="Palatino Linotype"/>
                  <w:sz w:val="20"/>
                  <w:szCs w:val="20"/>
                </w:rPr>
                <w:t>Resolution G-3586</w:t>
              </w:r>
            </w:hyperlink>
            <w:r w:rsidRPr="00BD2528">
              <w:rPr>
                <w:rFonts w:ascii="Palatino Linotype" w:hAnsi="Palatino Linotype"/>
                <w:sz w:val="20"/>
                <w:szCs w:val="20"/>
              </w:rPr>
              <w:t xml:space="preserve"> (2022) at OP 5. </w:t>
            </w:r>
            <w:r w:rsidRPr="00BD2528">
              <w:rPr>
                <w:rFonts w:ascii="Palatino Linotype" w:hAnsi="Palatino Linotype"/>
                <w:i/>
                <w:iCs/>
                <w:sz w:val="20"/>
                <w:szCs w:val="20"/>
              </w:rPr>
              <w:t>In subsequent Research Plans, SoCalGas shall: Provide detail about administrative budgets using allowable cost categories that will be developed in a process launched by D.21-11- 028 defining allowable EPIC administrative costs</w:t>
            </w:r>
            <w:r w:rsidRPr="00BD2528">
              <w:rPr>
                <w:rFonts w:ascii="Palatino Linotype" w:hAnsi="Palatino Linotype"/>
                <w:color w:val="000000" w:themeColor="text1"/>
                <w:sz w:val="20"/>
                <w:szCs w:val="20"/>
              </w:rPr>
              <w:t>.</w:t>
            </w:r>
            <w:r w:rsidRPr="00BD2528">
              <w:rPr>
                <w:rStyle w:val="FootnoteReference"/>
                <w:rFonts w:ascii="Palatino Linotype" w:hAnsi="Palatino Linotype"/>
                <w:color w:val="000000" w:themeColor="text1"/>
                <w:sz w:val="20"/>
                <w:szCs w:val="20"/>
              </w:rPr>
              <w:footnoteReference w:id="306"/>
            </w:r>
            <w:r w:rsidRPr="00BD2528">
              <w:rPr>
                <w:rFonts w:ascii="Palatino Linotype" w:hAnsi="Palatino Linotype"/>
                <w:color w:val="000000" w:themeColor="text1"/>
                <w:sz w:val="20"/>
                <w:szCs w:val="20"/>
              </w:rPr>
              <w:t xml:space="preserve"> </w:t>
            </w:r>
          </w:p>
        </w:tc>
        <w:tc>
          <w:tcPr>
            <w:tcW w:w="6912" w:type="dxa"/>
          </w:tcPr>
          <w:p w:rsidRPr="00BD2528" w:rsidR="00C05FB0" w:rsidRDefault="00C05FB0" w14:paraId="4A2694A7" w14:textId="77777777">
            <w:pPr>
              <w:rPr>
                <w:rFonts w:ascii="Palatino Linotype" w:hAnsi="Palatino Linotype" w:eastAsia="Palatino Linotype" w:cs="Times New Roman"/>
                <w:bCs w:val="0"/>
                <w:color w:val="000000" w:themeColor="text1"/>
                <w:sz w:val="20"/>
                <w:szCs w:val="20"/>
              </w:rPr>
            </w:pPr>
            <w:r w:rsidRPr="00BD2528">
              <w:rPr>
                <w:rFonts w:ascii="Palatino Linotype" w:hAnsi="Palatino Linotype"/>
                <w:color w:val="000000" w:themeColor="text1"/>
                <w:sz w:val="20"/>
                <w:szCs w:val="20"/>
              </w:rPr>
              <w:t>SoCalGas</w:t>
            </w:r>
            <w:r w:rsidRPr="00BD2528">
              <w:rPr>
                <w:rFonts w:ascii="Palatino Linotype" w:hAnsi="Palatino Linotype" w:eastAsia="Palatino Linotype" w:cs="Times New Roman"/>
                <w:color w:val="000000" w:themeColor="text1"/>
                <w:sz w:val="20"/>
                <w:szCs w:val="20"/>
              </w:rPr>
              <w:t xml:space="preserve"> proposes to allocate ten percent of its annual total budget to administrative costs, amounting to $1,838,900 in its 2025 Plan, and delineates these costs by allowable cost categories.</w:t>
            </w:r>
            <w:r w:rsidRPr="00BD2528">
              <w:rPr>
                <w:rStyle w:val="FootnoteReference"/>
                <w:rFonts w:ascii="Palatino Linotype" w:hAnsi="Palatino Linotype" w:eastAsia="Palatino Linotype" w:cs="Times New Roman"/>
                <w:color w:val="000000" w:themeColor="text1"/>
                <w:sz w:val="20"/>
                <w:szCs w:val="20"/>
              </w:rPr>
              <w:footnoteReference w:id="307"/>
            </w:r>
            <w:r w:rsidRPr="00BD2528">
              <w:rPr>
                <w:rFonts w:ascii="Palatino Linotype" w:hAnsi="Palatino Linotype" w:eastAsia="Palatino Linotype" w:cs="Times New Roman"/>
                <w:color w:val="000000" w:themeColor="text1"/>
                <w:sz w:val="20"/>
                <w:szCs w:val="20"/>
              </w:rPr>
              <w:t xml:space="preserve"> </w:t>
            </w:r>
            <w:r w:rsidRPr="00BD2528">
              <w:rPr>
                <w:rFonts w:ascii="Palatino Linotype" w:hAnsi="Palatino Linotype"/>
                <w:color w:val="000000" w:themeColor="text1"/>
                <w:sz w:val="20"/>
                <w:szCs w:val="20"/>
              </w:rPr>
              <w:t>SoCalGas</w:t>
            </w:r>
            <w:r w:rsidRPr="00BD2528">
              <w:rPr>
                <w:rFonts w:ascii="Palatino Linotype" w:hAnsi="Palatino Linotype" w:eastAsia="Palatino Linotype" w:cs="Times New Roman"/>
                <w:color w:val="000000" w:themeColor="text1"/>
                <w:sz w:val="20"/>
                <w:szCs w:val="20"/>
              </w:rPr>
              <w:t xml:space="preserve"> states that membership dues for consortia are captured in administrative costs per guidance from Energy Division.</w:t>
            </w:r>
            <w:r w:rsidRPr="00BD2528">
              <w:rPr>
                <w:rStyle w:val="FootnoteReference"/>
                <w:rFonts w:ascii="Palatino Linotype" w:hAnsi="Palatino Linotype" w:eastAsia="Palatino Linotype" w:cs="Times New Roman"/>
                <w:color w:val="000000" w:themeColor="text1"/>
                <w:sz w:val="20"/>
                <w:szCs w:val="20"/>
              </w:rPr>
              <w:footnoteReference w:id="308"/>
            </w:r>
          </w:p>
          <w:p w:rsidRPr="00BD2528" w:rsidR="00C05FB0" w:rsidRDefault="00C05FB0" w14:paraId="4521990B" w14:textId="77777777">
            <w:pPr>
              <w:spacing w:before="240"/>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SoCalGas details how its proposed administrative costs are for developing and maintaining its Gas RD&amp;D Program, whereas the administrative portion of a project lifecycle are charged as direct project costs.</w:t>
            </w:r>
            <w:r w:rsidRPr="00BD2528">
              <w:rPr>
                <w:rStyle w:val="FootnoteReference"/>
                <w:rFonts w:ascii="Palatino Linotype" w:hAnsi="Palatino Linotype"/>
                <w:color w:val="000000" w:themeColor="text1"/>
                <w:sz w:val="20"/>
                <w:szCs w:val="20"/>
              </w:rPr>
              <w:footnoteReference w:id="309"/>
            </w:r>
          </w:p>
        </w:tc>
        <w:tc>
          <w:tcPr>
            <w:tcW w:w="3600" w:type="dxa"/>
          </w:tcPr>
          <w:p w:rsidRPr="00BD2528" w:rsidR="00C05FB0" w:rsidRDefault="00C05FB0" w14:paraId="34F914B0" w14:textId="77777777">
            <w:pPr>
              <w:rPr>
                <w:rFonts w:ascii="Palatino Linotype" w:hAnsi="Palatino Linotype"/>
                <w:bCs w:val="0"/>
                <w:color w:val="808080" w:themeColor="background1" w:themeShade="80"/>
                <w:sz w:val="20"/>
                <w:szCs w:val="20"/>
              </w:rPr>
            </w:pPr>
            <w:r w:rsidRPr="00BD2528">
              <w:rPr>
                <w:rFonts w:ascii="Palatino Linotype" w:hAnsi="Palatino Linotype"/>
                <w:color w:val="000000" w:themeColor="text1"/>
                <w:sz w:val="20"/>
                <w:szCs w:val="20"/>
              </w:rPr>
              <w:t xml:space="preserve">SoCalGas provides </w:t>
            </w:r>
            <w:proofErr w:type="gramStart"/>
            <w:r w:rsidRPr="00BD2528">
              <w:rPr>
                <w:rFonts w:ascii="Palatino Linotype" w:hAnsi="Palatino Linotype"/>
                <w:color w:val="000000" w:themeColor="text1"/>
                <w:sz w:val="20"/>
                <w:szCs w:val="20"/>
              </w:rPr>
              <w:t>detail</w:t>
            </w:r>
            <w:proofErr w:type="gramEnd"/>
            <w:r w:rsidRPr="00BD2528">
              <w:rPr>
                <w:rFonts w:ascii="Palatino Linotype" w:hAnsi="Palatino Linotype"/>
                <w:color w:val="000000" w:themeColor="text1"/>
                <w:sz w:val="20"/>
                <w:szCs w:val="20"/>
              </w:rPr>
              <w:t xml:space="preserve"> about its administrative budget using allowable cost categories. </w:t>
            </w:r>
            <w:r w:rsidRPr="00BD2528">
              <w:rPr>
                <w:rFonts w:ascii="Palatino Linotype" w:hAnsi="Palatino Linotype"/>
                <w:b/>
                <w:color w:val="000000" w:themeColor="text1"/>
                <w:sz w:val="20"/>
                <w:szCs w:val="20"/>
              </w:rPr>
              <w:t>SoCalGas is compliant with this requirement.</w:t>
            </w:r>
          </w:p>
        </w:tc>
      </w:tr>
      <w:tr w:rsidRPr="00BD2528" w:rsidR="00C05FB0" w14:paraId="1E1870D6" w14:textId="77777777">
        <w:trPr>
          <w:trHeight w:val="638"/>
          <w:tblHeader/>
        </w:trPr>
        <w:tc>
          <w:tcPr>
            <w:tcW w:w="3744" w:type="dxa"/>
          </w:tcPr>
          <w:p w:rsidRPr="00BD2528" w:rsidR="00C05FB0" w:rsidRDefault="00C05FB0" w14:paraId="2EE5131E" w14:textId="77777777">
            <w:r w:rsidRPr="00BD2528">
              <w:rPr>
                <w:rFonts w:ascii="Palatino Linotype" w:hAnsi="Palatino Linotype"/>
                <w:b/>
                <w:sz w:val="20"/>
                <w:szCs w:val="20"/>
              </w:rPr>
              <w:t>[13]</w:t>
            </w:r>
            <w:r w:rsidRPr="00BD2528">
              <w:rPr>
                <w:rFonts w:ascii="Palatino Linotype" w:hAnsi="Palatino Linotype"/>
                <w:sz w:val="20"/>
                <w:szCs w:val="20"/>
              </w:rPr>
              <w:t xml:space="preserve"> </w:t>
            </w:r>
            <w:hyperlink w:history="1" r:id="rId101">
              <w:r w:rsidRPr="00BD2528">
                <w:rPr>
                  <w:rStyle w:val="Hyperlink"/>
                  <w:rFonts w:ascii="Palatino Linotype" w:hAnsi="Palatino Linotype"/>
                  <w:sz w:val="20"/>
                  <w:szCs w:val="20"/>
                </w:rPr>
                <w:t>Resolution G-3586</w:t>
              </w:r>
            </w:hyperlink>
            <w:r w:rsidRPr="00BD2528">
              <w:rPr>
                <w:rFonts w:ascii="Palatino Linotype" w:hAnsi="Palatino Linotype"/>
                <w:sz w:val="20"/>
                <w:szCs w:val="20"/>
              </w:rPr>
              <w:t xml:space="preserve"> (2022) at OP 5. </w:t>
            </w:r>
            <w:r w:rsidRPr="00BD2528">
              <w:rPr>
                <w:rFonts w:ascii="Palatino Linotype" w:hAnsi="Palatino Linotype"/>
                <w:i/>
                <w:iCs/>
                <w:sz w:val="20"/>
                <w:szCs w:val="20"/>
              </w:rPr>
              <w:t>In subsequent Research Plans, SoCalGas shall: Provide detail quantifying research funding allocations by research consortium, as well as project costs related to each consortium.</w:t>
            </w:r>
          </w:p>
        </w:tc>
        <w:tc>
          <w:tcPr>
            <w:tcW w:w="6912" w:type="dxa"/>
          </w:tcPr>
          <w:p w:rsidRPr="00BD2528" w:rsidR="00C05FB0" w:rsidRDefault="00C05FB0" w14:paraId="251B3360"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states it is “a member of three subscription-based organizations: Northeast Gas Association (NGA)/NYSEARCH, Operations Technology Development (OTD), and Pipeline Research Council International (PRCI). See Section 5 for more information on the consortia and their project selection processes.” SoCalGas lists funds for 2025 Membership Dues ($997,816), including Membership ($165,692) and Available for Projects ($832,124). SoCalGas also lists projects by consortium with Total SoCalGas Costs and Total Project Costs.</w:t>
            </w:r>
            <w:r w:rsidRPr="00BD2528">
              <w:rPr>
                <w:rStyle w:val="FootnoteReference"/>
                <w:rFonts w:ascii="Palatino Linotype" w:hAnsi="Palatino Linotype"/>
                <w:color w:val="000000" w:themeColor="text1"/>
                <w:sz w:val="20"/>
                <w:szCs w:val="20"/>
              </w:rPr>
              <w:footnoteReference w:id="310"/>
            </w:r>
          </w:p>
        </w:tc>
        <w:tc>
          <w:tcPr>
            <w:tcW w:w="3600" w:type="dxa"/>
          </w:tcPr>
          <w:p w:rsidRPr="00BD2528" w:rsidR="00C05FB0" w:rsidRDefault="00C05FB0" w14:paraId="1F8EBCAC"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 xml:space="preserve">SoCalGas details research funding allocations by research consortium and project costs related to each consortium. </w:t>
            </w:r>
            <w:r w:rsidRPr="00BD2528">
              <w:rPr>
                <w:rFonts w:ascii="Palatino Linotype" w:hAnsi="Palatino Linotype"/>
                <w:b/>
                <w:color w:val="000000" w:themeColor="text1"/>
                <w:sz w:val="20"/>
                <w:szCs w:val="20"/>
              </w:rPr>
              <w:t>SoCalGas is compliant with this requirement.</w:t>
            </w:r>
          </w:p>
          <w:p w:rsidRPr="00BD2528" w:rsidR="00C05FB0" w:rsidRDefault="00C05FB0" w14:paraId="41E8E14F" w14:textId="77777777">
            <w:pPr>
              <w:rPr>
                <w:rFonts w:ascii="Palatino Linotype" w:hAnsi="Palatino Linotype"/>
                <w:bCs w:val="0"/>
                <w:color w:val="A6A6A6" w:themeColor="background1" w:themeShade="A6"/>
                <w:sz w:val="20"/>
                <w:szCs w:val="20"/>
              </w:rPr>
            </w:pPr>
          </w:p>
        </w:tc>
      </w:tr>
      <w:tr w:rsidRPr="00BD2528" w:rsidR="00C05FB0" w14:paraId="103D469A" w14:textId="77777777">
        <w:trPr>
          <w:trHeight w:val="638"/>
          <w:tblHeader/>
        </w:trPr>
        <w:tc>
          <w:tcPr>
            <w:tcW w:w="3744" w:type="dxa"/>
          </w:tcPr>
          <w:p w:rsidRPr="00BD2528" w:rsidR="00C05FB0" w:rsidRDefault="00C05FB0" w14:paraId="2AAD931E" w14:textId="77777777">
            <w:r w:rsidRPr="00BD2528">
              <w:rPr>
                <w:rFonts w:ascii="Palatino Linotype" w:hAnsi="Palatino Linotype"/>
                <w:b/>
                <w:sz w:val="20"/>
                <w:szCs w:val="20"/>
              </w:rPr>
              <w:lastRenderedPageBreak/>
              <w:t xml:space="preserve">[14] </w:t>
            </w:r>
            <w:hyperlink w:tgtFrame="_blank" w:history="1" r:id="rId102">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5. </w:t>
            </w:r>
            <w:proofErr w:type="gramStart"/>
            <w:r w:rsidRPr="00BD2528">
              <w:rPr>
                <w:rFonts w:ascii="Palatino Linotype" w:hAnsi="Palatino Linotype"/>
                <w:i/>
                <w:iCs/>
                <w:sz w:val="20"/>
                <w:szCs w:val="20"/>
              </w:rPr>
              <w:t>All of</w:t>
            </w:r>
            <w:proofErr w:type="gramEnd"/>
            <w:r w:rsidRPr="00BD2528">
              <w:rPr>
                <w:rFonts w:ascii="Palatino Linotype" w:hAnsi="Palatino Linotype"/>
                <w:i/>
                <w:iCs/>
                <w:sz w:val="20"/>
                <w:szCs w:val="20"/>
              </w:rPr>
              <w:t xml:space="preserve"> Southern California Gas Company’s new and future [RD&amp;D] projects shall occur in the State of California. The only exception may be made for projects with out-of-state federal labs. In this case, SoCalGas shall explicitly justify benefits to its gas ratepayers of an out-of-state project in its Tier 3 Advice Letter annual plan.</w:t>
            </w:r>
          </w:p>
        </w:tc>
        <w:tc>
          <w:tcPr>
            <w:tcW w:w="6912" w:type="dxa"/>
          </w:tcPr>
          <w:p w:rsidRPr="00BD2528" w:rsidR="00C05FB0" w:rsidRDefault="00C05FB0" w14:paraId="5FF1A36A"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SoCalGas states that it “includes a step in its project selection process to validate a project’s location in California. In addition, SoCalGas hosts demonstrations of new technologies within the state of California, bringing outside investment into California and supporting local economies.”</w:t>
            </w:r>
            <w:r w:rsidRPr="00BD2528">
              <w:rPr>
                <w:rStyle w:val="FootnoteReference"/>
                <w:rFonts w:ascii="Palatino Linotype" w:hAnsi="Palatino Linotype"/>
                <w:color w:val="000000" w:themeColor="text1"/>
                <w:sz w:val="20"/>
                <w:szCs w:val="20"/>
              </w:rPr>
              <w:footnoteReference w:id="311"/>
            </w:r>
          </w:p>
        </w:tc>
        <w:tc>
          <w:tcPr>
            <w:tcW w:w="3600" w:type="dxa"/>
          </w:tcPr>
          <w:p w:rsidRPr="00BD2528" w:rsidR="00C05FB0" w:rsidRDefault="00C05FB0" w14:paraId="5416F837"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 xml:space="preserve">SoCalGas demonstrates that all projects will take place in the State of California </w:t>
            </w:r>
            <w:r w:rsidRPr="00BD2528">
              <w:rPr>
                <w:rFonts w:ascii="Palatino Linotype" w:hAnsi="Palatino Linotype" w:eastAsia="Palatino Linotype" w:cs="Palatino Linotype"/>
                <w:color w:val="000000" w:themeColor="text1"/>
                <w:sz w:val="20"/>
                <w:szCs w:val="20"/>
              </w:rPr>
              <w:t>and describes general benefits from consortia projects</w:t>
            </w:r>
            <w:r w:rsidRPr="00BD2528">
              <w:rPr>
                <w:rFonts w:ascii="Palatino Linotype" w:hAnsi="Palatino Linotype"/>
                <w:color w:val="000000" w:themeColor="text1"/>
                <w:sz w:val="20"/>
                <w:szCs w:val="20"/>
              </w:rPr>
              <w:t>.</w:t>
            </w:r>
            <w:r w:rsidRPr="00BD2528">
              <w:rPr>
                <w:rFonts w:ascii="Palatino Linotype" w:hAnsi="Palatino Linotype"/>
                <w:b/>
                <w:color w:val="000000" w:themeColor="text1"/>
                <w:sz w:val="20"/>
                <w:szCs w:val="20"/>
              </w:rPr>
              <w:t xml:space="preserve"> SoCalGas is compliant with this requirement.</w:t>
            </w:r>
          </w:p>
        </w:tc>
      </w:tr>
      <w:tr w:rsidRPr="00BD2528" w:rsidR="00C05FB0" w14:paraId="70C1C609" w14:textId="77777777">
        <w:trPr>
          <w:trHeight w:val="638"/>
          <w:tblHeader/>
        </w:trPr>
        <w:tc>
          <w:tcPr>
            <w:tcW w:w="3744" w:type="dxa"/>
          </w:tcPr>
          <w:p w:rsidRPr="00BD2528" w:rsidR="00C05FB0" w:rsidRDefault="00C05FB0" w14:paraId="19CA35A6" w14:textId="77777777">
            <w:pPr>
              <w:rPr>
                <w:rFonts w:ascii="Palatino Linotype" w:hAnsi="Palatino Linotype"/>
                <w:i/>
                <w:iCs/>
                <w:sz w:val="20"/>
                <w:szCs w:val="20"/>
              </w:rPr>
            </w:pPr>
            <w:r w:rsidRPr="00BD2528">
              <w:rPr>
                <w:rFonts w:ascii="Palatino Linotype" w:hAnsi="Palatino Linotype"/>
                <w:b/>
                <w:sz w:val="20"/>
                <w:szCs w:val="20"/>
              </w:rPr>
              <w:lastRenderedPageBreak/>
              <w:t xml:space="preserve">[15] </w:t>
            </w:r>
            <w:hyperlink r:id="rId103">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In its 2024 Gas [RD&amp;D] Plan and beyond, [SoCalGas] shall: Meet with Energy Division at least six weeks ahead of submitting its annual RD&amp;D Plan to present its proposed Plan and incorporate Energy Division feedback. At that time SoCalGas’ proposed Plan should reflect input from RD&amp;D administrator coordination and broad stakeholders including the research and ESJ communities.</w:t>
            </w:r>
          </w:p>
          <w:p w:rsidRPr="00BD2528" w:rsidR="00C05FB0" w:rsidRDefault="00C05FB0" w14:paraId="7D78E184" w14:textId="77777777">
            <w:pPr>
              <w:rPr>
                <w:rFonts w:ascii="Palatino Linotype" w:hAnsi="Palatino Linotype"/>
                <w:i/>
                <w:iCs/>
                <w:color w:val="000000" w:themeColor="text1"/>
                <w:sz w:val="20"/>
                <w:szCs w:val="20"/>
              </w:rPr>
            </w:pPr>
          </w:p>
          <w:p w:rsidRPr="00BD2528" w:rsidR="00C05FB0" w:rsidRDefault="00C05FB0" w14:paraId="21707858" w14:textId="77777777">
            <w:r w:rsidRPr="00BD2528">
              <w:rPr>
                <w:rStyle w:val="normaltextrun"/>
                <w:rFonts w:ascii="Palatino Linotype" w:hAnsi="Palatino Linotype"/>
                <w:color w:val="000000" w:themeColor="text1"/>
                <w:sz w:val="20"/>
                <w:szCs w:val="20"/>
                <w:shd w:val="clear" w:color="auto" w:fill="FFFFFF"/>
              </w:rPr>
              <w:t xml:space="preserve">See also: </w:t>
            </w:r>
            <w:r w:rsidRPr="00BD2528">
              <w:rPr>
                <w:rFonts w:ascii="Palatino Linotype" w:hAnsi="Palatino Linotype"/>
                <w:color w:val="000000" w:themeColor="text1"/>
                <w:sz w:val="20"/>
                <w:szCs w:val="20"/>
                <w:shd w:val="clear" w:color="auto" w:fill="FFFFFF"/>
              </w:rPr>
              <w:t xml:space="preserve">[6] on ratepayer benefit; </w:t>
            </w:r>
            <w:r w:rsidRPr="00BD2528">
              <w:rPr>
                <w:rStyle w:val="normaltextrun"/>
                <w:rFonts w:ascii="Palatino Linotype" w:hAnsi="Palatino Linotype"/>
                <w:color w:val="000000" w:themeColor="text1"/>
                <w:sz w:val="20"/>
                <w:szCs w:val="20"/>
                <w:shd w:val="clear" w:color="auto" w:fill="FFFFFF"/>
              </w:rPr>
              <w:t>[18] on integration of public stakeholder feedback; and [23] for gas RD&amp;D administrator coordination.</w:t>
            </w:r>
            <w:r w:rsidRPr="00BD2528">
              <w:rPr>
                <w:rStyle w:val="normaltextrun"/>
                <w:rFonts w:ascii="Times New Roman" w:hAnsi="Times New Roman" w:cs="Times New Roman"/>
                <w:color w:val="000000" w:themeColor="text1"/>
                <w:sz w:val="20"/>
                <w:szCs w:val="20"/>
                <w:shd w:val="clear" w:color="auto" w:fill="FFFFFF"/>
              </w:rPr>
              <w:t> </w:t>
            </w:r>
          </w:p>
        </w:tc>
        <w:tc>
          <w:tcPr>
            <w:tcW w:w="6912" w:type="dxa"/>
          </w:tcPr>
          <w:p w:rsidRPr="00BD2528" w:rsidR="00C05FB0" w:rsidRDefault="00C05FB0" w14:paraId="72C59751"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discusses feedback received from Energy Division for each Initiative,</w:t>
            </w:r>
            <w:r w:rsidRPr="00BD2528">
              <w:rPr>
                <w:rStyle w:val="FootnoteReference"/>
                <w:rFonts w:ascii="Palatino Linotype" w:hAnsi="Palatino Linotype"/>
                <w:color w:val="000000" w:themeColor="text1"/>
                <w:sz w:val="20"/>
                <w:szCs w:val="20"/>
              </w:rPr>
              <w:footnoteReference w:id="312"/>
            </w:r>
            <w:r w:rsidRPr="00BD2528">
              <w:rPr>
                <w:rFonts w:ascii="Palatino Linotype" w:hAnsi="Palatino Linotype"/>
                <w:color w:val="000000" w:themeColor="text1"/>
                <w:sz w:val="20"/>
                <w:szCs w:val="20"/>
              </w:rPr>
              <w:t xml:space="preserve"> including Section 4.1: Summary of Research Plan Development with incorporation of stakeholder feedback.</w:t>
            </w:r>
            <w:r w:rsidRPr="00BD2528">
              <w:rPr>
                <w:rStyle w:val="FootnoteReference"/>
                <w:rFonts w:ascii="Palatino Linotype" w:hAnsi="Palatino Linotype"/>
                <w:color w:val="000000" w:themeColor="text1"/>
                <w:sz w:val="20"/>
                <w:szCs w:val="20"/>
              </w:rPr>
              <w:footnoteReference w:id="313"/>
            </w:r>
            <w:r w:rsidRPr="00BD2528">
              <w:rPr>
                <w:rFonts w:ascii="Palatino Linotype" w:hAnsi="Palatino Linotype"/>
                <w:color w:val="000000" w:themeColor="text1"/>
                <w:sz w:val="20"/>
                <w:szCs w:val="20"/>
              </w:rPr>
              <w:t xml:space="preserve"> SoCalGas states that on March 27, 2025, and May 8, 2025, SoCalGas presented its proposed Plan to Energy Division staff, incorporating feedback from both the CPUC and stakeholders,</w:t>
            </w:r>
            <w:r w:rsidRPr="00BD2528">
              <w:rPr>
                <w:rStyle w:val="FootnoteReference"/>
                <w:rFonts w:ascii="Palatino Linotype" w:hAnsi="Palatino Linotype"/>
                <w:color w:val="000000" w:themeColor="text1"/>
                <w:sz w:val="20"/>
                <w:szCs w:val="20"/>
              </w:rPr>
              <w:footnoteReference w:id="314"/>
            </w:r>
            <w:r w:rsidRPr="00BD2528">
              <w:rPr>
                <w:rFonts w:ascii="Palatino Linotype" w:hAnsi="Palatino Linotype"/>
                <w:color w:val="000000" w:themeColor="text1"/>
                <w:sz w:val="20"/>
                <w:szCs w:val="20"/>
              </w:rPr>
              <w:t xml:space="preserve"> and details its specific CPUC SME engagement schedule from November 2024 to March 2026.</w:t>
            </w:r>
            <w:r w:rsidRPr="00BD2528">
              <w:rPr>
                <w:rStyle w:val="FootnoteReference"/>
                <w:rFonts w:ascii="Palatino Linotype" w:hAnsi="Palatino Linotype"/>
                <w:color w:val="000000" w:themeColor="text1"/>
                <w:sz w:val="20"/>
                <w:szCs w:val="20"/>
              </w:rPr>
              <w:footnoteReference w:id="315"/>
            </w:r>
            <w:r w:rsidRPr="00BD2528">
              <w:rPr>
                <w:rFonts w:ascii="Palatino Linotype" w:hAnsi="Palatino Linotype"/>
                <w:color w:val="000000" w:themeColor="text1"/>
                <w:sz w:val="20"/>
                <w:szCs w:val="20"/>
              </w:rPr>
              <w:t> </w:t>
            </w:r>
          </w:p>
          <w:p w:rsidRPr="00BD2528" w:rsidR="00C05FB0" w:rsidRDefault="00C05FB0" w14:paraId="214AE5FB" w14:textId="77777777">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divides its proposed Initiatives into two key investment themes consistent across Gas RD&amp;D administrators</w:t>
            </w:r>
            <w:r w:rsidRPr="00BD2528">
              <w:rPr>
                <w:rStyle w:val="FootnoteReference"/>
                <w:rFonts w:ascii="Palatino Linotype" w:hAnsi="Palatino Linotype"/>
                <w:color w:val="000000" w:themeColor="text1"/>
                <w:sz w:val="20"/>
                <w:szCs w:val="20"/>
              </w:rPr>
              <w:footnoteReference w:id="316"/>
            </w:r>
            <w:r w:rsidRPr="00BD2528">
              <w:rPr>
                <w:rFonts w:ascii="Palatino Linotype" w:hAnsi="Palatino Linotype"/>
                <w:color w:val="000000" w:themeColor="text1"/>
                <w:sz w:val="20"/>
                <w:szCs w:val="20"/>
              </w:rPr>
              <w:t> and correlates each Initiative with key CPUC policies and proceedings and associated gaps in each area per Commission guidance.</w:t>
            </w:r>
            <w:r w:rsidRPr="00BD2528">
              <w:rPr>
                <w:rStyle w:val="FootnoteReference"/>
                <w:rFonts w:ascii="Palatino Linotype" w:hAnsi="Palatino Linotype"/>
                <w:color w:val="000000" w:themeColor="text1"/>
                <w:sz w:val="20"/>
                <w:szCs w:val="20"/>
              </w:rPr>
              <w:footnoteReference w:id="317"/>
            </w:r>
            <w:r w:rsidRPr="00BD2528">
              <w:rPr>
                <w:rFonts w:ascii="Palatino Linotype" w:hAnsi="Palatino Linotype"/>
                <w:color w:val="000000" w:themeColor="text1"/>
                <w:sz w:val="20"/>
                <w:szCs w:val="20"/>
              </w:rPr>
              <w:t> SoCalGas states that it incorporated feedback from Commission staff in developing initiatives and identifying areas of focus for future research activities.</w:t>
            </w:r>
            <w:r w:rsidRPr="00BD2528">
              <w:rPr>
                <w:rStyle w:val="FootnoteReference"/>
                <w:rFonts w:ascii="Palatino Linotype" w:hAnsi="Palatino Linotype"/>
                <w:color w:val="000000" w:themeColor="text1"/>
                <w:sz w:val="20"/>
                <w:szCs w:val="20"/>
              </w:rPr>
              <w:footnoteReference w:id="318"/>
            </w:r>
            <w:r w:rsidRPr="00BD2528">
              <w:rPr>
                <w:rFonts w:ascii="Palatino Linotype" w:hAnsi="Palatino Linotype"/>
                <w:color w:val="000000" w:themeColor="text1"/>
                <w:sz w:val="20"/>
                <w:szCs w:val="20"/>
              </w:rPr>
              <w:t> SoCalGas reports that Energy Division staff provided the following initiative-level feedback/recommendations: </w:t>
            </w:r>
          </w:p>
          <w:p w:rsidRPr="00BD2528" w:rsidR="00C05FB0" w:rsidP="00C05FB0" w:rsidRDefault="00C05FB0" w14:paraId="516582DC" w14:textId="77777777">
            <w:pPr>
              <w:pStyle w:val="ListParagraph"/>
              <w:numPr>
                <w:ilvl w:val="0"/>
                <w:numId w:val="6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System Inspection and Monitoring</w:t>
            </w:r>
            <w:r w:rsidRPr="00BD2528">
              <w:rPr>
                <w:rFonts w:ascii="Palatino Linotype" w:hAnsi="Palatino Linotype"/>
                <w:color w:val="000000" w:themeColor="text1"/>
                <w:sz w:val="20"/>
                <w:szCs w:val="20"/>
              </w:rPr>
              <w:t>: Clarify which operating group this initiative supports, to which SoCalGas responded all three (transmission, storage, and distribution).</w:t>
            </w:r>
            <w:r w:rsidRPr="00BD2528">
              <w:rPr>
                <w:rStyle w:val="FootnoteReference"/>
                <w:rFonts w:ascii="Palatino Linotype" w:hAnsi="Palatino Linotype"/>
                <w:color w:val="000000" w:themeColor="text1"/>
                <w:sz w:val="20"/>
                <w:szCs w:val="20"/>
              </w:rPr>
              <w:footnoteReference w:id="319"/>
            </w:r>
          </w:p>
          <w:p w:rsidRPr="00BD2528" w:rsidR="00C05FB0" w:rsidP="00C05FB0" w:rsidRDefault="00C05FB0" w14:paraId="3E59FFFF" w14:textId="77777777">
            <w:pPr>
              <w:pStyle w:val="ListParagraph"/>
              <w:numPr>
                <w:ilvl w:val="0"/>
                <w:numId w:val="6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RNG Infrastructure Optimization</w:t>
            </w:r>
            <w:r w:rsidRPr="00BD2528">
              <w:rPr>
                <w:rFonts w:ascii="Palatino Linotype" w:hAnsi="Palatino Linotype"/>
                <w:color w:val="000000" w:themeColor="text1"/>
                <w:sz w:val="20"/>
                <w:szCs w:val="20"/>
              </w:rPr>
              <w:t xml:space="preserve"> &amp; </w:t>
            </w:r>
            <w:r w:rsidRPr="00BD2528">
              <w:rPr>
                <w:rFonts w:ascii="Palatino Linotype" w:hAnsi="Palatino Linotype"/>
                <w:color w:val="000000" w:themeColor="text1"/>
                <w:sz w:val="20"/>
                <w:szCs w:val="20"/>
                <w:u w:val="single"/>
              </w:rPr>
              <w:t>Low-Carbon Fuel Technologies</w:t>
            </w:r>
            <w:r w:rsidRPr="00BD2528">
              <w:rPr>
                <w:rFonts w:ascii="Palatino Linotype" w:hAnsi="Palatino Linotype"/>
                <w:color w:val="000000" w:themeColor="text1"/>
                <w:sz w:val="20"/>
                <w:szCs w:val="20"/>
              </w:rPr>
              <w:t>: “Demonstrate coordination with stakeholders and other administrators in targeting solutions to reduce costs including interconnections, and capital expenses using different technologies.” SoCalGas states that “[t]his is addressed in the initiative description and potential metrics.”</w:t>
            </w:r>
            <w:r w:rsidRPr="00BD2528">
              <w:rPr>
                <w:rStyle w:val="FootnoteReference"/>
                <w:rFonts w:ascii="Palatino Linotype" w:hAnsi="Palatino Linotype"/>
                <w:color w:val="000000" w:themeColor="text1"/>
                <w:sz w:val="20"/>
                <w:szCs w:val="20"/>
              </w:rPr>
              <w:footnoteReference w:id="320"/>
            </w:r>
          </w:p>
        </w:tc>
        <w:tc>
          <w:tcPr>
            <w:tcW w:w="3600" w:type="dxa"/>
          </w:tcPr>
          <w:p w:rsidRPr="00BD2528" w:rsidR="00C05FB0" w:rsidRDefault="00C05FB0" w14:paraId="1DBEBDD1" w14:textId="77777777">
            <w:pPr>
              <w:rPr>
                <w:rFonts w:ascii="Palatino Linotype" w:hAnsi="Palatino Linotype"/>
                <w:b/>
                <w:bCs w:val="0"/>
                <w:color w:val="000000" w:themeColor="text1"/>
                <w:sz w:val="20"/>
                <w:szCs w:val="20"/>
              </w:rPr>
            </w:pPr>
            <w:r w:rsidRPr="00BD2528">
              <w:rPr>
                <w:rFonts w:ascii="Palatino Linotype" w:hAnsi="Palatino Linotype"/>
                <w:color w:val="000000" w:themeColor="text1"/>
                <w:sz w:val="20"/>
                <w:szCs w:val="20"/>
              </w:rPr>
              <w:t>SoCalGas met with Energy Division in advance of submitting its 2025 Plan to seek and integrate feedback. Its Plan is consistent with Energy Division guidance, including by targeting lowering RNG interconnection cost in its Low-Carbon Fuels Technologies Initiative.</w:t>
            </w:r>
            <w:r w:rsidRPr="00BD2528">
              <w:rPr>
                <w:rStyle w:val="FootnoteReference"/>
                <w:rFonts w:ascii="Palatino Linotype" w:hAnsi="Palatino Linotype"/>
                <w:color w:val="000000" w:themeColor="text1"/>
                <w:sz w:val="20"/>
                <w:szCs w:val="20"/>
              </w:rPr>
              <w:footnoteReference w:id="321"/>
            </w:r>
            <w:r w:rsidRPr="00BD2528">
              <w:rPr>
                <w:rFonts w:ascii="Palatino Linotype" w:hAnsi="Palatino Linotype"/>
                <w:color w:val="000000" w:themeColor="text1"/>
                <w:sz w:val="20"/>
                <w:szCs w:val="20"/>
              </w:rPr>
              <w:t xml:space="preserve"> However, SoCalGas’ requests for hydrogen- and carbon capture-related RD&amp;D activities do not align with Energy Division feedback and Commission policy to align with CPUC proceedings and provide clear ratepayer benefit as discussed at [6]. </w:t>
            </w:r>
            <w:r w:rsidRPr="00BD2528">
              <w:rPr>
                <w:rFonts w:ascii="Palatino Linotype" w:hAnsi="Palatino Linotype"/>
                <w:b/>
                <w:color w:val="000000" w:themeColor="text1"/>
                <w:sz w:val="20"/>
                <w:szCs w:val="20"/>
              </w:rPr>
              <w:t xml:space="preserve">SoCalGas is </w:t>
            </w:r>
            <w:r w:rsidRPr="00BD2528">
              <w:rPr>
                <w:rFonts w:ascii="Palatino Linotype" w:hAnsi="Palatino Linotype"/>
                <w:b/>
                <w:i/>
                <w:iCs/>
                <w:color w:val="000000" w:themeColor="text1"/>
                <w:sz w:val="20"/>
                <w:szCs w:val="20"/>
              </w:rPr>
              <w:t>not</w:t>
            </w:r>
            <w:r w:rsidRPr="00BD2528">
              <w:rPr>
                <w:rFonts w:ascii="Palatino Linotype" w:hAnsi="Palatino Linotype"/>
                <w:b/>
                <w:color w:val="000000" w:themeColor="text1"/>
                <w:sz w:val="20"/>
                <w:szCs w:val="20"/>
              </w:rPr>
              <w:t xml:space="preserve"> compliant with this requirement.</w:t>
            </w:r>
          </w:p>
          <w:p w:rsidRPr="00BD2528" w:rsidR="00C05FB0" w:rsidRDefault="00C05FB0" w14:paraId="3984CF25" w14:textId="77777777">
            <w:pPr>
              <w:spacing w:before="240"/>
              <w:rPr>
                <w:rFonts w:ascii="Palatino Linotype" w:hAnsi="Palatino Linotype"/>
                <w:color w:val="000000" w:themeColor="text1"/>
                <w:sz w:val="20"/>
                <w:szCs w:val="20"/>
              </w:rPr>
            </w:pPr>
            <w:r w:rsidRPr="00BD2528">
              <w:rPr>
                <w:rFonts w:ascii="Palatino Linotype" w:hAnsi="Palatino Linotype"/>
                <w:color w:val="000000" w:themeColor="text1"/>
                <w:sz w:val="20"/>
                <w:szCs w:val="20"/>
              </w:rPr>
              <w:t>SoCalGas shall also make the following revisions to its 2025 Plan to provide greater clarity to align with requirements:</w:t>
            </w:r>
          </w:p>
          <w:p w:rsidRPr="00BD2528" w:rsidR="00C05FB0" w:rsidP="00C05FB0" w:rsidRDefault="00C05FB0" w14:paraId="370B9E93" w14:textId="77777777">
            <w:pPr>
              <w:pStyle w:val="ListParagraph"/>
              <w:numPr>
                <w:ilvl w:val="0"/>
                <w:numId w:val="53"/>
              </w:numPr>
              <w:rPr>
                <w:rFonts w:ascii="Palatino Linotype" w:hAnsi="Palatino Linotype"/>
                <w:color w:val="000000" w:themeColor="text1"/>
                <w:sz w:val="20"/>
                <w:szCs w:val="20"/>
              </w:rPr>
            </w:pPr>
            <w:r w:rsidRPr="00BD2528">
              <w:rPr>
                <w:rFonts w:ascii="Palatino Linotype" w:hAnsi="Palatino Linotype"/>
                <w:color w:val="000000" w:themeColor="text1"/>
                <w:sz w:val="20"/>
                <w:szCs w:val="20"/>
              </w:rPr>
              <w:t xml:space="preserve">Indicate the program area across the product development cycle detailed in Appendix D of this Resolution associated with each listed research topic for further clarity on anticipated outputs from Initiatives. </w:t>
            </w:r>
          </w:p>
          <w:p w:rsidRPr="00BD2528" w:rsidR="00C05FB0" w:rsidP="00C05FB0" w:rsidRDefault="00C05FB0" w14:paraId="53CF48F7" w14:textId="77777777">
            <w:pPr>
              <w:pStyle w:val="ListParagraph"/>
              <w:numPr>
                <w:ilvl w:val="0"/>
                <w:numId w:val="53"/>
              </w:numPr>
              <w:rPr>
                <w:rFonts w:ascii="Palatino Linotype" w:hAnsi="Palatino Linotype"/>
                <w:color w:val="000000" w:themeColor="text1"/>
                <w:sz w:val="20"/>
                <w:szCs w:val="20"/>
              </w:rPr>
            </w:pPr>
            <w:r w:rsidRPr="00BD2528">
              <w:rPr>
                <w:rFonts w:ascii="Palatino Linotype" w:hAnsi="Palatino Linotype"/>
                <w:color w:val="000000" w:themeColor="text1"/>
                <w:sz w:val="20"/>
                <w:szCs w:val="20"/>
              </w:rPr>
              <w:t xml:space="preserve">Identify which of the proposed future project areas are anticipated to be funded through consortia. </w:t>
            </w:r>
          </w:p>
          <w:p w:rsidRPr="00BD2528" w:rsidR="00C05FB0" w:rsidP="00C05FB0" w:rsidRDefault="00C05FB0" w14:paraId="522F0438" w14:textId="77777777">
            <w:pPr>
              <w:pStyle w:val="ListParagraph"/>
              <w:numPr>
                <w:ilvl w:val="0"/>
                <w:numId w:val="53"/>
              </w:numPr>
              <w:spacing w:before="240"/>
              <w:rPr>
                <w:rFonts w:ascii="Palatino Linotype" w:hAnsi="Palatino Linotype"/>
                <w:color w:val="000000" w:themeColor="text1"/>
                <w:sz w:val="20"/>
                <w:szCs w:val="20"/>
              </w:rPr>
            </w:pPr>
            <w:r w:rsidRPr="00BD2528">
              <w:rPr>
                <w:rFonts w:ascii="Palatino Linotype" w:hAnsi="Palatino Linotype" w:eastAsiaTheme="minorEastAsia"/>
                <w:color w:val="000000" w:themeColor="text1"/>
                <w:sz w:val="20"/>
                <w:szCs w:val="20"/>
              </w:rPr>
              <w:t xml:space="preserve">Prioritize zero-emission over low-emission technologies under its </w:t>
            </w:r>
            <w:r w:rsidRPr="00BD2528">
              <w:rPr>
                <w:rFonts w:ascii="Palatino Linotype" w:hAnsi="Palatino Linotype" w:eastAsiaTheme="minorEastAsia"/>
                <w:color w:val="000000" w:themeColor="text1"/>
                <w:sz w:val="20"/>
                <w:szCs w:val="20"/>
                <w:u w:val="single"/>
              </w:rPr>
              <w:lastRenderedPageBreak/>
              <w:t>Low-Carbon Fuel Technologies</w:t>
            </w:r>
            <w:r w:rsidRPr="00BD2528">
              <w:rPr>
                <w:rStyle w:val="FootnoteReference"/>
                <w:rFonts w:ascii="Palatino Linotype" w:hAnsi="Palatino Linotype" w:eastAsiaTheme="minorEastAsia"/>
                <w:color w:val="000000" w:themeColor="text1"/>
                <w:sz w:val="20"/>
                <w:szCs w:val="20"/>
              </w:rPr>
              <w:footnoteReference w:id="322"/>
            </w:r>
            <w:r w:rsidRPr="00BD2528">
              <w:rPr>
                <w:rFonts w:ascii="Palatino Linotype" w:hAnsi="Palatino Linotype" w:eastAsiaTheme="minorEastAsia"/>
                <w:color w:val="000000" w:themeColor="text1"/>
                <w:sz w:val="20"/>
                <w:szCs w:val="20"/>
              </w:rPr>
              <w:t xml:space="preserve"> and </w:t>
            </w:r>
            <w:r w:rsidRPr="00BD2528">
              <w:rPr>
                <w:rFonts w:ascii="Palatino Linotype" w:hAnsi="Palatino Linotype" w:eastAsiaTheme="minorEastAsia"/>
                <w:color w:val="000000" w:themeColor="text1"/>
                <w:sz w:val="20"/>
                <w:szCs w:val="20"/>
                <w:u w:val="single"/>
              </w:rPr>
              <w:t>Energy Reliability &amp; Resilience</w:t>
            </w:r>
            <w:r w:rsidRPr="00BD2528">
              <w:rPr>
                <w:rStyle w:val="FootnoteReference"/>
                <w:rFonts w:ascii="Palatino Linotype" w:hAnsi="Palatino Linotype" w:eastAsiaTheme="minorEastAsia"/>
                <w:color w:val="000000" w:themeColor="text1"/>
                <w:sz w:val="20"/>
                <w:szCs w:val="20"/>
              </w:rPr>
              <w:footnoteReference w:id="323"/>
            </w:r>
            <w:r w:rsidRPr="00BD2528">
              <w:rPr>
                <w:rFonts w:ascii="Palatino Linotype" w:hAnsi="Palatino Linotype" w:eastAsiaTheme="minorEastAsia"/>
                <w:color w:val="000000" w:themeColor="text1"/>
                <w:sz w:val="20"/>
                <w:szCs w:val="20"/>
              </w:rPr>
              <w:t xml:space="preserve"> Initiatives wherever possible. </w:t>
            </w:r>
          </w:p>
        </w:tc>
      </w:tr>
      <w:tr w:rsidRPr="00BD2528" w:rsidR="00C05FB0" w14:paraId="79F08FDD" w14:textId="77777777">
        <w:trPr>
          <w:trHeight w:val="638"/>
          <w:tblHeader/>
        </w:trPr>
        <w:tc>
          <w:tcPr>
            <w:tcW w:w="3744" w:type="dxa"/>
          </w:tcPr>
          <w:p w:rsidRPr="00BD2528" w:rsidR="00C05FB0" w:rsidRDefault="00C05FB0" w14:paraId="54D74479" w14:textId="77777777">
            <w:pPr>
              <w:rPr>
                <w:rFonts w:ascii="Palatino Linotype" w:hAnsi="Palatino Linotype"/>
                <w:i/>
                <w:iCs/>
                <w:color w:val="000000" w:themeColor="text1"/>
                <w:sz w:val="20"/>
                <w:szCs w:val="20"/>
              </w:rPr>
            </w:pPr>
            <w:r w:rsidRPr="00BD2528">
              <w:rPr>
                <w:rFonts w:ascii="Palatino Linotype" w:hAnsi="Palatino Linotype"/>
                <w:b/>
                <w:sz w:val="20"/>
                <w:szCs w:val="20"/>
              </w:rPr>
              <w:lastRenderedPageBreak/>
              <w:t xml:space="preserve">[16] </w:t>
            </w:r>
            <w:hyperlink w:tgtFrame="_blank" w:history="1" r:id="rId104">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 xml:space="preserve">In its 2024 Gas [RD&amp;D] Plan and beyond, [SoCalGas] shall: Explicitly justify how all consortia dues </w:t>
            </w:r>
            <w:r w:rsidRPr="00BD2528">
              <w:rPr>
                <w:rFonts w:ascii="Palatino Linotype" w:hAnsi="Palatino Linotype"/>
                <w:i/>
                <w:iCs/>
                <w:color w:val="000000" w:themeColor="text1"/>
                <w:sz w:val="20"/>
                <w:szCs w:val="20"/>
              </w:rPr>
              <w:t>benefit gas ratepayers.</w:t>
            </w:r>
          </w:p>
          <w:p w:rsidRPr="00BD2528" w:rsidR="00C05FB0" w:rsidRDefault="00C05FB0" w14:paraId="616AC3E0" w14:textId="77777777">
            <w:pPr>
              <w:pStyle w:val="paragraph"/>
              <w:spacing w:before="0" w:beforeAutospacing="0" w:after="0" w:afterAutospacing="0"/>
              <w:textAlignment w:val="baseline"/>
              <w:rPr>
                <w:rFonts w:ascii="Segoe UI" w:hAnsi="Segoe UI" w:cs="Segoe UI"/>
                <w:color w:val="000000" w:themeColor="text1"/>
                <w:sz w:val="18"/>
                <w:szCs w:val="18"/>
              </w:rPr>
            </w:pPr>
          </w:p>
          <w:p w:rsidRPr="00BD2528" w:rsidR="00C05FB0" w:rsidRDefault="00C05FB0" w14:paraId="57E9541F" w14:textId="77777777">
            <w:pPr>
              <w:pStyle w:val="paragraph"/>
              <w:spacing w:before="0" w:beforeAutospacing="0" w:after="0" w:afterAutospacing="0"/>
              <w:textAlignment w:val="baseline"/>
              <w:rPr>
                <w:rFonts w:ascii="Segoe UI" w:hAnsi="Segoe UI" w:cs="Segoe UI"/>
                <w:color w:val="000000" w:themeColor="text1"/>
                <w:sz w:val="18"/>
                <w:szCs w:val="18"/>
              </w:rPr>
            </w:pPr>
            <w:r w:rsidRPr="00BD2528">
              <w:rPr>
                <w:rStyle w:val="normaltextrun"/>
                <w:rFonts w:ascii="Palatino Linotype" w:hAnsi="Palatino Linotype" w:cs="Segoe UI"/>
                <w:color w:val="000000" w:themeColor="text1"/>
                <w:sz w:val="20"/>
                <w:szCs w:val="20"/>
              </w:rPr>
              <w:t>See also: [13] on consortia dues.</w:t>
            </w:r>
            <w:r w:rsidRPr="00BD2528">
              <w:rPr>
                <w:rStyle w:val="normaltextrun"/>
                <w:color w:val="000000" w:themeColor="text1"/>
                <w:sz w:val="20"/>
                <w:szCs w:val="20"/>
              </w:rPr>
              <w:t> </w:t>
            </w:r>
          </w:p>
          <w:p w:rsidRPr="00BD2528" w:rsidR="00C05FB0" w:rsidRDefault="00C05FB0" w14:paraId="2D4D0ABF" w14:textId="77777777"/>
        </w:tc>
        <w:tc>
          <w:tcPr>
            <w:tcW w:w="6912" w:type="dxa"/>
          </w:tcPr>
          <w:p w:rsidRPr="00BD2528" w:rsidR="00C05FB0" w:rsidRDefault="00C05FB0" w14:paraId="7FA200EC" w14:textId="77777777">
            <w:pPr>
              <w:rPr>
                <w:rFonts w:ascii="Palatino Linotype" w:hAnsi="Palatino Linotype"/>
                <w:bCs w:val="0"/>
                <w:color w:val="A6A6A6" w:themeColor="background1" w:themeShade="A6"/>
                <w:sz w:val="20"/>
                <w:szCs w:val="20"/>
              </w:rPr>
            </w:pPr>
            <w:r w:rsidRPr="00BD2528">
              <w:rPr>
                <w:rFonts w:ascii="Palatino Linotype" w:hAnsi="Palatino Linotype"/>
                <w:color w:val="000000" w:themeColor="text1"/>
                <w:sz w:val="20"/>
                <w:szCs w:val="20"/>
              </w:rPr>
              <w:t>SoCalGas states that “consortia serve member utilities by facilitating technical collaboration and pooling of financial and technical resources to collectively address ongoing or anticipated challenges in the gas industry” and that “[b]y working closely with these and other similar organizations, RD&amp;D staff can share knowledge, avoid needless duplication of work, and develop and execute impactful projects.”</w:t>
            </w:r>
            <w:r w:rsidRPr="00BD2528">
              <w:rPr>
                <w:rStyle w:val="FootnoteReference"/>
                <w:rFonts w:ascii="Palatino Linotype" w:hAnsi="Palatino Linotype"/>
                <w:color w:val="000000" w:themeColor="text1"/>
                <w:sz w:val="20"/>
                <w:szCs w:val="20"/>
              </w:rPr>
              <w:footnoteReference w:id="324"/>
            </w:r>
            <w:r w:rsidRPr="00BD2528">
              <w:rPr>
                <w:rFonts w:ascii="Palatino Linotype" w:hAnsi="Palatino Linotype"/>
                <w:color w:val="000000" w:themeColor="text1"/>
                <w:sz w:val="20"/>
                <w:szCs w:val="20"/>
              </w:rPr>
              <w:t xml:space="preserve"> SoCalGas details a project development process feedback loop for consortia-led projects “where ideas and project proposals are reviewed to see if they fulfill an identified gap, meet the needs of SoCalGas, and satisfy the criteria of Resolution G-3601.”</w:t>
            </w:r>
            <w:r w:rsidRPr="00BD2528">
              <w:rPr>
                <w:rStyle w:val="FootnoteReference"/>
                <w:rFonts w:ascii="Palatino Linotype" w:hAnsi="Palatino Linotype"/>
                <w:color w:val="000000" w:themeColor="text1"/>
                <w:sz w:val="20"/>
                <w:szCs w:val="20"/>
              </w:rPr>
              <w:footnoteReference w:id="325"/>
            </w:r>
            <w:r w:rsidRPr="00BD2528">
              <w:rPr>
                <w:rFonts w:ascii="Palatino Linotype" w:hAnsi="Palatino Linotype"/>
                <w:color w:val="000000" w:themeColor="text1"/>
                <w:sz w:val="20"/>
                <w:szCs w:val="20"/>
              </w:rPr>
              <w:t xml:space="preserve"> SoCalGas also includes a figure illustrating the distribution of projects by consortium delivering key ratepayer benefits: improved safety, reliability and affordability, increased operational efficiency, reduced GHG emissions, and improved local air quality.</w:t>
            </w:r>
            <w:r w:rsidRPr="00BD2528">
              <w:rPr>
                <w:rStyle w:val="FootnoteReference"/>
                <w:rFonts w:ascii="Palatino Linotype" w:hAnsi="Palatino Linotype"/>
                <w:color w:val="000000" w:themeColor="text1"/>
                <w:sz w:val="20"/>
                <w:szCs w:val="20"/>
              </w:rPr>
              <w:footnoteReference w:id="326"/>
            </w:r>
            <w:r w:rsidRPr="00BD2528">
              <w:rPr>
                <w:rFonts w:ascii="Palatino Linotype" w:hAnsi="Palatino Linotype"/>
                <w:color w:val="000000" w:themeColor="text1"/>
                <w:sz w:val="20"/>
                <w:szCs w:val="20"/>
              </w:rPr>
              <w:t xml:space="preserve">  In discussion with Energy Division staff, SoCalGas clarified that it is selective in which consortia projects it participates in and funds.</w:t>
            </w:r>
            <w:r w:rsidRPr="00BD2528">
              <w:rPr>
                <w:rStyle w:val="FootnoteReference"/>
                <w:rFonts w:ascii="Palatino Linotype" w:hAnsi="Palatino Linotype"/>
                <w:color w:val="000000" w:themeColor="text1"/>
                <w:sz w:val="20"/>
                <w:szCs w:val="20"/>
              </w:rPr>
              <w:footnoteReference w:id="327"/>
            </w:r>
            <w:r w:rsidRPr="00BD2528">
              <w:rPr>
                <w:rFonts w:ascii="Palatino Linotype" w:hAnsi="Palatino Linotype"/>
                <w:color w:val="000000" w:themeColor="text1"/>
                <w:sz w:val="20"/>
                <w:szCs w:val="20"/>
              </w:rPr>
              <w:t> </w:t>
            </w:r>
          </w:p>
        </w:tc>
        <w:tc>
          <w:tcPr>
            <w:tcW w:w="3600" w:type="dxa"/>
          </w:tcPr>
          <w:p w:rsidRPr="00BD2528" w:rsidR="00C05FB0" w:rsidRDefault="00C05FB0" w14:paraId="050A5F24"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justifies how all consortia dues benefit gas ratepayers. </w:t>
            </w:r>
            <w:r w:rsidRPr="00BD2528">
              <w:rPr>
                <w:rFonts w:ascii="Palatino Linotype" w:hAnsi="Palatino Linotype"/>
                <w:b/>
                <w:color w:val="000000" w:themeColor="text1"/>
                <w:sz w:val="20"/>
                <w:szCs w:val="20"/>
              </w:rPr>
              <w:t>SoCalGas is compliant with this requirement.</w:t>
            </w:r>
            <w:r w:rsidRPr="00BD2528">
              <w:rPr>
                <w:rFonts w:ascii="Palatino Linotype" w:hAnsi="Palatino Linotype"/>
                <w:color w:val="000000" w:themeColor="text1"/>
                <w:sz w:val="20"/>
                <w:szCs w:val="20"/>
              </w:rPr>
              <w:t> </w:t>
            </w:r>
          </w:p>
        </w:tc>
      </w:tr>
      <w:tr w:rsidRPr="00BD2528" w:rsidR="00C05FB0" w14:paraId="72ECE7DC" w14:textId="77777777">
        <w:trPr>
          <w:trHeight w:val="638"/>
          <w:tblHeader/>
        </w:trPr>
        <w:tc>
          <w:tcPr>
            <w:tcW w:w="3744" w:type="dxa"/>
          </w:tcPr>
          <w:p w:rsidRPr="00BD2528" w:rsidR="00C05FB0" w:rsidRDefault="00C05FB0" w14:paraId="1CCBFC6F" w14:textId="77777777">
            <w:pPr>
              <w:rPr>
                <w:rFonts w:ascii="Palatino Linotype" w:hAnsi="Palatino Linotype"/>
                <w:i/>
                <w:iCs/>
                <w:color w:val="000000" w:themeColor="text1"/>
                <w:sz w:val="20"/>
                <w:szCs w:val="20"/>
              </w:rPr>
            </w:pPr>
            <w:r w:rsidRPr="00BD2528">
              <w:rPr>
                <w:rFonts w:ascii="Palatino Linotype" w:hAnsi="Palatino Linotype"/>
                <w:b/>
                <w:sz w:val="20"/>
                <w:szCs w:val="20"/>
              </w:rPr>
              <w:t xml:space="preserve">[17] </w:t>
            </w:r>
            <w:hyperlink w:tgtFrame="_blank" w:history="1" r:id="rId105">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 xml:space="preserve">In its 2024 Gas [RD&amp;D] Plan and beyond, [SoCalGas] shall: Elaborate on the results of its RD&amp;D projects. SoCalGas shall describe how results are used to address the state’s climate goals, how its research project results are scaled/commercialized, and how </w:t>
            </w:r>
            <w:r w:rsidRPr="00BD2528">
              <w:rPr>
                <w:rFonts w:ascii="Palatino Linotype" w:hAnsi="Palatino Linotype"/>
                <w:i/>
                <w:iCs/>
                <w:color w:val="000000" w:themeColor="text1"/>
                <w:sz w:val="20"/>
                <w:szCs w:val="20"/>
              </w:rPr>
              <w:t>SoCalGas measures the impacts of its research.</w:t>
            </w:r>
          </w:p>
          <w:p w:rsidRPr="00BD2528" w:rsidR="00C05FB0" w:rsidRDefault="00C05FB0" w14:paraId="589FFE92" w14:textId="77777777">
            <w:pPr>
              <w:rPr>
                <w:i/>
                <w:iCs/>
                <w:color w:val="000000" w:themeColor="text1"/>
              </w:rPr>
            </w:pPr>
          </w:p>
          <w:p w:rsidRPr="00BD2528" w:rsidR="00C05FB0" w:rsidRDefault="00C05FB0" w14:paraId="0CF6157D" w14:textId="77777777">
            <w:r w:rsidRPr="00BD2528">
              <w:rPr>
                <w:rStyle w:val="normaltextrun"/>
                <w:rFonts w:ascii="Palatino Linotype" w:hAnsi="Palatino Linotype"/>
                <w:color w:val="000000" w:themeColor="text1"/>
                <w:sz w:val="20"/>
                <w:szCs w:val="20"/>
                <w:shd w:val="clear" w:color="auto" w:fill="FFFFFF"/>
              </w:rPr>
              <w:t>See also: [19].</w:t>
            </w:r>
          </w:p>
        </w:tc>
        <w:tc>
          <w:tcPr>
            <w:tcW w:w="6912" w:type="dxa"/>
          </w:tcPr>
          <w:p w:rsidRPr="00BD2528" w:rsidR="00C05FB0" w:rsidRDefault="00C05FB0" w14:paraId="57A305D8" w14:textId="77777777">
            <w:pPr>
              <w:rPr>
                <w:rFonts w:ascii="Palatino Linotype" w:hAnsi="Palatino Linotype"/>
                <w:color w:val="000000" w:themeColor="text1"/>
                <w:sz w:val="20"/>
                <w:szCs w:val="20"/>
              </w:rPr>
            </w:pPr>
            <w:r w:rsidRPr="00BD2528">
              <w:rPr>
                <w:rFonts w:ascii="Palatino Linotype" w:hAnsi="Palatino Linotype"/>
                <w:color w:val="000000" w:themeColor="text1"/>
                <w:sz w:val="20"/>
                <w:szCs w:val="20"/>
              </w:rPr>
              <w:t>In Appendix 6, SoCalGas describes its process for the scaling and commercialization of technologies via projects which range from research and development to deployment across technology readiness levels (TRLs). SoCalGas describes efforts on knowledge transfer and sharing through research webinars, quarterly newsletters, annual workshops, LinkedIn posts, conferences, and events, and lists project criteria in alignment with the state’s climate goals. In Appendix 7, SoCalGas lists Regulatory and Policy Drivers spanning key state and federal policies and regulations.</w:t>
            </w:r>
          </w:p>
        </w:tc>
        <w:tc>
          <w:tcPr>
            <w:tcW w:w="3600" w:type="dxa"/>
          </w:tcPr>
          <w:p w:rsidRPr="00BD2528" w:rsidR="00C05FB0" w:rsidRDefault="00C05FB0" w14:paraId="24241A78" w14:textId="77777777">
            <w:pPr>
              <w:rPr>
                <w:rFonts w:ascii="Palatino Linotype" w:hAnsi="Palatino Linotype"/>
                <w:b/>
                <w:color w:val="000000" w:themeColor="text1"/>
                <w:sz w:val="20"/>
                <w:szCs w:val="20"/>
              </w:rPr>
            </w:pPr>
            <w:r w:rsidRPr="00BD2528">
              <w:rPr>
                <w:rFonts w:ascii="Palatino Linotype" w:hAnsi="Palatino Linotype"/>
                <w:color w:val="000000" w:themeColor="text1"/>
                <w:sz w:val="20"/>
                <w:szCs w:val="20"/>
              </w:rPr>
              <w:t>SoCalGas describes how results are used to address the state’s climate goals and how project results are scaled/commercialized</w:t>
            </w:r>
            <w:r w:rsidRPr="00BD2528">
              <w:rPr>
                <w:rFonts w:ascii="Palatino Linotype" w:hAnsi="Palatino Linotype"/>
                <w:i/>
                <w:iCs/>
                <w:color w:val="000000" w:themeColor="text1"/>
                <w:sz w:val="20"/>
                <w:szCs w:val="20"/>
              </w:rPr>
              <w:t xml:space="preserve">. </w:t>
            </w:r>
            <w:r w:rsidRPr="00BD2528">
              <w:rPr>
                <w:rFonts w:ascii="Palatino Linotype" w:hAnsi="Palatino Linotype"/>
                <w:b/>
                <w:sz w:val="20"/>
                <w:szCs w:val="20"/>
              </w:rPr>
              <w:t>SoCalGas is compliant with this requirement.</w:t>
            </w:r>
          </w:p>
          <w:p w:rsidRPr="00BD2528" w:rsidR="00C05FB0" w:rsidRDefault="00C05FB0" w14:paraId="18182FC2" w14:textId="77777777">
            <w:pPr>
              <w:spacing w:before="240"/>
              <w:rPr>
                <w:rFonts w:ascii="Palatino Linotype" w:hAnsi="Palatino Linotype" w:eastAsia="Palatino Linotype" w:cs="Palatino Linotype"/>
                <w:sz w:val="20"/>
                <w:szCs w:val="20"/>
              </w:rPr>
            </w:pPr>
            <w:r w:rsidRPr="00BD2528">
              <w:rPr>
                <w:rFonts w:ascii="Palatino Linotype" w:hAnsi="Palatino Linotype"/>
                <w:sz w:val="20"/>
                <w:szCs w:val="20"/>
              </w:rPr>
              <w:t xml:space="preserve">However, shall provide further detail upon project implementation in project final reports and its Annual Reports to demonstrate how results are measured and utilized in alignment with State goals. </w:t>
            </w:r>
          </w:p>
        </w:tc>
      </w:tr>
      <w:tr w:rsidRPr="00BD2528" w:rsidR="00C05FB0" w14:paraId="00FF8458" w14:textId="77777777">
        <w:trPr>
          <w:trHeight w:val="638"/>
          <w:tblHeader/>
        </w:trPr>
        <w:tc>
          <w:tcPr>
            <w:tcW w:w="3744" w:type="dxa"/>
          </w:tcPr>
          <w:p w:rsidRPr="00BD2528" w:rsidR="00C05FB0" w:rsidRDefault="00C05FB0" w14:paraId="0587E095" w14:textId="77777777">
            <w:pPr>
              <w:rPr>
                <w:rFonts w:ascii="Palatino Linotype" w:hAnsi="Palatino Linotype"/>
                <w:i/>
                <w:iCs/>
                <w:color w:val="000000" w:themeColor="text1"/>
                <w:sz w:val="20"/>
                <w:szCs w:val="20"/>
              </w:rPr>
            </w:pPr>
            <w:r w:rsidRPr="00BD2528">
              <w:rPr>
                <w:rFonts w:ascii="Palatino Linotype" w:hAnsi="Palatino Linotype"/>
                <w:b/>
                <w:sz w:val="20"/>
                <w:szCs w:val="20"/>
              </w:rPr>
              <w:lastRenderedPageBreak/>
              <w:t>[18]</w:t>
            </w:r>
            <w:r w:rsidRPr="00BD2528">
              <w:rPr>
                <w:rFonts w:ascii="Palatino Linotype" w:hAnsi="Palatino Linotype"/>
                <w:sz w:val="20"/>
                <w:szCs w:val="20"/>
              </w:rPr>
              <w:t xml:space="preserve"> </w:t>
            </w:r>
            <w:hyperlink r:id="rId106">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 xml:space="preserve">In its 2024 </w:t>
            </w:r>
            <w:proofErr w:type="gramStart"/>
            <w:r w:rsidRPr="00BD2528">
              <w:rPr>
                <w:rFonts w:ascii="Palatino Linotype" w:hAnsi="Palatino Linotype"/>
                <w:i/>
                <w:iCs/>
                <w:sz w:val="20"/>
                <w:szCs w:val="20"/>
              </w:rPr>
              <w:t>Gas [RD&amp;D]</w:t>
            </w:r>
            <w:proofErr w:type="gramEnd"/>
            <w:r w:rsidRPr="00BD2528">
              <w:rPr>
                <w:rFonts w:ascii="Palatino Linotype" w:hAnsi="Palatino Linotype"/>
                <w:i/>
                <w:iCs/>
                <w:sz w:val="20"/>
                <w:szCs w:val="20"/>
              </w:rPr>
              <w:t xml:space="preserve"> Plan and beyond, [SoCalGas] shall: Itemize and include more detail about how it incorporated proposals and feedback on research ideas proposed by stakeholders at its </w:t>
            </w:r>
            <w:r w:rsidRPr="00BD2528">
              <w:rPr>
                <w:rFonts w:ascii="Palatino Linotype" w:hAnsi="Palatino Linotype"/>
                <w:i/>
                <w:sz w:val="20"/>
                <w:szCs w:val="20"/>
              </w:rPr>
              <w:t>Annual Stakeholder</w:t>
            </w:r>
            <w:r w:rsidRPr="00BD2528">
              <w:rPr>
                <w:rFonts w:ascii="Palatino Linotype" w:hAnsi="Palatino Linotype"/>
                <w:i/>
                <w:iCs/>
                <w:sz w:val="20"/>
                <w:szCs w:val="20"/>
              </w:rPr>
              <w:t xml:space="preserve"> workshop, including disadvantaged communities. </w:t>
            </w:r>
            <w:r w:rsidRPr="00BD2528">
              <w:rPr>
                <w:rFonts w:ascii="Palatino Linotype" w:hAnsi="Palatino Linotype"/>
                <w:i/>
                <w:iCs/>
                <w:color w:val="000000" w:themeColor="text1"/>
                <w:sz w:val="20"/>
                <w:szCs w:val="20"/>
              </w:rPr>
              <w:t>SoCalGas should otherwise explain why it did not incorporate stakeholder input.</w:t>
            </w:r>
          </w:p>
          <w:p w:rsidRPr="00BD2528" w:rsidR="00C05FB0" w:rsidRDefault="00C05FB0" w14:paraId="48BF58C5" w14:textId="77777777">
            <w:pPr>
              <w:pStyle w:val="paragraph"/>
              <w:spacing w:before="0" w:beforeAutospacing="0" w:after="0" w:afterAutospacing="0"/>
              <w:textAlignment w:val="baseline"/>
              <w:rPr>
                <w:rFonts w:ascii="Segoe UI" w:hAnsi="Segoe UI" w:cs="Segoe UI"/>
                <w:color w:val="000000" w:themeColor="text1"/>
                <w:sz w:val="18"/>
                <w:szCs w:val="18"/>
              </w:rPr>
            </w:pPr>
          </w:p>
          <w:p w:rsidRPr="00BD2528" w:rsidR="00C05FB0" w:rsidRDefault="00C05FB0" w14:paraId="6FBD5096" w14:textId="77777777">
            <w:pPr>
              <w:pStyle w:val="paragraph"/>
              <w:spacing w:before="0" w:beforeAutospacing="0" w:after="0" w:afterAutospacing="0"/>
              <w:textAlignment w:val="baseline"/>
              <w:rPr>
                <w:rFonts w:ascii="Segoe UI" w:hAnsi="Segoe UI" w:cs="Segoe UI"/>
                <w:color w:val="000000" w:themeColor="text1"/>
                <w:sz w:val="18"/>
                <w:szCs w:val="18"/>
              </w:rPr>
            </w:pPr>
            <w:r w:rsidRPr="00BD2528">
              <w:rPr>
                <w:rStyle w:val="normaltextrun"/>
                <w:rFonts w:ascii="Palatino Linotype" w:hAnsi="Palatino Linotype" w:cs="Segoe UI"/>
                <w:color w:val="000000" w:themeColor="text1"/>
                <w:sz w:val="20"/>
                <w:szCs w:val="20"/>
              </w:rPr>
              <w:t>See also: [15] on integration of Energy Division feedback and [23]</w:t>
            </w:r>
            <w:r w:rsidRPr="00BD2528">
              <w:rPr>
                <w:rStyle w:val="normaltextrun"/>
                <w:color w:val="000000" w:themeColor="text1"/>
                <w:sz w:val="20"/>
                <w:szCs w:val="20"/>
              </w:rPr>
              <w:t> </w:t>
            </w:r>
            <w:r w:rsidRPr="00BD2528">
              <w:rPr>
                <w:rStyle w:val="normaltextrun"/>
                <w:rFonts w:ascii="Palatino Linotype" w:hAnsi="Palatino Linotype" w:cs="Segoe UI"/>
                <w:color w:val="000000" w:themeColor="text1"/>
                <w:sz w:val="20"/>
                <w:szCs w:val="20"/>
              </w:rPr>
              <w:t>for gas RD&amp;D administrator coordination.</w:t>
            </w:r>
          </w:p>
          <w:p w:rsidRPr="00BD2528" w:rsidR="00C05FB0" w:rsidRDefault="00C05FB0" w14:paraId="4CC96E39" w14:textId="77777777"/>
        </w:tc>
        <w:tc>
          <w:tcPr>
            <w:tcW w:w="6912" w:type="dxa"/>
          </w:tcPr>
          <w:p w:rsidRPr="00BD2528" w:rsidR="00C05FB0" w:rsidRDefault="00C05FB0" w14:paraId="6696518D" w14:textId="77777777">
            <w:pPr>
              <w:rPr>
                <w:rFonts w:ascii="Palatino Linotype" w:hAnsi="Palatino Linotype"/>
                <w:color w:val="000000" w:themeColor="text1"/>
                <w:sz w:val="20"/>
                <w:szCs w:val="20"/>
              </w:rPr>
            </w:pPr>
            <w:r w:rsidRPr="00BD2528">
              <w:rPr>
                <w:rFonts w:ascii="Palatino Linotype" w:hAnsi="Palatino Linotype" w:cs="Palatino Linotype"/>
                <w:color w:val="000000" w:themeColor="text1"/>
                <w:sz w:val="20"/>
                <w:szCs w:val="20"/>
              </w:rPr>
              <w:t xml:space="preserve">SoCalGas provides: </w:t>
            </w:r>
          </w:p>
          <w:p w:rsidRPr="00BD2528" w:rsidR="00C05FB0" w:rsidP="00C05FB0" w:rsidRDefault="00C05FB0" w14:paraId="2FC38E0D" w14:textId="77777777">
            <w:pPr>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A description of its annual internal and external outreach efforts in addition to key takeaways and incorporation strategies for feedback received from public workshop attendees, including an ESJ Advisory Panel, for each Initiative.</w:t>
            </w:r>
            <w:r w:rsidRPr="00BD2528">
              <w:rPr>
                <w:rStyle w:val="FootnoteReference"/>
                <w:rFonts w:ascii="Palatino Linotype" w:hAnsi="Palatino Linotype"/>
                <w:color w:val="000000" w:themeColor="text1"/>
                <w:sz w:val="20"/>
                <w:szCs w:val="20"/>
              </w:rPr>
              <w:footnoteReference w:id="328"/>
            </w:r>
          </w:p>
          <w:p w:rsidRPr="00BD2528" w:rsidR="00C05FB0" w:rsidP="00C05FB0" w:rsidRDefault="00C05FB0" w14:paraId="7C2D5DEA" w14:textId="77777777">
            <w:pPr>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Section 4.1: Summary of Research Plan Development with incorporation of stakeholder feedback.</w:t>
            </w:r>
            <w:r w:rsidRPr="00BD2528">
              <w:rPr>
                <w:rStyle w:val="FootnoteReference"/>
                <w:rFonts w:ascii="Palatino Linotype" w:hAnsi="Palatino Linotype"/>
                <w:color w:val="000000" w:themeColor="text1"/>
                <w:sz w:val="20"/>
                <w:szCs w:val="20"/>
              </w:rPr>
              <w:footnoteReference w:id="329"/>
            </w:r>
          </w:p>
          <w:p w:rsidRPr="00BD2528" w:rsidR="00C05FB0" w:rsidP="00C05FB0" w:rsidRDefault="00C05FB0" w14:paraId="7378C800" w14:textId="77777777">
            <w:pPr>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Appendix 3: Summary of Stakeholder Input from 2025 Annual Workshop with the list of the questions received during and following the workshop, along with answers from appropriate SoCalGas personnel. </w:t>
            </w:r>
          </w:p>
          <w:p w:rsidRPr="00BD2528" w:rsidR="00C05FB0" w:rsidP="00C05FB0" w:rsidRDefault="00C05FB0" w14:paraId="7B9D9AB6" w14:textId="77777777">
            <w:pPr>
              <w:numPr>
                <w:ilvl w:val="1"/>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Feedback from California Greenworks that “when public facing, the Key Ratepayer Benefits need an extra step to explicitly state community benefits. For example, operational efficiency does not naturally equate to community benefit, but linking it causally to community resilience, community beautification, etc., makes a more robust EJ claim.”</w:t>
            </w:r>
          </w:p>
          <w:p w:rsidRPr="00BD2528" w:rsidR="00C05FB0" w:rsidP="00C05FB0" w:rsidRDefault="00C05FB0" w14:paraId="68453BEA" w14:textId="77777777">
            <w:pPr>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Appendix 5: Summary of Stakeholder Input from Annual Outreach Campaign.</w:t>
            </w:r>
          </w:p>
          <w:p w:rsidRPr="00BD2528" w:rsidR="00C05FB0" w:rsidP="00C05FB0" w:rsidRDefault="00C05FB0" w14:paraId="43186D54" w14:textId="77777777">
            <w:pPr>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Appendix 6: Company and SoCalGas RD&amp;D Overview, with a Description of Academic Engagement.  </w:t>
            </w:r>
          </w:p>
          <w:p w:rsidRPr="00BD2528" w:rsidR="00C05FB0" w:rsidRDefault="00C05FB0" w14:paraId="1B2709E2" w14:textId="77777777">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details the following general feedback from the ESJ Advisory Panel Members and correlated incorporation strategies:</w:t>
            </w:r>
            <w:r w:rsidRPr="00BD2528">
              <w:rPr>
                <w:rStyle w:val="FootnoteReference"/>
                <w:rFonts w:ascii="Palatino Linotype" w:hAnsi="Palatino Linotype"/>
                <w:color w:val="000000" w:themeColor="text1"/>
                <w:sz w:val="20"/>
                <w:szCs w:val="20"/>
              </w:rPr>
              <w:footnoteReference w:id="330"/>
            </w:r>
            <w:r w:rsidRPr="00BD2528">
              <w:rPr>
                <w:rFonts w:ascii="Palatino Linotype" w:hAnsi="Palatino Linotype"/>
                <w:color w:val="000000" w:themeColor="text1"/>
                <w:sz w:val="20"/>
                <w:szCs w:val="20"/>
              </w:rPr>
              <w:t xml:space="preserve"> </w:t>
            </w:r>
          </w:p>
          <w:p w:rsidRPr="00BD2528" w:rsidR="00C05FB0" w:rsidP="00C05FB0" w:rsidRDefault="00C05FB0" w14:paraId="43B2D8D3" w14:textId="77777777">
            <w:pPr>
              <w:numPr>
                <w:ilvl w:val="2"/>
                <w:numId w:val="45"/>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“RD&amp;D encouraged to explore “human outcomes” for communities in which research projects are conducted.</w:t>
            </w:r>
          </w:p>
          <w:p w:rsidRPr="00BD2528" w:rsidR="00C05FB0" w:rsidP="00C05FB0" w:rsidRDefault="00C05FB0" w14:paraId="3F34F98F" w14:textId="77777777">
            <w:pPr>
              <w:numPr>
                <w:ilvl w:val="1"/>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RD&amp;D is considering how to develop metrics tied to this input.”</w:t>
            </w:r>
          </w:p>
          <w:p w:rsidRPr="00BD2528" w:rsidR="00C05FB0" w:rsidP="00C05FB0" w:rsidRDefault="00C05FB0" w14:paraId="6E56B3CB" w14:textId="77777777">
            <w:pPr>
              <w:numPr>
                <w:ilvl w:val="2"/>
                <w:numId w:val="45"/>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“Make the process more equitable for all projects, ensure that community voice/ stakeholder voice is valued equally to the measurable outcomes (whether technological, environmental, scientific). This can be accomplished by having an aggressive stakeholder collaboration, and/or having a stakeholder/CBO participate in the research review process.”</w:t>
            </w:r>
          </w:p>
          <w:p w:rsidRPr="00BD2528" w:rsidR="00C05FB0" w:rsidP="00C05FB0" w:rsidRDefault="00C05FB0" w14:paraId="0F3C7294" w14:textId="77777777">
            <w:pPr>
              <w:numPr>
                <w:ilvl w:val="1"/>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lastRenderedPageBreak/>
              <w:t>“Before completing additional program development, RD&amp;D staff will conduct additional outreach relevant to this input.”</w:t>
            </w:r>
          </w:p>
          <w:p w:rsidRPr="00BD2528" w:rsidR="00C05FB0" w:rsidP="00C05FB0" w:rsidRDefault="00C05FB0" w14:paraId="1D0446C0" w14:textId="77777777">
            <w:pPr>
              <w:numPr>
                <w:ilvl w:val="2"/>
                <w:numId w:val="45"/>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“Research designs need to:</w:t>
            </w:r>
          </w:p>
          <w:p w:rsidRPr="00BD2528" w:rsidR="00C05FB0" w:rsidP="00C05FB0" w:rsidRDefault="00C05FB0" w14:paraId="481AE2F4" w14:textId="77777777">
            <w:pPr>
              <w:pStyle w:val="ListParagraph"/>
              <w:numPr>
                <w:ilvl w:val="0"/>
                <w:numId w:val="47"/>
              </w:numPr>
              <w:ind w:left="72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Identify explicit and transparent social benefits and social harms.</w:t>
            </w:r>
          </w:p>
          <w:p w:rsidRPr="00BD2528" w:rsidR="00C05FB0" w:rsidP="00C05FB0" w:rsidRDefault="00C05FB0" w14:paraId="4A81951D" w14:textId="77777777">
            <w:pPr>
              <w:pStyle w:val="ListParagraph"/>
              <w:numPr>
                <w:ilvl w:val="0"/>
                <w:numId w:val="47"/>
              </w:numPr>
              <w:ind w:left="72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Require all subrecipients conducting the studies to include CBOs as part of the study team.</w:t>
            </w:r>
          </w:p>
          <w:p w:rsidRPr="00BD2528" w:rsidR="00C05FB0" w:rsidP="00C05FB0" w:rsidRDefault="00C05FB0" w14:paraId="684257A5" w14:textId="77777777">
            <w:pPr>
              <w:pStyle w:val="ListParagraph"/>
              <w:numPr>
                <w:ilvl w:val="0"/>
                <w:numId w:val="47"/>
              </w:numPr>
              <w:ind w:left="72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Inform and share how SoCalGas RD&amp;D identifies, vets, and selects research partners.</w:t>
            </w:r>
          </w:p>
          <w:p w:rsidRPr="00BD2528" w:rsidR="00C05FB0" w:rsidP="00C05FB0" w:rsidRDefault="00C05FB0" w14:paraId="5429342D" w14:textId="77777777">
            <w:pPr>
              <w:pStyle w:val="ListParagraph"/>
              <w:numPr>
                <w:ilvl w:val="0"/>
                <w:numId w:val="47"/>
              </w:numPr>
              <w:ind w:left="72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Budget educational outreach for each study, or outreach for the whole department. Finding out what to communicate can be done through CBO outreach.”</w:t>
            </w:r>
          </w:p>
          <w:p w:rsidRPr="00BD2528" w:rsidR="00C05FB0" w:rsidP="00C05FB0" w:rsidRDefault="00C05FB0" w14:paraId="4BC37704" w14:textId="77777777">
            <w:pPr>
              <w:pStyle w:val="ListParagraph"/>
              <w:numPr>
                <w:ilvl w:val="0"/>
                <w:numId w:val="4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“When developing future Research Plans, SoCalGas RD&amp;D will seek input from the ESJ Advisory Panel about ESJ priorities and metrics that it can incorporate into future research projects.”</w:t>
            </w:r>
          </w:p>
          <w:p w:rsidRPr="00BD2528" w:rsidR="00C05FB0" w:rsidRDefault="00C05FB0" w14:paraId="24B9B809" w14:textId="77777777">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details the following Initiative-level feedback:  </w:t>
            </w:r>
          </w:p>
          <w:p w:rsidRPr="00BD2528" w:rsidR="00C05FB0" w:rsidP="00C05FB0" w:rsidRDefault="00C05FB0" w14:paraId="03D5F41C" w14:textId="77777777">
            <w:pPr>
              <w:pStyle w:val="paragraph"/>
              <w:numPr>
                <w:ilvl w:val="0"/>
                <w:numId w:val="45"/>
              </w:numPr>
              <w:spacing w:before="0" w:beforeAutospacing="0" w:after="0" w:afterAutospacing="0"/>
              <w:textAlignment w:val="baseline"/>
              <w:rPr>
                <w:rFonts w:ascii="Palatino Linotype" w:hAnsi="Palatino Linotype" w:cs="Segoe UI"/>
                <w:color w:val="000000" w:themeColor="text1"/>
                <w:sz w:val="20"/>
                <w:szCs w:val="20"/>
              </w:rPr>
            </w:pPr>
            <w:r w:rsidRPr="00BD2528">
              <w:rPr>
                <w:rStyle w:val="normaltextrun"/>
                <w:rFonts w:ascii="Palatino Linotype" w:hAnsi="Palatino Linotype" w:cs="Segoe UI"/>
                <w:color w:val="000000"/>
                <w:sz w:val="20"/>
                <w:szCs w:val="20"/>
                <w:u w:val="single"/>
              </w:rPr>
              <w:t>System Inspection &amp; Monitoring</w:t>
            </w:r>
            <w:r w:rsidRPr="00BD2528">
              <w:rPr>
                <w:rStyle w:val="normaltextrun"/>
                <w:rFonts w:ascii="Palatino Linotype" w:hAnsi="Palatino Linotype" w:cs="Segoe UI"/>
                <w:color w:val="000000"/>
                <w:sz w:val="20"/>
                <w:szCs w:val="20"/>
              </w:rPr>
              <w:t xml:space="preserve">: “SoCalGas </w:t>
            </w:r>
            <w:r w:rsidRPr="00BD2528">
              <w:rPr>
                <w:rStyle w:val="normaltextrun"/>
                <w:rFonts w:ascii="Palatino Linotype" w:hAnsi="Palatino Linotype" w:cs="Segoe UI"/>
                <w:color w:val="000000" w:themeColor="text1"/>
                <w:sz w:val="20"/>
                <w:szCs w:val="20"/>
              </w:rPr>
              <w:t>should investigate the use of fiber optics in storage fields for well monitoring.”</w:t>
            </w:r>
            <w:r w:rsidRPr="00BD2528">
              <w:rPr>
                <w:rStyle w:val="FootnoteReference"/>
                <w:rFonts w:ascii="Palatino Linotype" w:hAnsi="Palatino Linotype" w:cs="Segoe UI"/>
                <w:color w:val="000000" w:themeColor="text1"/>
                <w:sz w:val="20"/>
                <w:szCs w:val="20"/>
              </w:rPr>
              <w:footnoteReference w:id="331"/>
            </w:r>
          </w:p>
          <w:p w:rsidRPr="00BD2528" w:rsidR="00C05FB0" w:rsidP="00C05FB0" w:rsidRDefault="00C05FB0" w14:paraId="42028A8C" w14:textId="77777777">
            <w:pPr>
              <w:pStyle w:val="paragraph"/>
              <w:numPr>
                <w:ilvl w:val="1"/>
                <w:numId w:val="45"/>
              </w:numPr>
              <w:spacing w:before="0" w:beforeAutospacing="0" w:after="0" w:afterAutospacing="0"/>
              <w:textAlignment w:val="baseline"/>
              <w:rPr>
                <w:rFonts w:ascii="Palatino Linotype" w:hAnsi="Palatino Linotype" w:cs="Segoe UI"/>
                <w:color w:val="000000" w:themeColor="text1"/>
                <w:sz w:val="20"/>
                <w:szCs w:val="20"/>
              </w:rPr>
            </w:pPr>
            <w:r w:rsidRPr="00BD2528">
              <w:rPr>
                <w:rStyle w:val="normaltextrun"/>
                <w:rFonts w:ascii="Palatino Linotype" w:hAnsi="Palatino Linotype" w:cs="Segoe UI"/>
                <w:color w:val="000000" w:themeColor="text1"/>
                <w:sz w:val="20"/>
                <w:szCs w:val="20"/>
              </w:rPr>
              <w:t>SoCalGas stated that “[t]he use of fiber optic monitoring is limited to underground Gas Infrastructure at this time. Fiber Optics currently provides leak detection, 3rd party construction activity and strain due to ground movement. This technology is part of [this Initiative].”</w:t>
            </w:r>
            <w:r w:rsidRPr="00BD2528">
              <w:rPr>
                <w:rStyle w:val="FootnoteReference"/>
                <w:rFonts w:ascii="Palatino Linotype" w:hAnsi="Palatino Linotype" w:cs="Segoe UI"/>
                <w:color w:val="000000" w:themeColor="text1"/>
                <w:sz w:val="20"/>
                <w:szCs w:val="20"/>
              </w:rPr>
              <w:footnoteReference w:id="332"/>
            </w:r>
            <w:r w:rsidRPr="00BD2528">
              <w:rPr>
                <w:rStyle w:val="eop"/>
                <w:rFonts w:ascii="Palatino Linotype" w:hAnsi="Palatino Linotype" w:cs="Segoe UI"/>
                <w:color w:val="000000" w:themeColor="text1"/>
                <w:sz w:val="20"/>
                <w:szCs w:val="20"/>
              </w:rPr>
              <w:t> </w:t>
            </w:r>
          </w:p>
          <w:p w:rsidRPr="00BD2528" w:rsidR="00C05FB0" w:rsidP="00C05FB0" w:rsidRDefault="00C05FB0" w14:paraId="7689F56C" w14:textId="77777777">
            <w:pPr>
              <w:pStyle w:val="ListParagraph"/>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RNG Infrastructure Optimization</w:t>
            </w:r>
            <w:r w:rsidRPr="00BD2528">
              <w:rPr>
                <w:rFonts w:ascii="Palatino Linotype" w:hAnsi="Palatino Linotype"/>
                <w:color w:val="000000" w:themeColor="text1"/>
                <w:sz w:val="20"/>
                <w:szCs w:val="20"/>
              </w:rPr>
              <w:t>: “One federal agency suggested developing affordable small-scale technologies for smaller point sources of RNG.”</w:t>
            </w:r>
            <w:r w:rsidRPr="00BD2528">
              <w:rPr>
                <w:rStyle w:val="FootnoteReference"/>
                <w:rFonts w:ascii="Palatino Linotype" w:hAnsi="Palatino Linotype"/>
                <w:color w:val="000000" w:themeColor="text1"/>
                <w:sz w:val="20"/>
                <w:szCs w:val="20"/>
              </w:rPr>
              <w:footnoteReference w:id="333"/>
            </w:r>
          </w:p>
          <w:p w:rsidRPr="00BD2528" w:rsidR="00C05FB0" w:rsidP="00C05FB0" w:rsidRDefault="00C05FB0" w14:paraId="259924E6" w14:textId="77777777">
            <w:pPr>
              <w:pStyle w:val="ListParagraph"/>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Low-Carbon Fuels Technologies</w:t>
            </w:r>
            <w:r w:rsidRPr="00BD2528">
              <w:rPr>
                <w:rFonts w:ascii="Palatino Linotype" w:hAnsi="Palatino Linotype"/>
                <w:color w:val="000000" w:themeColor="text1"/>
                <w:sz w:val="20"/>
                <w:szCs w:val="20"/>
              </w:rPr>
              <w:t xml:space="preserve">: “A national laboratory recommended further exploration of methane pyrolysis technologies... A federal agency suggested developing affordable small-scale technologies for smaller point sources of </w:t>
            </w:r>
            <w:proofErr w:type="gramStart"/>
            <w:r w:rsidRPr="00BD2528">
              <w:rPr>
                <w:rFonts w:ascii="Palatino Linotype" w:hAnsi="Palatino Linotype"/>
                <w:color w:val="000000" w:themeColor="text1"/>
                <w:sz w:val="20"/>
                <w:szCs w:val="20"/>
              </w:rPr>
              <w:t>RNG.”</w:t>
            </w:r>
            <w:proofErr w:type="gramEnd"/>
            <w:r w:rsidRPr="00BD2528">
              <w:rPr>
                <w:rFonts w:ascii="Palatino Linotype" w:hAnsi="Palatino Linotype"/>
                <w:color w:val="000000" w:themeColor="text1"/>
                <w:sz w:val="20"/>
                <w:szCs w:val="20"/>
              </w:rPr>
              <w:t xml:space="preserve"> “There were suggestions to look at other technologies such as waste-to-energy, to target improved performance in dynamic operation of any fuel production pathway. There was feedback after the workshop about understanding cost </w:t>
            </w:r>
            <w:r w:rsidRPr="00BD2528">
              <w:rPr>
                <w:rFonts w:ascii="Palatino Linotype" w:hAnsi="Palatino Linotype"/>
                <w:color w:val="000000" w:themeColor="text1"/>
                <w:sz w:val="20"/>
                <w:szCs w:val="20"/>
              </w:rPr>
              <w:lastRenderedPageBreak/>
              <w:t>targets for hydrogen and how SoCalGas is tracking those costs – this has been added as a quantitative impact to be tracked.”</w:t>
            </w:r>
            <w:r w:rsidRPr="00BD2528">
              <w:rPr>
                <w:rStyle w:val="FootnoteReference"/>
                <w:rFonts w:ascii="Palatino Linotype" w:hAnsi="Palatino Linotype"/>
                <w:color w:val="000000" w:themeColor="text1"/>
                <w:sz w:val="20"/>
                <w:szCs w:val="20"/>
              </w:rPr>
              <w:footnoteReference w:id="334"/>
            </w:r>
          </w:p>
          <w:p w:rsidRPr="00BD2528" w:rsidR="00C05FB0" w:rsidP="00C05FB0" w:rsidRDefault="00C05FB0" w14:paraId="7F295E59" w14:textId="77777777">
            <w:pPr>
              <w:pStyle w:val="ListParagraph"/>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Energy Reliability &amp; Resilience</w:t>
            </w:r>
            <w:r w:rsidRPr="00BD2528">
              <w:rPr>
                <w:rFonts w:ascii="Palatino Linotype" w:hAnsi="Palatino Linotype"/>
                <w:color w:val="000000" w:themeColor="text1"/>
                <w:sz w:val="20"/>
                <w:szCs w:val="20"/>
              </w:rPr>
              <w:t>: “ORNL identified the need for research into cost-effective retrofitting solutions that utilize clean fuels for heating and cooling, that could offer a more practical and affordable pathway to decarbonization compared to potentially extensive and disruptive electrification upgrades.”</w:t>
            </w:r>
            <w:r w:rsidRPr="00BD2528">
              <w:rPr>
                <w:rStyle w:val="FootnoteReference"/>
                <w:rFonts w:ascii="Palatino Linotype" w:hAnsi="Palatino Linotype"/>
                <w:color w:val="000000" w:themeColor="text1"/>
                <w:sz w:val="20"/>
                <w:szCs w:val="20"/>
              </w:rPr>
              <w:footnoteReference w:id="335"/>
            </w:r>
          </w:p>
          <w:p w:rsidRPr="00BD2528" w:rsidR="00C05FB0" w:rsidP="00C05FB0" w:rsidRDefault="00C05FB0" w14:paraId="71157184" w14:textId="77777777">
            <w:pPr>
              <w:pStyle w:val="ListParagraph"/>
              <w:numPr>
                <w:ilvl w:val="0"/>
                <w:numId w:val="45"/>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Building &amp; Facility Systems</w:t>
            </w:r>
            <w:r w:rsidRPr="00BD2528">
              <w:rPr>
                <w:rFonts w:ascii="Palatino Linotype" w:hAnsi="Palatino Linotype"/>
                <w:color w:val="000000" w:themeColor="text1"/>
                <w:sz w:val="20"/>
                <w:szCs w:val="20"/>
              </w:rPr>
              <w:t>: “One industrial stakeholder is interested in new ways of capturing and reusing heat produced onsite and advised </w:t>
            </w:r>
            <w:proofErr w:type="gramStart"/>
            <w:r w:rsidRPr="00BD2528">
              <w:rPr>
                <w:rFonts w:ascii="Palatino Linotype" w:hAnsi="Palatino Linotype"/>
                <w:color w:val="000000" w:themeColor="text1"/>
                <w:sz w:val="20"/>
                <w:szCs w:val="20"/>
              </w:rPr>
              <w:t>to bring</w:t>
            </w:r>
            <w:proofErr w:type="gramEnd"/>
            <w:r w:rsidRPr="00BD2528">
              <w:rPr>
                <w:rFonts w:ascii="Palatino Linotype" w:hAnsi="Palatino Linotype"/>
                <w:color w:val="000000" w:themeColor="text1"/>
                <w:sz w:val="20"/>
                <w:szCs w:val="20"/>
              </w:rPr>
              <w:t> in the end users early in and throughout the R&amp;D process. One national laboratory suggested new equity KPIs: new jobs, health cost savings (NOx, CO, PM), reduction in premature deaths, fewer workdays lost. One research institution emphasized the importance of RD&amp;D for commercial and industrial end uses.”</w:t>
            </w:r>
            <w:r w:rsidRPr="00BD2528">
              <w:rPr>
                <w:rStyle w:val="FootnoteReference"/>
                <w:rFonts w:ascii="Palatino Linotype" w:hAnsi="Palatino Linotype"/>
                <w:color w:val="000000" w:themeColor="text1"/>
                <w:sz w:val="20"/>
                <w:szCs w:val="20"/>
              </w:rPr>
              <w:footnoteReference w:id="336"/>
            </w:r>
          </w:p>
        </w:tc>
        <w:tc>
          <w:tcPr>
            <w:tcW w:w="3600" w:type="dxa"/>
          </w:tcPr>
          <w:p w:rsidRPr="00BD2528" w:rsidR="00C05FB0" w:rsidRDefault="00C05FB0" w14:paraId="5EB0D873"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lastRenderedPageBreak/>
              <w:t>SoCalGas describes feedback from stakeholders and </w:t>
            </w:r>
            <w:proofErr w:type="gramStart"/>
            <w:r w:rsidRPr="00BD2528">
              <w:rPr>
                <w:rFonts w:ascii="Palatino Linotype" w:hAnsi="Palatino Linotype"/>
                <w:color w:val="000000" w:themeColor="text1"/>
                <w:sz w:val="20"/>
                <w:szCs w:val="20"/>
              </w:rPr>
              <w:t>a number of</w:t>
            </w:r>
            <w:proofErr w:type="gramEnd"/>
            <w:r w:rsidRPr="00BD2528">
              <w:rPr>
                <w:rFonts w:ascii="Palatino Linotype" w:hAnsi="Palatino Linotype"/>
                <w:color w:val="000000" w:themeColor="text1"/>
                <w:sz w:val="20"/>
                <w:szCs w:val="20"/>
              </w:rPr>
              <w:t xml:space="preserve"> incorporation strategies. Per public workshop comments, SoCalGas includes metrics for many of the proposed Initiatives related to financial impacts and responds to some comments directly. However, SoCalGas does not discuss how or if each comment was considered for each Initiative. SoCalGas must comprehensively provide </w:t>
            </w:r>
            <w:proofErr w:type="gramStart"/>
            <w:r w:rsidRPr="00BD2528">
              <w:rPr>
                <w:rFonts w:ascii="Palatino Linotype" w:hAnsi="Palatino Linotype"/>
                <w:color w:val="000000" w:themeColor="text1"/>
                <w:sz w:val="20"/>
                <w:szCs w:val="20"/>
              </w:rPr>
              <w:t>detail</w:t>
            </w:r>
            <w:proofErr w:type="gramEnd"/>
            <w:r w:rsidRPr="00BD2528">
              <w:rPr>
                <w:rFonts w:ascii="Palatino Linotype" w:hAnsi="Palatino Linotype"/>
                <w:color w:val="000000" w:themeColor="text1"/>
                <w:sz w:val="20"/>
                <w:szCs w:val="20"/>
              </w:rPr>
              <w:t xml:space="preserve"> about how it incorporated feedback or otherwise explain why it did not incorporate the input. Specifically, SoCalGas should also go further in explicitly demonstrating and equating impacts to community benefits and human outcomes for all Initiatives per feedback from California Greenworks and the Public Workshop ESJ Advisory Panel. For transparency, SoCalGas should embed both stakeholder feedback and associated incorporation strategies in the description of each proposed Initiative. </w:t>
            </w:r>
            <w:r w:rsidRPr="00BD2528">
              <w:rPr>
                <w:rFonts w:ascii="Palatino Linotype" w:hAnsi="Palatino Linotype"/>
                <w:b/>
                <w:color w:val="000000" w:themeColor="text1"/>
                <w:sz w:val="20"/>
                <w:szCs w:val="20"/>
              </w:rPr>
              <w:t>SoCalGas is </w:t>
            </w:r>
            <w:r w:rsidRPr="00BD2528">
              <w:rPr>
                <w:rFonts w:ascii="Palatino Linotype" w:hAnsi="Palatino Linotype"/>
                <w:b/>
                <w:i/>
                <w:iCs/>
                <w:color w:val="000000" w:themeColor="text1"/>
                <w:sz w:val="20"/>
                <w:szCs w:val="20"/>
              </w:rPr>
              <w:t>not </w:t>
            </w:r>
            <w:r w:rsidRPr="00BD2528">
              <w:rPr>
                <w:rFonts w:ascii="Palatino Linotype" w:hAnsi="Palatino Linotype"/>
                <w:b/>
                <w:color w:val="000000" w:themeColor="text1"/>
                <w:sz w:val="20"/>
                <w:szCs w:val="20"/>
              </w:rPr>
              <w:t>compliant with this requirement.</w:t>
            </w:r>
            <w:r w:rsidRPr="00BD2528">
              <w:rPr>
                <w:rFonts w:ascii="Palatino Linotype" w:hAnsi="Palatino Linotype"/>
                <w:color w:val="000000" w:themeColor="text1"/>
                <w:sz w:val="20"/>
                <w:szCs w:val="20"/>
              </w:rPr>
              <w:t> </w:t>
            </w:r>
          </w:p>
          <w:p w:rsidRPr="00BD2528" w:rsidR="00C05FB0" w:rsidRDefault="00C05FB0" w14:paraId="416CAB97" w14:textId="77777777">
            <w:pPr>
              <w:rPr>
                <w:rFonts w:ascii="Palatino Linotype" w:hAnsi="Palatino Linotype"/>
                <w:bCs w:val="0"/>
                <w:color w:val="000000" w:themeColor="text1"/>
                <w:sz w:val="20"/>
                <w:szCs w:val="20"/>
              </w:rPr>
            </w:pPr>
          </w:p>
        </w:tc>
      </w:tr>
      <w:tr w:rsidRPr="00BD2528" w:rsidR="00C05FB0" w14:paraId="4AE388A6" w14:textId="77777777">
        <w:trPr>
          <w:trHeight w:val="638"/>
          <w:tblHeader/>
        </w:trPr>
        <w:tc>
          <w:tcPr>
            <w:tcW w:w="3744" w:type="dxa"/>
          </w:tcPr>
          <w:p w:rsidRPr="00BD2528" w:rsidR="00C05FB0" w:rsidRDefault="00C05FB0" w14:paraId="6584D831" w14:textId="77777777">
            <w:r w:rsidRPr="00BD2528">
              <w:rPr>
                <w:rFonts w:ascii="Palatino Linotype" w:hAnsi="Palatino Linotype"/>
                <w:b/>
                <w:sz w:val="20"/>
                <w:szCs w:val="20"/>
              </w:rPr>
              <w:lastRenderedPageBreak/>
              <w:t>[19]</w:t>
            </w:r>
            <w:r w:rsidRPr="00BD2528">
              <w:rPr>
                <w:rFonts w:ascii="Palatino Linotype" w:hAnsi="Palatino Linotype"/>
                <w:sz w:val="20"/>
                <w:szCs w:val="20"/>
              </w:rPr>
              <w:t xml:space="preserve"> </w:t>
            </w:r>
            <w:hyperlink r:id="rId107">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In its 2024 Gas [RD&amp;D] Plan and beyond, [SoCalGas] shall:</w:t>
            </w:r>
            <w:r w:rsidRPr="00BD2528">
              <w:t xml:space="preserve"> </w:t>
            </w:r>
            <w:r w:rsidRPr="00BD2528">
              <w:rPr>
                <w:rFonts w:ascii="Palatino Linotype" w:hAnsi="Palatino Linotype"/>
                <w:i/>
                <w:iCs/>
                <w:sz w:val="20"/>
                <w:szCs w:val="20"/>
              </w:rPr>
              <w:t>Modify the term “benefits analysis framework” to “uniform impact analysis framework” to better explain the Commission’s intent. SoCalGas shall implement the uniform impacts analysis framework approved in Appendix A of Decision (D.) 23-04-042, as relevant for Gas RD&amp;D, to allow for tracking and evaluating the quantitative impacts of all Gas RD&amp;D projects.</w:t>
            </w:r>
            <w:r w:rsidRPr="00BD2528">
              <w:rPr>
                <w:rStyle w:val="FootnoteReference"/>
                <w:rFonts w:ascii="Palatino Linotype" w:hAnsi="Palatino Linotype"/>
                <w:i/>
                <w:iCs/>
                <w:sz w:val="20"/>
                <w:szCs w:val="20"/>
              </w:rPr>
              <w:footnoteReference w:id="337"/>
            </w:r>
          </w:p>
        </w:tc>
        <w:tc>
          <w:tcPr>
            <w:tcW w:w="6912" w:type="dxa"/>
          </w:tcPr>
          <w:p w:rsidRPr="00BD2528" w:rsidR="00C05FB0" w:rsidRDefault="00C05FB0" w14:paraId="3466C0CB"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states that staff “attended the EPIC UIAF Kickoff workshop, April 2, 2024, and has already enacted some of the staff recommendations found in EPIC. For example, all projects selected for support by SoCalGas RD&amp;D (1) must align with the CPUC’s strategic objectives, and (2) identify measurable goals.”</w:t>
            </w:r>
            <w:r w:rsidRPr="00BD2528">
              <w:rPr>
                <w:rStyle w:val="FootnoteReference"/>
                <w:rFonts w:ascii="Palatino Linotype" w:hAnsi="Palatino Linotype"/>
                <w:color w:val="000000" w:themeColor="text1"/>
                <w:sz w:val="20"/>
                <w:szCs w:val="20"/>
              </w:rPr>
              <w:footnoteReference w:id="338"/>
            </w:r>
            <w:r w:rsidRPr="00BD2528">
              <w:rPr>
                <w:rFonts w:ascii="Palatino Linotype" w:hAnsi="Palatino Linotype"/>
                <w:color w:val="000000" w:themeColor="text1"/>
                <w:sz w:val="20"/>
                <w:szCs w:val="20"/>
              </w:rPr>
              <w:t xml:space="preserve"> SoCalGas lists anticipated ratepayer benefits for each Initiative, including affordability, improved air quality, reduced GHG emissions, reliability, and improved safety.</w:t>
            </w:r>
            <w:r w:rsidRPr="00BD2528">
              <w:rPr>
                <w:rStyle w:val="FootnoteReference"/>
                <w:rFonts w:ascii="Palatino Linotype" w:hAnsi="Palatino Linotype"/>
                <w:color w:val="000000" w:themeColor="text1"/>
                <w:sz w:val="20"/>
                <w:szCs w:val="20"/>
              </w:rPr>
              <w:footnoteReference w:id="339"/>
            </w:r>
            <w:r w:rsidRPr="00BD2528">
              <w:rPr>
                <w:rFonts w:ascii="Palatino Linotype" w:hAnsi="Palatino Linotype"/>
                <w:color w:val="000000" w:themeColor="text1"/>
                <w:sz w:val="20"/>
                <w:szCs w:val="20"/>
              </w:rPr>
              <w:t xml:space="preserve"> SoCalGas lists potential metrics for tracking and evaluating quantitative impacts for each Initiative,</w:t>
            </w:r>
            <w:r w:rsidRPr="00BD2528">
              <w:rPr>
                <w:rStyle w:val="FootnoteReference"/>
                <w:rFonts w:ascii="Palatino Linotype" w:hAnsi="Palatino Linotype"/>
                <w:color w:val="000000" w:themeColor="text1"/>
                <w:sz w:val="20"/>
                <w:szCs w:val="20"/>
              </w:rPr>
              <w:footnoteReference w:id="340"/>
            </w:r>
            <w:r w:rsidRPr="00BD2528">
              <w:rPr>
                <w:rFonts w:ascii="Palatino Linotype" w:hAnsi="Palatino Linotype"/>
                <w:color w:val="000000" w:themeColor="text1"/>
                <w:sz w:val="20"/>
                <w:szCs w:val="20"/>
              </w:rPr>
              <w:t xml:space="preserve"> including:</w:t>
            </w:r>
          </w:p>
          <w:p w:rsidRPr="00BD2528" w:rsidR="00C05FB0" w:rsidP="00C05FB0" w:rsidRDefault="00C05FB0" w14:paraId="64FF0DC0" w14:textId="77777777">
            <w:pPr>
              <w:numPr>
                <w:ilvl w:val="0"/>
                <w:numId w:val="70"/>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Environmental &amp; Safety</w:t>
            </w:r>
            <w:r w:rsidRPr="00BD2528">
              <w:rPr>
                <w:rFonts w:ascii="Palatino Linotype" w:hAnsi="Palatino Linotype"/>
                <w:color w:val="000000" w:themeColor="text1"/>
                <w:sz w:val="20"/>
                <w:szCs w:val="20"/>
              </w:rPr>
              <w:t>: Reduction of GHG emissions attributed to loss of containment. </w:t>
            </w:r>
          </w:p>
          <w:p w:rsidRPr="00BD2528" w:rsidR="00C05FB0" w:rsidP="00C05FB0" w:rsidRDefault="00C05FB0" w14:paraId="27BF6F12" w14:textId="77777777">
            <w:pPr>
              <w:numPr>
                <w:ilvl w:val="0"/>
                <w:numId w:val="71"/>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Operations Technology</w:t>
            </w:r>
            <w:r w:rsidRPr="00BD2528">
              <w:rPr>
                <w:rFonts w:ascii="Palatino Linotype" w:hAnsi="Palatino Linotype"/>
                <w:color w:val="000000" w:themeColor="text1"/>
                <w:sz w:val="20"/>
                <w:szCs w:val="20"/>
              </w:rPr>
              <w:t>: Reduced maintenance costs associated with locating inaccuracies and third-party damage. </w:t>
            </w:r>
          </w:p>
          <w:p w:rsidRPr="00BD2528" w:rsidR="00C05FB0" w:rsidP="00C05FB0" w:rsidRDefault="00C05FB0" w14:paraId="7614C3BA" w14:textId="77777777">
            <w:pPr>
              <w:numPr>
                <w:ilvl w:val="0"/>
                <w:numId w:val="72"/>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System Design &amp; Materials</w:t>
            </w:r>
            <w:r w:rsidRPr="00BD2528">
              <w:rPr>
                <w:rFonts w:ascii="Palatino Linotype" w:hAnsi="Palatino Linotype"/>
                <w:color w:val="000000" w:themeColor="text1"/>
                <w:sz w:val="20"/>
                <w:szCs w:val="20"/>
              </w:rPr>
              <w:t>: Reduced operating costs associated with physical emergency response. </w:t>
            </w:r>
          </w:p>
          <w:p w:rsidRPr="00BD2528" w:rsidR="00C05FB0" w:rsidP="00C05FB0" w:rsidRDefault="00C05FB0" w14:paraId="15A5ADA2" w14:textId="77777777">
            <w:pPr>
              <w:numPr>
                <w:ilvl w:val="0"/>
                <w:numId w:val="73"/>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u w:val="single"/>
              </w:rPr>
              <w:t>System Inspection &amp; Monitoring</w:t>
            </w:r>
            <w:r w:rsidRPr="00BD2528">
              <w:rPr>
                <w:rFonts w:ascii="Palatino Linotype" w:hAnsi="Palatino Linotype"/>
                <w:color w:val="000000" w:themeColor="text1"/>
                <w:sz w:val="20"/>
                <w:szCs w:val="20"/>
              </w:rPr>
              <w:t>: Reduced monitoring costs associated with remote monitoring vs. traditional in person monitoring. </w:t>
            </w:r>
          </w:p>
          <w:p w:rsidRPr="00BD2528" w:rsidR="00C05FB0" w:rsidP="00C05FB0" w:rsidRDefault="00C05FB0" w14:paraId="1002EB75" w14:textId="77777777">
            <w:pPr>
              <w:numPr>
                <w:ilvl w:val="0"/>
                <w:numId w:val="74"/>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Maintained / reduced operations and maintenance and capital costs for </w:t>
            </w:r>
            <w:r w:rsidRPr="00BD2528">
              <w:rPr>
                <w:rFonts w:ascii="Palatino Linotype" w:hAnsi="Palatino Linotype"/>
                <w:color w:val="000000" w:themeColor="text1"/>
                <w:sz w:val="20"/>
                <w:szCs w:val="20"/>
                <w:u w:val="single"/>
              </w:rPr>
              <w:t>RNG Infrastructure Optimization</w:t>
            </w:r>
            <w:r w:rsidRPr="00BD2528">
              <w:rPr>
                <w:rFonts w:ascii="Palatino Linotype" w:hAnsi="Palatino Linotype"/>
                <w:color w:val="000000" w:themeColor="text1"/>
                <w:sz w:val="20"/>
                <w:szCs w:val="20"/>
              </w:rPr>
              <w:t xml:space="preserve"> and </w:t>
            </w:r>
            <w:r w:rsidRPr="00BD2528">
              <w:rPr>
                <w:rFonts w:ascii="Palatino Linotype" w:hAnsi="Palatino Linotype"/>
                <w:color w:val="000000" w:themeColor="text1"/>
                <w:sz w:val="20"/>
                <w:szCs w:val="20"/>
                <w:u w:val="single"/>
              </w:rPr>
              <w:t>Low-Carbon Fuels Technologies</w:t>
            </w:r>
            <w:r w:rsidRPr="00BD2528">
              <w:rPr>
                <w:rFonts w:ascii="Palatino Linotype" w:hAnsi="Palatino Linotype"/>
                <w:color w:val="000000" w:themeColor="text1"/>
                <w:sz w:val="20"/>
                <w:szCs w:val="20"/>
              </w:rPr>
              <w:t>. </w:t>
            </w:r>
          </w:p>
          <w:p w:rsidRPr="00BD2528" w:rsidR="00C05FB0" w:rsidP="00C05FB0" w:rsidRDefault="00C05FB0" w14:paraId="5B0FA58B" w14:textId="77777777">
            <w:pPr>
              <w:numPr>
                <w:ilvl w:val="0"/>
                <w:numId w:val="75"/>
              </w:numPr>
              <w:ind w:left="36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Customer bill savings (dollars saved) for </w:t>
            </w:r>
            <w:r w:rsidRPr="00BD2528">
              <w:rPr>
                <w:rFonts w:ascii="Palatino Linotype" w:hAnsi="Palatino Linotype"/>
                <w:color w:val="000000" w:themeColor="text1"/>
                <w:sz w:val="20"/>
                <w:szCs w:val="20"/>
                <w:u w:val="single"/>
              </w:rPr>
              <w:t>Energy Reliability &amp; Resilience</w:t>
            </w:r>
            <w:r w:rsidRPr="00BD2528">
              <w:rPr>
                <w:rFonts w:ascii="Palatino Linotype" w:hAnsi="Palatino Linotype"/>
                <w:color w:val="000000" w:themeColor="text1"/>
                <w:sz w:val="20"/>
                <w:szCs w:val="20"/>
              </w:rPr>
              <w:t> and </w:t>
            </w:r>
            <w:r w:rsidRPr="00BD2528">
              <w:rPr>
                <w:rFonts w:ascii="Palatino Linotype" w:hAnsi="Palatino Linotype"/>
                <w:color w:val="000000" w:themeColor="text1"/>
                <w:sz w:val="20"/>
                <w:szCs w:val="20"/>
                <w:u w:val="single"/>
              </w:rPr>
              <w:t>Building &amp; Facility Systems</w:t>
            </w:r>
            <w:r w:rsidRPr="00BD2528">
              <w:rPr>
                <w:rFonts w:ascii="Palatino Linotype" w:hAnsi="Palatino Linotype"/>
                <w:color w:val="000000" w:themeColor="text1"/>
                <w:sz w:val="20"/>
                <w:szCs w:val="20"/>
              </w:rPr>
              <w:t>. </w:t>
            </w:r>
          </w:p>
          <w:p w:rsidRPr="00BD2528" w:rsidR="00C05FB0" w:rsidRDefault="00C05FB0" w14:paraId="024EAEA0" w14:textId="77777777">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In Appendix 9, SoCalGas also includes an EPIC Uniform Impacts Analysis Framework (UIAF) Conversion Matrix, including EPIC metrics and analogous natural gas system metrics.</w:t>
            </w:r>
          </w:p>
        </w:tc>
        <w:tc>
          <w:tcPr>
            <w:tcW w:w="3600" w:type="dxa"/>
          </w:tcPr>
          <w:p w:rsidRPr="00BD2528" w:rsidR="00C05FB0" w:rsidRDefault="00C05FB0" w14:paraId="1F8DDD89"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 xml:space="preserve">SoCalGas describes anticipated ratepayer benefits and defines appropriate metrics for conducting impact analyses attributable to each Initiative. </w:t>
            </w:r>
            <w:r w:rsidRPr="00BD2528">
              <w:rPr>
                <w:rFonts w:ascii="Palatino Linotype" w:hAnsi="Palatino Linotype"/>
                <w:b/>
                <w:color w:val="000000" w:themeColor="text1"/>
                <w:sz w:val="20"/>
                <w:szCs w:val="20"/>
              </w:rPr>
              <w:t>SoCalGas is compliant with this requirement.</w:t>
            </w:r>
            <w:r w:rsidRPr="00BD2528">
              <w:rPr>
                <w:rFonts w:ascii="Palatino Linotype" w:hAnsi="Palatino Linotype"/>
                <w:color w:val="000000" w:themeColor="text1"/>
                <w:sz w:val="20"/>
                <w:szCs w:val="20"/>
              </w:rPr>
              <w:t> </w:t>
            </w:r>
          </w:p>
          <w:p w:rsidRPr="00BD2528" w:rsidR="00C05FB0" w:rsidRDefault="00C05FB0" w14:paraId="20788719" w14:textId="77777777">
            <w:pPr>
              <w:spacing w:before="240"/>
              <w:rPr>
                <w:rFonts w:ascii="Palatino Linotype" w:hAnsi="Palatino Linotype"/>
                <w:color w:val="000000" w:themeColor="text1"/>
                <w:sz w:val="20"/>
                <w:szCs w:val="20"/>
              </w:rPr>
            </w:pPr>
            <w:r w:rsidRPr="00BD2528">
              <w:rPr>
                <w:rFonts w:ascii="Palatino Linotype" w:hAnsi="Palatino Linotype"/>
                <w:color w:val="000000" w:themeColor="text1"/>
                <w:sz w:val="20"/>
                <w:szCs w:val="20"/>
              </w:rPr>
              <w:t xml:space="preserve">However, SoCalGas shall review its 2025 Plan for elements of Initiatives that primarily support compliance with existing requirements/regulations or ongoing operations and maintenance activities and refine as necessary to demonstrate that RD&amp;D is innovative and produces impacts that would not otherwise be expected to occur. SoCalGas </w:t>
            </w:r>
            <w:proofErr w:type="gramStart"/>
            <w:r w:rsidRPr="00BD2528">
              <w:rPr>
                <w:rFonts w:ascii="Palatino Linotype" w:hAnsi="Palatino Linotype"/>
                <w:color w:val="000000" w:themeColor="text1"/>
                <w:sz w:val="20"/>
                <w:szCs w:val="20"/>
              </w:rPr>
              <w:t>shall</w:t>
            </w:r>
            <w:proofErr w:type="gramEnd"/>
            <w:r w:rsidRPr="00BD2528">
              <w:rPr>
                <w:rFonts w:ascii="Palatino Linotype" w:hAnsi="Palatino Linotype"/>
                <w:color w:val="000000" w:themeColor="text1"/>
                <w:sz w:val="20"/>
                <w:szCs w:val="20"/>
              </w:rPr>
              <w:t xml:space="preserve"> also clearly articulate impact analyses resulting from the described methods in addition to lessons learned in project reports and Annual Reports.</w:t>
            </w:r>
            <w:r w:rsidRPr="00BD2528">
              <w:rPr>
                <w:rStyle w:val="FootnoteReference"/>
                <w:rFonts w:ascii="Palatino Linotype" w:hAnsi="Palatino Linotype"/>
                <w:color w:val="000000" w:themeColor="text1"/>
                <w:sz w:val="20"/>
                <w:szCs w:val="20"/>
              </w:rPr>
              <w:footnoteReference w:id="341"/>
            </w:r>
          </w:p>
        </w:tc>
      </w:tr>
      <w:tr w:rsidRPr="00BD2528" w:rsidR="00C05FB0" w14:paraId="27B37F5C" w14:textId="77777777">
        <w:trPr>
          <w:trHeight w:val="638"/>
          <w:tblHeader/>
        </w:trPr>
        <w:tc>
          <w:tcPr>
            <w:tcW w:w="3744" w:type="dxa"/>
          </w:tcPr>
          <w:p w:rsidRPr="00BD2528" w:rsidR="00C05FB0" w:rsidRDefault="00C05FB0" w14:paraId="15FE157C" w14:textId="77777777">
            <w:pPr>
              <w:rPr>
                <w:rFonts w:ascii="Palatino Linotype" w:hAnsi="Palatino Linotype"/>
                <w:i/>
                <w:iCs/>
                <w:color w:val="000000" w:themeColor="text1"/>
                <w:sz w:val="20"/>
                <w:szCs w:val="20"/>
              </w:rPr>
            </w:pPr>
            <w:r w:rsidRPr="00BD2528">
              <w:rPr>
                <w:rFonts w:ascii="Palatino Linotype" w:hAnsi="Palatino Linotype"/>
                <w:b/>
                <w:sz w:val="20"/>
                <w:szCs w:val="20"/>
              </w:rPr>
              <w:lastRenderedPageBreak/>
              <w:t xml:space="preserve">[20] </w:t>
            </w:r>
            <w:hyperlink w:tgtFrame="_blank" w:history="1" r:id="rId108">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 xml:space="preserve">In its 2024 Gas [RD&amp;D] Plan and beyond, [SoCalGas] shall: Use the Disadvantaged Communities Advisory Group’s (DACAG) Equity Framework for guidance on how to develop research projects that benefit Environmental and Social Justice (ESJ) communities as well as engage with disadvantaged, low-income, and tribal communities. SoCalGas shall demonstrate in its research plan how it applied </w:t>
            </w:r>
            <w:proofErr w:type="gramStart"/>
            <w:r w:rsidRPr="00BD2528">
              <w:rPr>
                <w:rFonts w:ascii="Palatino Linotype" w:hAnsi="Palatino Linotype"/>
                <w:i/>
                <w:iCs/>
                <w:sz w:val="20"/>
                <w:szCs w:val="20"/>
              </w:rPr>
              <w:t>the DACAG’s</w:t>
            </w:r>
            <w:proofErr w:type="gramEnd"/>
            <w:r w:rsidRPr="00BD2528">
              <w:rPr>
                <w:rFonts w:ascii="Palatino Linotype" w:hAnsi="Palatino Linotype"/>
                <w:i/>
                <w:iCs/>
                <w:sz w:val="20"/>
                <w:szCs w:val="20"/>
              </w:rPr>
              <w:t xml:space="preserve"> Equity Framework and offer to brief DACAG members on its annual gas [RD&amp;D] proposals. Further, SoCalGas shall describe the benefits and impacts of its RD&amp;D work in ESJ communities in its annual Plan.</w:t>
            </w:r>
          </w:p>
          <w:p w:rsidRPr="00BD2528" w:rsidR="00C05FB0" w:rsidRDefault="00C05FB0" w14:paraId="4F8AECF8" w14:textId="77777777">
            <w:pPr>
              <w:rPr>
                <w:i/>
                <w:iCs/>
                <w:color w:val="000000" w:themeColor="text1"/>
              </w:rPr>
            </w:pPr>
          </w:p>
          <w:p w:rsidRPr="00BD2528" w:rsidR="00C05FB0" w:rsidRDefault="00C05FB0" w14:paraId="1FB1C568" w14:textId="77777777">
            <w:r w:rsidRPr="00BD2528">
              <w:rPr>
                <w:rStyle w:val="normaltextrun"/>
                <w:rFonts w:ascii="Palatino Linotype" w:hAnsi="Palatino Linotype"/>
                <w:color w:val="000000" w:themeColor="text1"/>
                <w:sz w:val="20"/>
                <w:szCs w:val="20"/>
                <w:shd w:val="clear" w:color="auto" w:fill="FFFFFF"/>
              </w:rPr>
              <w:t>See also: [18] on integration of public stakeholder feedback, including an ESJ Advisory Panel.</w:t>
            </w:r>
            <w:r w:rsidRPr="00BD2528">
              <w:rPr>
                <w:rStyle w:val="normaltextrun"/>
                <w:rFonts w:ascii="Times New Roman" w:hAnsi="Times New Roman" w:cs="Times New Roman"/>
                <w:color w:val="000000" w:themeColor="text1"/>
                <w:sz w:val="20"/>
                <w:szCs w:val="20"/>
                <w:shd w:val="clear" w:color="auto" w:fill="FFFFFF"/>
              </w:rPr>
              <w:t> </w:t>
            </w:r>
          </w:p>
        </w:tc>
        <w:tc>
          <w:tcPr>
            <w:tcW w:w="6912" w:type="dxa"/>
          </w:tcPr>
          <w:p w:rsidRPr="00BD2528" w:rsidR="00C05FB0" w:rsidRDefault="00C05FB0" w14:paraId="01EEDC0F" w14:textId="77777777">
            <w:pPr>
              <w:rPr>
                <w:rFonts w:ascii="Palatino Linotype" w:hAnsi="Palatino Linotype"/>
                <w:color w:val="000000" w:themeColor="text1"/>
                <w:sz w:val="20"/>
                <w:szCs w:val="20"/>
              </w:rPr>
            </w:pPr>
            <w:r w:rsidRPr="00BD2528">
              <w:rPr>
                <w:rFonts w:ascii="Palatino Linotype" w:hAnsi="Palatino Linotype"/>
                <w:color w:val="000000" w:themeColor="text1"/>
                <w:sz w:val="20"/>
                <w:szCs w:val="20"/>
              </w:rPr>
              <w:t>In Appendix 6, SoCalGas states that it “will draw from the DACAG’s Equity Framework to help guide efforts toward outcomes that could benefit ESJ communities over time” and “consider a variety of approaches” such as non-energy benefits (NEBs), affordability, access, outreach, education, community engagement, health, safety, financial benefits, economic development, and workforce development.</w:t>
            </w:r>
            <w:r w:rsidRPr="00BD2528">
              <w:rPr>
                <w:rFonts w:ascii="Palatino Linotype" w:hAnsi="Palatino Linotype"/>
                <w:color w:val="000000" w:themeColor="text1"/>
                <w:sz w:val="20"/>
                <w:szCs w:val="20"/>
                <w:vertAlign w:val="superscript"/>
              </w:rPr>
              <w:t>74</w:t>
            </w:r>
            <w:r w:rsidRPr="00BD2528">
              <w:rPr>
                <w:rFonts w:ascii="Palatino Linotype" w:hAnsi="Palatino Linotype"/>
                <w:i/>
                <w:iCs/>
                <w:color w:val="000000" w:themeColor="text1"/>
                <w:sz w:val="20"/>
                <w:szCs w:val="20"/>
              </w:rPr>
              <w:t> </w:t>
            </w:r>
            <w:r w:rsidRPr="00BD2528">
              <w:rPr>
                <w:rFonts w:ascii="Palatino Linotype" w:hAnsi="Palatino Linotype"/>
                <w:color w:val="000000" w:themeColor="text1"/>
                <w:sz w:val="20"/>
                <w:szCs w:val="20"/>
              </w:rPr>
              <w:t>SoCalGas describes outreach to the DACAG, including briefing them on April 18, 2025, to share its proposed Plan and solicit input. SoCalGas reports that the DACAG:  </w:t>
            </w:r>
          </w:p>
          <w:p w:rsidRPr="00BD2528" w:rsidR="00C05FB0" w:rsidP="00C05FB0" w:rsidRDefault="00C05FB0" w14:paraId="437CE48B" w14:textId="77777777">
            <w:pPr>
              <w:pStyle w:val="ListParagraph"/>
              <w:numPr>
                <w:ilvl w:val="0"/>
                <w:numId w:val="76"/>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w:t>
            </w:r>
            <w:proofErr w:type="gramStart"/>
            <w:r w:rsidRPr="00BD2528">
              <w:rPr>
                <w:rFonts w:ascii="Palatino Linotype" w:hAnsi="Palatino Linotype"/>
                <w:color w:val="000000" w:themeColor="text1"/>
                <w:sz w:val="20"/>
                <w:szCs w:val="20"/>
              </w:rPr>
              <w:t>is</w:t>
            </w:r>
            <w:proofErr w:type="gramEnd"/>
            <w:r w:rsidRPr="00BD2528">
              <w:rPr>
                <w:rFonts w:ascii="Palatino Linotype" w:hAnsi="Palatino Linotype"/>
                <w:color w:val="000000" w:themeColor="text1"/>
                <w:sz w:val="20"/>
                <w:szCs w:val="20"/>
              </w:rPr>
              <w:t> interested in data around RNG constituents (including any potential emissions data) and compressor operations data; they requested data be shared publicly to the extent possible;”</w:t>
            </w:r>
            <w:r w:rsidRPr="00BD2528">
              <w:rPr>
                <w:rStyle w:val="FootnoteReference"/>
                <w:rFonts w:ascii="Palatino Linotype" w:hAnsi="Palatino Linotype"/>
                <w:color w:val="000000" w:themeColor="text1"/>
                <w:sz w:val="20"/>
                <w:szCs w:val="20"/>
              </w:rPr>
              <w:footnoteReference w:id="342"/>
            </w:r>
          </w:p>
          <w:p w:rsidRPr="00BD2528" w:rsidR="00C05FB0" w:rsidP="00C05FB0" w:rsidRDefault="00C05FB0" w14:paraId="29589213" w14:textId="77777777">
            <w:pPr>
              <w:pStyle w:val="ListParagraph"/>
              <w:numPr>
                <w:ilvl w:val="0"/>
                <w:numId w:val="76"/>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w:t>
            </w:r>
            <w:proofErr w:type="gramStart"/>
            <w:r w:rsidRPr="00BD2528">
              <w:rPr>
                <w:rFonts w:ascii="Palatino Linotype" w:hAnsi="Palatino Linotype"/>
                <w:color w:val="000000" w:themeColor="text1"/>
                <w:sz w:val="20"/>
                <w:szCs w:val="20"/>
              </w:rPr>
              <w:t>asked</w:t>
            </w:r>
            <w:proofErr w:type="gramEnd"/>
            <w:r w:rsidRPr="00BD2528">
              <w:rPr>
                <w:rFonts w:ascii="Palatino Linotype" w:hAnsi="Palatino Linotype"/>
                <w:color w:val="000000" w:themeColor="text1"/>
                <w:sz w:val="20"/>
                <w:szCs w:val="20"/>
              </w:rPr>
              <w:t> how SoCalGas will offset the impact of these projects. For projects developing technologies to advance the production of renewable gas, any resulting emissions will be addressed through mitigation or capture;”</w:t>
            </w:r>
            <w:r w:rsidRPr="00BD2528">
              <w:rPr>
                <w:rStyle w:val="FootnoteReference"/>
                <w:rFonts w:ascii="Palatino Linotype" w:hAnsi="Palatino Linotype"/>
                <w:color w:val="000000" w:themeColor="text1"/>
                <w:sz w:val="20"/>
                <w:szCs w:val="20"/>
              </w:rPr>
              <w:footnoteReference w:id="343"/>
            </w:r>
            <w:r w:rsidRPr="00BD2528">
              <w:rPr>
                <w:rFonts w:ascii="Palatino Linotype" w:hAnsi="Palatino Linotype"/>
                <w:color w:val="000000" w:themeColor="text1"/>
                <w:sz w:val="20"/>
                <w:szCs w:val="20"/>
              </w:rPr>
              <w:t xml:space="preserve"> and</w:t>
            </w:r>
          </w:p>
          <w:p w:rsidRPr="00BD2528" w:rsidR="00C05FB0" w:rsidP="00C05FB0" w:rsidRDefault="00C05FB0" w14:paraId="45E8AAC2" w14:textId="77777777">
            <w:pPr>
              <w:pStyle w:val="ListParagraph"/>
              <w:numPr>
                <w:ilvl w:val="0"/>
                <w:numId w:val="76"/>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w:t>
            </w:r>
            <w:proofErr w:type="gramStart"/>
            <w:r w:rsidRPr="00BD2528">
              <w:rPr>
                <w:rFonts w:ascii="Palatino Linotype" w:hAnsi="Palatino Linotype"/>
                <w:color w:val="000000" w:themeColor="text1"/>
                <w:sz w:val="20"/>
                <w:szCs w:val="20"/>
              </w:rPr>
              <w:t>recommended</w:t>
            </w:r>
            <w:proofErr w:type="gramEnd"/>
            <w:r w:rsidRPr="00BD2528">
              <w:rPr>
                <w:rFonts w:ascii="Palatino Linotype" w:hAnsi="Palatino Linotype"/>
                <w:color w:val="000000" w:themeColor="text1"/>
                <w:sz w:val="20"/>
                <w:szCs w:val="20"/>
              </w:rPr>
              <w:t> that [the Building &amp; Facility Systems] initiative exclude gas-fired air conditioning.”</w:t>
            </w:r>
            <w:r w:rsidRPr="00BD2528">
              <w:rPr>
                <w:rStyle w:val="FootnoteReference"/>
                <w:rFonts w:ascii="Palatino Linotype" w:hAnsi="Palatino Linotype"/>
                <w:color w:val="000000" w:themeColor="text1"/>
                <w:sz w:val="20"/>
                <w:szCs w:val="20"/>
              </w:rPr>
              <w:footnoteReference w:id="344"/>
            </w:r>
          </w:p>
          <w:p w:rsidRPr="00BD2528" w:rsidR="00C05FB0" w:rsidRDefault="00C05FB0" w14:paraId="09EBB5BD" w14:textId="77777777">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 xml:space="preserve">In response, SoCalGas states: </w:t>
            </w:r>
          </w:p>
          <w:p w:rsidRPr="00BD2528" w:rsidR="00C05FB0" w:rsidP="00C05FB0" w:rsidRDefault="00C05FB0" w14:paraId="32A7BE4C" w14:textId="77777777">
            <w:pPr>
              <w:pStyle w:val="ListParagraph"/>
              <w:numPr>
                <w:ilvl w:val="0"/>
                <w:numId w:val="7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“Several projects include monitoring and testing for trace constituents that will result in data available through reports and presentations. As applicable, data that is published for public consumption will be shared publicly.”</w:t>
            </w:r>
          </w:p>
          <w:p w:rsidRPr="00BD2528" w:rsidR="00C05FB0" w:rsidP="00C05FB0" w:rsidRDefault="00C05FB0" w14:paraId="683C2AA5" w14:textId="77777777">
            <w:pPr>
              <w:pStyle w:val="ListParagraph"/>
              <w:numPr>
                <w:ilvl w:val="0"/>
                <w:numId w:val="7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“For projects developing technologies to advance the storage of renewable gas, any resulting emissions will be addressed through mitigation or capture.”</w:t>
            </w:r>
            <w:r w:rsidRPr="00BD2528">
              <w:rPr>
                <w:rStyle w:val="FootnoteReference"/>
                <w:rFonts w:ascii="Palatino Linotype" w:hAnsi="Palatino Linotype"/>
                <w:color w:val="000000" w:themeColor="text1"/>
                <w:sz w:val="20"/>
                <w:szCs w:val="20"/>
              </w:rPr>
              <w:footnoteReference w:id="345"/>
            </w:r>
          </w:p>
        </w:tc>
        <w:tc>
          <w:tcPr>
            <w:tcW w:w="3600" w:type="dxa"/>
          </w:tcPr>
          <w:p w:rsidRPr="00BD2528" w:rsidR="00C05FB0" w:rsidRDefault="00C05FB0" w14:paraId="673CEF41"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discusses its use of the DACAG Equity Framewor</w:t>
            </w:r>
            <w:r w:rsidRPr="00BD2528">
              <w:rPr>
                <w:rFonts w:ascii="Palatino Linotype" w:hAnsi="Palatino Linotype"/>
                <w:bCs w:val="0"/>
                <w:color w:val="000000" w:themeColor="text1"/>
                <w:sz w:val="20"/>
                <w:szCs w:val="20"/>
              </w:rPr>
              <w:t>k a</w:t>
            </w:r>
            <w:r w:rsidRPr="00BD2528">
              <w:rPr>
                <w:rFonts w:ascii="Palatino Linotype" w:hAnsi="Palatino Linotype"/>
                <w:color w:val="000000" w:themeColor="text1"/>
                <w:sz w:val="20"/>
                <w:szCs w:val="20"/>
              </w:rPr>
              <w:t>nd</w:t>
            </w:r>
            <w:r w:rsidRPr="00BD2528">
              <w:rPr>
                <w:rFonts w:ascii="Palatino Linotype" w:hAnsi="Palatino Linotype"/>
                <w:bCs w:val="0"/>
                <w:color w:val="000000" w:themeColor="text1"/>
                <w:sz w:val="20"/>
                <w:szCs w:val="20"/>
              </w:rPr>
              <w:t xml:space="preserve"> e</w:t>
            </w:r>
            <w:r w:rsidRPr="00BD2528">
              <w:rPr>
                <w:rFonts w:ascii="Palatino Linotype" w:hAnsi="Palatino Linotype"/>
                <w:color w:val="000000" w:themeColor="text1"/>
                <w:sz w:val="20"/>
                <w:szCs w:val="20"/>
              </w:rPr>
              <w:t>ngagement of ESJ communities, particularly the DACAG, in the development of its 2024</w:t>
            </w:r>
            <w:r w:rsidRPr="00BD2528">
              <w:rPr>
                <w:rFonts w:ascii="Palatino Linotype" w:hAnsi="Palatino Linotype"/>
                <w:bCs w:val="0"/>
                <w:color w:val="000000" w:themeColor="text1"/>
                <w:sz w:val="20"/>
                <w:szCs w:val="20"/>
              </w:rPr>
              <w:t xml:space="preserve"> P</w:t>
            </w:r>
            <w:r w:rsidRPr="00BD2528">
              <w:rPr>
                <w:rFonts w:ascii="Palatino Linotype" w:hAnsi="Palatino Linotype"/>
                <w:color w:val="000000" w:themeColor="text1"/>
                <w:sz w:val="20"/>
                <w:szCs w:val="20"/>
              </w:rPr>
              <w:t>lan</w:t>
            </w:r>
            <w:r w:rsidRPr="00BD2528">
              <w:rPr>
                <w:rFonts w:ascii="Palatino Linotype" w:hAnsi="Palatino Linotype"/>
                <w:bCs w:val="0"/>
                <w:color w:val="000000" w:themeColor="text1"/>
                <w:sz w:val="20"/>
                <w:szCs w:val="20"/>
              </w:rPr>
              <w:t xml:space="preserve">. </w:t>
            </w:r>
            <w:r w:rsidRPr="00BD2528">
              <w:rPr>
                <w:rFonts w:ascii="Palatino Linotype" w:hAnsi="Palatino Linotype"/>
                <w:b/>
                <w:color w:val="000000" w:themeColor="text1"/>
                <w:sz w:val="20"/>
                <w:szCs w:val="20"/>
              </w:rPr>
              <w:t>SoCalGas</w:t>
            </w:r>
            <w:r w:rsidRPr="00BD2528">
              <w:rPr>
                <w:rFonts w:ascii="Palatino Linotype" w:hAnsi="Palatino Linotype"/>
                <w:b/>
                <w:bCs w:val="0"/>
                <w:color w:val="000000" w:themeColor="text1"/>
                <w:sz w:val="20"/>
                <w:szCs w:val="20"/>
              </w:rPr>
              <w:t xml:space="preserve"> i</w:t>
            </w:r>
            <w:r w:rsidRPr="00BD2528">
              <w:rPr>
                <w:rFonts w:ascii="Palatino Linotype" w:hAnsi="Palatino Linotype"/>
                <w:b/>
                <w:color w:val="000000" w:themeColor="text1"/>
                <w:sz w:val="20"/>
                <w:szCs w:val="20"/>
              </w:rPr>
              <w:t>s compliant with this requirement.</w:t>
            </w:r>
            <w:r w:rsidRPr="00BD2528">
              <w:rPr>
                <w:rFonts w:ascii="Palatino Linotype" w:hAnsi="Palatino Linotype"/>
                <w:color w:val="000000" w:themeColor="text1"/>
                <w:sz w:val="20"/>
                <w:szCs w:val="20"/>
              </w:rPr>
              <w:t> </w:t>
            </w:r>
          </w:p>
        </w:tc>
      </w:tr>
      <w:tr w:rsidRPr="00BD2528" w:rsidR="00C05FB0" w14:paraId="34B818AB" w14:textId="77777777">
        <w:trPr>
          <w:trHeight w:val="638"/>
          <w:tblHeader/>
        </w:trPr>
        <w:tc>
          <w:tcPr>
            <w:tcW w:w="3744" w:type="dxa"/>
          </w:tcPr>
          <w:p w:rsidRPr="00BD2528" w:rsidR="00C05FB0" w:rsidRDefault="00C05FB0" w14:paraId="2C29B1BB" w14:textId="77777777">
            <w:pPr>
              <w:rPr>
                <w:rFonts w:ascii="Palatino Linotype" w:hAnsi="Palatino Linotype"/>
                <w:i/>
                <w:iCs/>
                <w:color w:val="000000" w:themeColor="text1"/>
                <w:sz w:val="20"/>
                <w:szCs w:val="20"/>
              </w:rPr>
            </w:pPr>
            <w:r w:rsidRPr="00BD2528">
              <w:rPr>
                <w:rFonts w:ascii="Palatino Linotype" w:hAnsi="Palatino Linotype"/>
                <w:b/>
                <w:sz w:val="20"/>
                <w:szCs w:val="20"/>
              </w:rPr>
              <w:lastRenderedPageBreak/>
              <w:t xml:space="preserve">[21] </w:t>
            </w:r>
            <w:hyperlink w:tgtFrame="_blank" w:history="1" r:id="rId109">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 xml:space="preserve">In its 2024 Gas [RD&amp;D] Plan and beyond, [SoCalGas] shall: Demonstrate that it has consulted with ESJ communities in advance of developing research projects to ensure projects are effective in realizing benefits for ESJ communities. In its workshop to solicit stakeholder feedback on its future Gas RD&amp;D plans, SoCalGas shall consult with Energy Division in curating an ESJ community advisory workshop panel to be consulted in a public workshop prior to submitting its annual Gas RD&amp;D Plan to the Commission. </w:t>
            </w:r>
            <w:r w:rsidRPr="00BD2528">
              <w:rPr>
                <w:rFonts w:ascii="Palatino Linotype" w:hAnsi="Palatino Linotype"/>
                <w:i/>
                <w:iCs/>
                <w:color w:val="000000" w:themeColor="text1"/>
                <w:sz w:val="20"/>
                <w:szCs w:val="20"/>
              </w:rPr>
              <w:t>SoCalGas shall explore compensation strategies for its advisory panel.</w:t>
            </w:r>
          </w:p>
          <w:p w:rsidRPr="00BD2528" w:rsidR="00C05FB0" w:rsidRDefault="00C05FB0" w14:paraId="56942D72" w14:textId="77777777">
            <w:pPr>
              <w:rPr>
                <w:i/>
                <w:iCs/>
                <w:color w:val="000000" w:themeColor="text1"/>
              </w:rPr>
            </w:pPr>
          </w:p>
          <w:p w:rsidRPr="00BD2528" w:rsidR="00C05FB0" w:rsidRDefault="00C05FB0" w14:paraId="0DA05871" w14:textId="77777777">
            <w:r w:rsidRPr="00BD2528">
              <w:rPr>
                <w:rStyle w:val="normaltextrun"/>
                <w:rFonts w:ascii="Palatino Linotype" w:hAnsi="Palatino Linotype"/>
                <w:color w:val="000000" w:themeColor="text1"/>
                <w:sz w:val="20"/>
                <w:szCs w:val="20"/>
                <w:shd w:val="clear" w:color="auto" w:fill="FFFFFF"/>
              </w:rPr>
              <w:t>See also: [18] on integration of public stakeholder feedback, including an ESJ Advisory Panel.</w:t>
            </w:r>
            <w:r w:rsidRPr="00BD2528">
              <w:rPr>
                <w:rStyle w:val="normaltextrun"/>
                <w:rFonts w:ascii="Times New Roman" w:hAnsi="Times New Roman" w:cs="Times New Roman"/>
                <w:color w:val="000000" w:themeColor="text1"/>
                <w:sz w:val="20"/>
                <w:szCs w:val="20"/>
                <w:shd w:val="clear" w:color="auto" w:fill="FFFFFF"/>
              </w:rPr>
              <w:t> </w:t>
            </w:r>
          </w:p>
        </w:tc>
        <w:tc>
          <w:tcPr>
            <w:tcW w:w="6912" w:type="dxa"/>
          </w:tcPr>
          <w:p w:rsidRPr="00BD2528" w:rsidR="00C05FB0" w:rsidRDefault="00C05FB0" w14:paraId="5B6D9B59"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assembled an Advisory Panel of seven ESJ stakeholders who participated in the Annual Workshop.</w:t>
            </w:r>
            <w:r w:rsidRPr="00BD2528">
              <w:rPr>
                <w:rStyle w:val="FootnoteReference"/>
                <w:rFonts w:ascii="Palatino Linotype" w:hAnsi="Palatino Linotype"/>
                <w:color w:val="000000" w:themeColor="text1"/>
                <w:sz w:val="20"/>
                <w:szCs w:val="20"/>
              </w:rPr>
              <w:footnoteReference w:id="346"/>
            </w:r>
            <w:r w:rsidRPr="00BD2528">
              <w:rPr>
                <w:rFonts w:ascii="Palatino Linotype" w:hAnsi="Palatino Linotype"/>
                <w:color w:val="000000" w:themeColor="text1"/>
                <w:sz w:val="20"/>
                <w:szCs w:val="20"/>
              </w:rPr>
              <w:t xml:space="preserve"> SoCalGas “describes the establishment of the ESJ Advisory Panel and its role in supporting inclusive engagement. Prior to the Annual Workshop, SoCalGas convened the panel to preview workshop content and facilitate meaningful participation. During the workshop, seven panel members provided public input during the Q&amp;A segments. Following the workshop, panelists completed a feedback survey developed by the SoCalGas RD&amp;D team. In consultation with the Commission, SoCalGas compensated panel representatives at a rate of $150 per hour for their time and contributions.”</w:t>
            </w:r>
            <w:r w:rsidRPr="00BD2528">
              <w:rPr>
                <w:rStyle w:val="FootnoteReference"/>
                <w:rFonts w:ascii="Palatino Linotype" w:hAnsi="Palatino Linotype"/>
                <w:color w:val="000000" w:themeColor="text1"/>
                <w:sz w:val="20"/>
                <w:szCs w:val="20"/>
              </w:rPr>
              <w:footnoteReference w:id="347"/>
            </w:r>
            <w:r w:rsidRPr="00BD2528">
              <w:rPr>
                <w:rFonts w:ascii="Palatino Linotype" w:hAnsi="Palatino Linotype"/>
                <w:color w:val="000000" w:themeColor="text1"/>
                <w:sz w:val="20"/>
                <w:szCs w:val="20"/>
              </w:rPr>
              <w:t xml:space="preserve"> SoCalGas discusses feedback received from public workshop attendees, including an ESJ Advisory Panel, for each Initiative.</w:t>
            </w:r>
            <w:r w:rsidRPr="00BD2528">
              <w:rPr>
                <w:rStyle w:val="FootnoteReference"/>
                <w:rFonts w:ascii="Palatino Linotype" w:hAnsi="Palatino Linotype"/>
                <w:color w:val="000000" w:themeColor="text1"/>
                <w:sz w:val="20"/>
                <w:szCs w:val="20"/>
              </w:rPr>
              <w:footnoteReference w:id="348"/>
            </w:r>
          </w:p>
        </w:tc>
        <w:tc>
          <w:tcPr>
            <w:tcW w:w="3600" w:type="dxa"/>
          </w:tcPr>
          <w:p w:rsidRPr="00BD2528" w:rsidR="00C05FB0" w:rsidRDefault="00C05FB0" w14:paraId="16ED9D4C" w14:textId="77777777">
            <w:pPr>
              <w:rPr>
                <w:rFonts w:ascii="Palatino Linotype" w:hAnsi="Palatino Linotype"/>
                <w:b/>
                <w:color w:val="000000" w:themeColor="text1"/>
                <w:sz w:val="20"/>
                <w:szCs w:val="20"/>
              </w:rPr>
            </w:pPr>
            <w:r w:rsidRPr="00BD2528">
              <w:rPr>
                <w:rFonts w:ascii="Palatino Linotype" w:hAnsi="Palatino Linotype"/>
                <w:color w:val="000000" w:themeColor="text1"/>
                <w:sz w:val="20"/>
                <w:szCs w:val="20"/>
              </w:rPr>
              <w:t xml:space="preserve">SoCalGas </w:t>
            </w:r>
            <w:proofErr w:type="gramStart"/>
            <w:r w:rsidRPr="00BD2528">
              <w:rPr>
                <w:rFonts w:ascii="Palatino Linotype" w:hAnsi="Palatino Linotype"/>
                <w:color w:val="000000" w:themeColor="text1"/>
                <w:sz w:val="20"/>
                <w:szCs w:val="20"/>
              </w:rPr>
              <w:t>curated</w:t>
            </w:r>
            <w:proofErr w:type="gramEnd"/>
            <w:r w:rsidRPr="00BD2528">
              <w:rPr>
                <w:rFonts w:ascii="Palatino Linotype" w:hAnsi="Palatino Linotype"/>
                <w:color w:val="000000" w:themeColor="text1"/>
                <w:sz w:val="20"/>
                <w:szCs w:val="20"/>
              </w:rPr>
              <w:t xml:space="preserve"> an ESJ community advisory panel to seek input prior to submitting its proposed Plan and provided compensation. </w:t>
            </w:r>
            <w:r w:rsidRPr="00BD2528">
              <w:rPr>
                <w:rFonts w:ascii="Palatino Linotype" w:hAnsi="Palatino Linotype"/>
                <w:b/>
                <w:color w:val="000000" w:themeColor="text1"/>
                <w:sz w:val="20"/>
                <w:szCs w:val="20"/>
              </w:rPr>
              <w:t>SoCalGas is compliant with this requirement.</w:t>
            </w:r>
          </w:p>
        </w:tc>
      </w:tr>
      <w:tr w:rsidRPr="00BD2528" w:rsidR="00C05FB0" w14:paraId="08E1B9D4" w14:textId="77777777">
        <w:trPr>
          <w:trHeight w:val="638"/>
          <w:tblHeader/>
        </w:trPr>
        <w:tc>
          <w:tcPr>
            <w:tcW w:w="3744" w:type="dxa"/>
          </w:tcPr>
          <w:p w:rsidRPr="00BD2528" w:rsidR="00C05FB0" w:rsidRDefault="00C05FB0" w14:paraId="15972A78" w14:textId="77777777">
            <w:r w:rsidRPr="00BD2528">
              <w:rPr>
                <w:rFonts w:ascii="Palatino Linotype" w:hAnsi="Palatino Linotype"/>
                <w:b/>
                <w:sz w:val="20"/>
                <w:szCs w:val="20"/>
              </w:rPr>
              <w:t xml:space="preserve">[22] </w:t>
            </w:r>
            <w:hyperlink w:tgtFrame="_blank" w:history="1" r:id="rId110">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In its 2024 Gas [RD&amp;D] Plan and beyond, [SoCalGas] shall: Demonstrate that any hydrogen programs and projects utilize clean renewable hydrogen, consistent with the definition given in D.22-12-057, or the Commission’s successor definition for clean hydrogen.</w:t>
            </w:r>
          </w:p>
        </w:tc>
        <w:tc>
          <w:tcPr>
            <w:tcW w:w="6912" w:type="dxa"/>
          </w:tcPr>
          <w:p w:rsidRPr="00BD2528" w:rsidR="00C05FB0" w:rsidRDefault="00C05FB0" w14:paraId="634508F8" w14:textId="77777777">
            <w:p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SoCalGas states that it “requires proposed hydrogen projects meet specific criteria consistent with the clean renewable hydrogen definition adopted in D.22-12-057”</w:t>
            </w:r>
            <w:r w:rsidRPr="00BD2528">
              <w:rPr>
                <w:rStyle w:val="FootnoteReference"/>
                <w:rFonts w:ascii="Palatino Linotype" w:hAnsi="Palatino Linotype"/>
                <w:color w:val="000000" w:themeColor="text1"/>
                <w:sz w:val="20"/>
                <w:szCs w:val="20"/>
              </w:rPr>
              <w:footnoteReference w:id="349"/>
            </w:r>
            <w:r w:rsidRPr="00BD2528">
              <w:rPr>
                <w:rFonts w:ascii="Palatino Linotype" w:hAnsi="Palatino Linotype"/>
                <w:color w:val="000000" w:themeColor="text1"/>
                <w:sz w:val="20"/>
                <w:szCs w:val="20"/>
              </w:rPr>
              <w:t xml:space="preserve"> and a “vendor must:</w:t>
            </w:r>
          </w:p>
          <w:p w:rsidRPr="00BD2528" w:rsidR="00C05FB0" w:rsidP="00C05FB0" w:rsidRDefault="00C05FB0" w14:paraId="6A7607F4" w14:textId="77777777">
            <w:pPr>
              <w:pStyle w:val="ListParagraph"/>
              <w:numPr>
                <w:ilvl w:val="0"/>
                <w:numId w:val="28"/>
              </w:numPr>
              <w:rPr>
                <w:rFonts w:ascii="Palatino Linotype" w:hAnsi="Palatino Linotype"/>
                <w:bCs w:val="0"/>
                <w:color w:val="000000" w:themeColor="text1"/>
                <w:sz w:val="20"/>
                <w:szCs w:val="20"/>
              </w:rPr>
            </w:pPr>
            <w:proofErr w:type="gramStart"/>
            <w:r w:rsidRPr="00BD2528">
              <w:rPr>
                <w:rFonts w:ascii="Palatino Linotype" w:hAnsi="Palatino Linotype"/>
                <w:color w:val="000000" w:themeColor="text1"/>
                <w:sz w:val="20"/>
                <w:szCs w:val="20"/>
              </w:rPr>
              <w:t>Commit</w:t>
            </w:r>
            <w:proofErr w:type="gramEnd"/>
            <w:r w:rsidRPr="00BD2528">
              <w:rPr>
                <w:rFonts w:ascii="Palatino Linotype" w:hAnsi="Palatino Linotype"/>
                <w:color w:val="000000" w:themeColor="text1"/>
                <w:sz w:val="20"/>
                <w:szCs w:val="20"/>
              </w:rPr>
              <w:t xml:space="preserve"> to procuring clean renewable hydrogen;</w:t>
            </w:r>
          </w:p>
          <w:p w:rsidRPr="00BD2528" w:rsidR="00C05FB0" w:rsidP="00C05FB0" w:rsidRDefault="00C05FB0" w14:paraId="4D1C1121" w14:textId="77777777">
            <w:pPr>
              <w:pStyle w:val="ListParagraph"/>
              <w:numPr>
                <w:ilvl w:val="0"/>
                <w:numId w:val="2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Identify the source, amount, and cost of clean renewable hydrogen to be procured on the project; and</w:t>
            </w:r>
          </w:p>
          <w:p w:rsidRPr="00BD2528" w:rsidR="00C05FB0" w:rsidP="00C05FB0" w:rsidRDefault="00C05FB0" w14:paraId="48C9F1A2" w14:textId="77777777">
            <w:pPr>
              <w:pStyle w:val="ListParagraph"/>
              <w:numPr>
                <w:ilvl w:val="0"/>
                <w:numId w:val="2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Evaluate the risk of not finding adequate sources of clean renewable hydrogen.”</w:t>
            </w:r>
            <w:r w:rsidRPr="00BD2528">
              <w:rPr>
                <w:rStyle w:val="FootnoteReference"/>
                <w:rFonts w:ascii="Palatino Linotype" w:hAnsi="Palatino Linotype"/>
                <w:color w:val="000000" w:themeColor="text1"/>
                <w:sz w:val="20"/>
                <w:szCs w:val="20"/>
              </w:rPr>
              <w:footnoteReference w:id="350"/>
            </w:r>
          </w:p>
        </w:tc>
        <w:tc>
          <w:tcPr>
            <w:tcW w:w="3600" w:type="dxa"/>
          </w:tcPr>
          <w:p w:rsidR="00434CD2" w:rsidP="00434CD2" w:rsidRDefault="00434CD2" w14:paraId="2E3482AE" w14:textId="77777777">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t xml:space="preserve">SoCalGas demonstrates that </w:t>
            </w:r>
            <w:r>
              <w:rPr>
                <w:rFonts w:ascii="Palatino Linotype" w:hAnsi="Palatino Linotype"/>
                <w:color w:val="000000" w:themeColor="text1"/>
                <w:sz w:val="20"/>
                <w:szCs w:val="20"/>
              </w:rPr>
              <w:t xml:space="preserve">previously approved </w:t>
            </w:r>
            <w:r w:rsidRPr="0016671C">
              <w:rPr>
                <w:rFonts w:ascii="Palatino Linotype" w:hAnsi="Palatino Linotype"/>
                <w:color w:val="000000" w:themeColor="text1"/>
                <w:sz w:val="20"/>
                <w:szCs w:val="20"/>
              </w:rPr>
              <w:t xml:space="preserve">hydrogen projects utilize clean renewable hydrogen. </w:t>
            </w:r>
            <w:r w:rsidRPr="0016671C">
              <w:rPr>
                <w:rFonts w:ascii="Palatino Linotype" w:hAnsi="Palatino Linotype"/>
                <w:b/>
                <w:color w:val="000000" w:themeColor="text1"/>
                <w:sz w:val="20"/>
                <w:szCs w:val="20"/>
              </w:rPr>
              <w:t>SoCalGas is compliant with this requirement.</w:t>
            </w:r>
          </w:p>
          <w:p w:rsidRPr="00BD2528" w:rsidR="00C05FB0" w:rsidP="00434CD2" w:rsidRDefault="00434CD2" w14:paraId="0647BB1B" w14:textId="2F860914">
            <w:pPr>
              <w:spacing w:before="240"/>
              <w:rPr>
                <w:rFonts w:ascii="Palatino Linotype" w:hAnsi="Palatino Linotype"/>
                <w:bCs w:val="0"/>
                <w:color w:val="A6A6A6" w:themeColor="background1" w:themeShade="A6"/>
                <w:sz w:val="20"/>
                <w:szCs w:val="20"/>
              </w:rPr>
            </w:pPr>
            <w:r w:rsidRPr="002E7297">
              <w:rPr>
                <w:rFonts w:ascii="Palatino Linotype" w:hAnsi="Palatino Linotype"/>
                <w:bCs w:val="0"/>
                <w:color w:val="000000" w:themeColor="text1"/>
                <w:sz w:val="20"/>
                <w:szCs w:val="20"/>
              </w:rPr>
              <w:t>However, this Resolution does not approve new or further funding for hydrogen-related projects.</w:t>
            </w:r>
          </w:p>
        </w:tc>
      </w:tr>
      <w:tr w:rsidR="00C05FB0" w14:paraId="5DA78728" w14:textId="77777777">
        <w:trPr>
          <w:trHeight w:val="638"/>
          <w:tblHeader/>
        </w:trPr>
        <w:tc>
          <w:tcPr>
            <w:tcW w:w="3744" w:type="dxa"/>
          </w:tcPr>
          <w:p w:rsidRPr="00BD2528" w:rsidR="00C05FB0" w:rsidRDefault="00C05FB0" w14:paraId="56A2A446" w14:textId="77777777">
            <w:pPr>
              <w:rPr>
                <w:rFonts w:ascii="Palatino Linotype" w:hAnsi="Palatino Linotype"/>
                <w:i/>
                <w:iCs/>
                <w:sz w:val="20"/>
                <w:szCs w:val="20"/>
              </w:rPr>
            </w:pPr>
            <w:r w:rsidRPr="00BD2528">
              <w:rPr>
                <w:rFonts w:ascii="Palatino Linotype" w:hAnsi="Palatino Linotype"/>
                <w:b/>
                <w:sz w:val="20"/>
                <w:szCs w:val="20"/>
              </w:rPr>
              <w:lastRenderedPageBreak/>
              <w:t xml:space="preserve">[23] </w:t>
            </w:r>
            <w:hyperlink r:id="rId111">
              <w:r w:rsidRPr="00BD2528">
                <w:rPr>
                  <w:rStyle w:val="Hyperlink"/>
                  <w:rFonts w:ascii="Palatino Linotype" w:hAnsi="Palatino Linotype"/>
                  <w:sz w:val="20"/>
                  <w:szCs w:val="20"/>
                </w:rPr>
                <w:t>Resolution G-3601</w:t>
              </w:r>
            </w:hyperlink>
            <w:r w:rsidRPr="00BD2528">
              <w:rPr>
                <w:rFonts w:ascii="Palatino Linotype" w:hAnsi="Palatino Linotype"/>
                <w:sz w:val="20"/>
                <w:szCs w:val="20"/>
              </w:rPr>
              <w:t xml:space="preserve"> (2023) at OP 6. </w:t>
            </w:r>
            <w:r w:rsidRPr="00BD2528">
              <w:rPr>
                <w:rFonts w:ascii="Palatino Linotype" w:hAnsi="Palatino Linotype"/>
                <w:i/>
                <w:iCs/>
                <w:sz w:val="20"/>
                <w:szCs w:val="20"/>
              </w:rPr>
              <w:t>In its 2024 Gas [RD&amp;D] Plan and beyond, [SoCalGas] shall: Demonstrate how SoCalGas coordinates in advance with other gas RD&amp;D program administrators to ensure efficiencies, avoid duplication, and optimize research that benefits California ratepayers.</w:t>
            </w:r>
          </w:p>
        </w:tc>
        <w:tc>
          <w:tcPr>
            <w:tcW w:w="6912" w:type="dxa"/>
          </w:tcPr>
          <w:p w:rsidRPr="00BD2528" w:rsidR="00C05FB0" w:rsidRDefault="00C05FB0" w14:paraId="3884FC5A" w14:textId="77777777">
            <w:pPr>
              <w:rPr>
                <w:rFonts w:ascii="Palatino Linotype" w:hAnsi="Palatino Linotype"/>
                <w:color w:val="000000" w:themeColor="text1"/>
                <w:sz w:val="20"/>
                <w:szCs w:val="20"/>
              </w:rPr>
            </w:pPr>
            <w:r w:rsidRPr="00BD2528">
              <w:rPr>
                <w:rFonts w:ascii="Palatino Linotype" w:hAnsi="Palatino Linotype"/>
                <w:color w:val="000000" w:themeColor="text1"/>
                <w:sz w:val="20"/>
                <w:szCs w:val="20"/>
              </w:rPr>
              <w:t>SoCalGas discusses coordination with other Gas RD&amp;D administrators for each Initiative.</w:t>
            </w:r>
            <w:r w:rsidRPr="00BD2528">
              <w:rPr>
                <w:rStyle w:val="FootnoteReference"/>
                <w:rFonts w:ascii="Palatino Linotype" w:hAnsi="Palatino Linotype"/>
                <w:color w:val="000000" w:themeColor="text1"/>
                <w:sz w:val="20"/>
                <w:szCs w:val="20"/>
              </w:rPr>
              <w:footnoteReference w:id="351"/>
            </w:r>
            <w:r w:rsidRPr="00BD2528">
              <w:rPr>
                <w:rFonts w:ascii="Palatino Linotype" w:hAnsi="Palatino Linotype"/>
                <w:color w:val="000000" w:themeColor="text1"/>
                <w:sz w:val="20"/>
                <w:szCs w:val="20"/>
              </w:rPr>
              <w:t xml:space="preserve"> SoCalGas states that “projects funded via (2) multiple administrators or funders or (3) consortia include activities such as project scoping, project tracking, milestone acceptance, and payment. Additional utility participation may include, but is not limited to, serving on Technical Advisory Committees, providing technical expertise, providing operating data, and hosting technology demonstrations.”</w:t>
            </w:r>
            <w:r w:rsidRPr="00BD2528">
              <w:rPr>
                <w:rStyle w:val="FootnoteReference"/>
                <w:rFonts w:ascii="Palatino Linotype" w:hAnsi="Palatino Linotype"/>
                <w:color w:val="000000" w:themeColor="text1"/>
                <w:sz w:val="20"/>
                <w:szCs w:val="20"/>
              </w:rPr>
              <w:footnoteReference w:id="352"/>
            </w:r>
            <w:r w:rsidRPr="00BD2528">
              <w:rPr>
                <w:rFonts w:ascii="Palatino Linotype" w:hAnsi="Palatino Linotype"/>
                <w:color w:val="000000" w:themeColor="text1"/>
                <w:sz w:val="20"/>
                <w:szCs w:val="20"/>
              </w:rPr>
              <w:t xml:space="preserve"> SoCalGas describes collaboration opportunities with the other Gas RD&amp;D administrators (CEC and PG&amp;E) in addition to SWG under each Initiative, also reporting recommended areas of focus and delineating where there is no apparent overlap:  </w:t>
            </w:r>
          </w:p>
          <w:p w:rsidRPr="00BD2528" w:rsidR="00C05FB0" w:rsidP="00C05FB0" w:rsidRDefault="00C05FB0" w14:paraId="60D1EA40" w14:textId="77777777">
            <w:pPr>
              <w:pStyle w:val="ListParagraph"/>
              <w:numPr>
                <w:ilvl w:val="0"/>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The CEC recommended:  </w:t>
            </w:r>
          </w:p>
          <w:p w:rsidRPr="00BD2528" w:rsidR="00C05FB0" w:rsidP="00C05FB0" w:rsidRDefault="00C05FB0" w14:paraId="7014861E" w14:textId="77777777">
            <w:pPr>
              <w:pStyle w:val="ListParagraph"/>
              <w:numPr>
                <w:ilvl w:val="1"/>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Getting robust public data on emissions profiles of linear generators with different fuel sources and changing emissions profiles over time and other emerging technologies to drive down emissions.</w:t>
            </w:r>
            <w:r w:rsidRPr="00BD2528">
              <w:rPr>
                <w:rStyle w:val="FootnoteReference"/>
                <w:rFonts w:ascii="Palatino Linotype" w:hAnsi="Palatino Linotype"/>
                <w:color w:val="000000" w:themeColor="text1"/>
                <w:sz w:val="20"/>
                <w:szCs w:val="20"/>
              </w:rPr>
              <w:footnoteReference w:id="353"/>
            </w:r>
            <w:r w:rsidRPr="00BD2528">
              <w:rPr>
                <w:rFonts w:ascii="Palatino Linotype" w:hAnsi="Palatino Linotype"/>
                <w:color w:val="000000" w:themeColor="text1"/>
                <w:sz w:val="20"/>
                <w:szCs w:val="20"/>
              </w:rPr>
              <w:t>  </w:t>
            </w:r>
          </w:p>
          <w:p w:rsidRPr="00BD2528" w:rsidR="00C05FB0" w:rsidP="00C05FB0" w:rsidRDefault="00C05FB0" w14:paraId="5E6A2A2D" w14:textId="77777777">
            <w:pPr>
              <w:pStyle w:val="ListParagraph"/>
              <w:numPr>
                <w:ilvl w:val="1"/>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Identifying existing technologies that are inherently fuel-flexible and “can transition to cleaner fuels with little or no complex modifications or new infrastructure.”</w:t>
            </w:r>
            <w:r w:rsidRPr="00BD2528">
              <w:rPr>
                <w:rStyle w:val="FootnoteReference"/>
                <w:rFonts w:ascii="Palatino Linotype" w:hAnsi="Palatino Linotype"/>
                <w:color w:val="000000" w:themeColor="text1"/>
                <w:sz w:val="20"/>
                <w:szCs w:val="20"/>
              </w:rPr>
              <w:footnoteReference w:id="354"/>
            </w:r>
            <w:r w:rsidRPr="00BD2528">
              <w:rPr>
                <w:rFonts w:ascii="Palatino Linotype" w:hAnsi="Palatino Linotype"/>
                <w:color w:val="000000" w:themeColor="text1"/>
                <w:sz w:val="20"/>
                <w:szCs w:val="20"/>
              </w:rPr>
              <w:t> </w:t>
            </w:r>
          </w:p>
          <w:p w:rsidRPr="00BD2528" w:rsidR="00C05FB0" w:rsidP="00C05FB0" w:rsidRDefault="00C05FB0" w14:paraId="29E0F52A" w14:textId="77777777">
            <w:pPr>
              <w:pStyle w:val="ListParagraph"/>
              <w:numPr>
                <w:ilvl w:val="1"/>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“[G]</w:t>
            </w:r>
            <w:proofErr w:type="spellStart"/>
            <w:r w:rsidRPr="00BD2528">
              <w:rPr>
                <w:rFonts w:ascii="Palatino Linotype" w:hAnsi="Palatino Linotype"/>
                <w:color w:val="000000" w:themeColor="text1"/>
                <w:sz w:val="20"/>
                <w:szCs w:val="20"/>
              </w:rPr>
              <w:t>etting</w:t>
            </w:r>
            <w:proofErr w:type="spellEnd"/>
            <w:r w:rsidRPr="00BD2528">
              <w:rPr>
                <w:rFonts w:ascii="Palatino Linotype" w:hAnsi="Palatino Linotype"/>
                <w:color w:val="000000" w:themeColor="text1"/>
                <w:sz w:val="20"/>
                <w:szCs w:val="20"/>
              </w:rPr>
              <w:t> a better understanding of methods for detecting leakage, quantifying leakage, understanding strategies for minimizing leakage, or prioritizing where leakage is happening the most, and then using that to inform design or other decisions.”</w:t>
            </w:r>
            <w:r w:rsidRPr="00BD2528">
              <w:rPr>
                <w:rStyle w:val="FootnoteReference"/>
                <w:rFonts w:ascii="Palatino Linotype" w:hAnsi="Palatino Linotype"/>
                <w:color w:val="000000" w:themeColor="text1"/>
                <w:sz w:val="20"/>
                <w:szCs w:val="20"/>
              </w:rPr>
              <w:footnoteReference w:id="355"/>
            </w:r>
          </w:p>
          <w:p w:rsidRPr="00BD2528" w:rsidR="00C05FB0" w:rsidP="00C05FB0" w:rsidRDefault="00C05FB0" w14:paraId="362A068E" w14:textId="77777777">
            <w:pPr>
              <w:pStyle w:val="ListParagraph"/>
              <w:numPr>
                <w:ilvl w:val="0"/>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PG&amp;E requested information sharing, discussions of results and their implications,</w:t>
            </w:r>
            <w:r w:rsidRPr="00BD2528">
              <w:rPr>
                <w:rStyle w:val="FootnoteReference"/>
                <w:rFonts w:ascii="Palatino Linotype" w:hAnsi="Palatino Linotype"/>
                <w:color w:val="000000" w:themeColor="text1"/>
                <w:sz w:val="20"/>
                <w:szCs w:val="20"/>
              </w:rPr>
              <w:footnoteReference w:id="356"/>
            </w:r>
            <w:r w:rsidRPr="00BD2528">
              <w:rPr>
                <w:rFonts w:ascii="Palatino Linotype" w:hAnsi="Palatino Linotype"/>
                <w:color w:val="000000" w:themeColor="text1"/>
                <w:sz w:val="20"/>
                <w:szCs w:val="20"/>
              </w:rPr>
              <w:t> and collaboration on material blends,</w:t>
            </w:r>
            <w:r w:rsidRPr="00BD2528">
              <w:rPr>
                <w:rStyle w:val="FootnoteReference"/>
                <w:rFonts w:ascii="Palatino Linotype" w:hAnsi="Palatino Linotype"/>
                <w:color w:val="000000" w:themeColor="text1"/>
                <w:sz w:val="20"/>
                <w:szCs w:val="20"/>
              </w:rPr>
              <w:footnoteReference w:id="357"/>
            </w:r>
            <w:r w:rsidRPr="00BD2528">
              <w:rPr>
                <w:rFonts w:ascii="Palatino Linotype" w:hAnsi="Palatino Linotype"/>
                <w:color w:val="000000" w:themeColor="text1"/>
                <w:sz w:val="20"/>
                <w:szCs w:val="20"/>
              </w:rPr>
              <w:t xml:space="preserve"> scouring monitoring, and remote sensing and aerial and satellite-related technology.</w:t>
            </w:r>
            <w:r w:rsidRPr="00BD2528">
              <w:rPr>
                <w:rStyle w:val="FootnoteReference"/>
                <w:rFonts w:ascii="Palatino Linotype" w:hAnsi="Palatino Linotype"/>
                <w:color w:val="000000" w:themeColor="text1"/>
                <w:sz w:val="20"/>
                <w:szCs w:val="20"/>
              </w:rPr>
              <w:t xml:space="preserve"> </w:t>
            </w:r>
            <w:r w:rsidRPr="00BD2528">
              <w:rPr>
                <w:rStyle w:val="FootnoteReference"/>
                <w:rFonts w:ascii="Palatino Linotype" w:hAnsi="Palatino Linotype"/>
                <w:color w:val="000000" w:themeColor="text1"/>
                <w:sz w:val="20"/>
                <w:szCs w:val="20"/>
              </w:rPr>
              <w:footnoteReference w:id="358"/>
            </w:r>
          </w:p>
          <w:p w:rsidRPr="00BD2528" w:rsidR="00C05FB0" w:rsidP="00C05FB0" w:rsidRDefault="00C05FB0" w14:paraId="054A3534" w14:textId="77777777">
            <w:pPr>
              <w:pStyle w:val="ListParagraph"/>
              <w:numPr>
                <w:ilvl w:val="0"/>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SWG: </w:t>
            </w:r>
          </w:p>
          <w:p w:rsidRPr="00BD2528" w:rsidR="00C05FB0" w:rsidP="00C05FB0" w:rsidRDefault="00C05FB0" w14:paraId="0AE7C78A" w14:textId="77777777">
            <w:pPr>
              <w:pStyle w:val="ListParagraph"/>
              <w:numPr>
                <w:ilvl w:val="1"/>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Generally noted a need for technoeconomic studies of new technologies and cleaner fuels.</w:t>
            </w:r>
            <w:r w:rsidRPr="00BD2528">
              <w:rPr>
                <w:rStyle w:val="FootnoteReference"/>
                <w:rFonts w:ascii="Palatino Linotype" w:hAnsi="Palatino Linotype"/>
                <w:color w:val="000000" w:themeColor="text1"/>
                <w:sz w:val="20"/>
                <w:szCs w:val="20"/>
              </w:rPr>
              <w:footnoteReference w:id="359"/>
            </w:r>
            <w:r w:rsidRPr="00BD2528">
              <w:rPr>
                <w:rFonts w:ascii="Palatino Linotype" w:hAnsi="Palatino Linotype"/>
                <w:color w:val="000000" w:themeColor="text1"/>
                <w:sz w:val="20"/>
                <w:szCs w:val="20"/>
              </w:rPr>
              <w:t> </w:t>
            </w:r>
          </w:p>
          <w:p w:rsidRPr="00BD2528" w:rsidR="00C05FB0" w:rsidP="00C05FB0" w:rsidRDefault="00C05FB0" w14:paraId="78DE9CB8" w14:textId="77777777">
            <w:pPr>
              <w:pStyle w:val="ListParagraph"/>
              <w:numPr>
                <w:ilvl w:val="1"/>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Expressed a “[n]</w:t>
            </w:r>
            <w:proofErr w:type="spellStart"/>
            <w:r w:rsidRPr="00BD2528">
              <w:rPr>
                <w:rFonts w:ascii="Palatino Linotype" w:hAnsi="Palatino Linotype"/>
                <w:color w:val="000000" w:themeColor="text1"/>
                <w:sz w:val="20"/>
                <w:szCs w:val="20"/>
              </w:rPr>
              <w:t>eed</w:t>
            </w:r>
            <w:proofErr w:type="spellEnd"/>
            <w:r w:rsidRPr="00BD2528">
              <w:rPr>
                <w:rFonts w:ascii="Palatino Linotype" w:hAnsi="Palatino Linotype"/>
                <w:color w:val="000000" w:themeColor="text1"/>
                <w:sz w:val="20"/>
                <w:szCs w:val="20"/>
              </w:rPr>
              <w:t> to prioritize economic and fiscal ROI evaluations of potential technologies/fuels” and articulate operational benefits of proposed RD&amp;D.</w:t>
            </w:r>
            <w:r w:rsidRPr="00BD2528">
              <w:rPr>
                <w:rStyle w:val="FootnoteReference"/>
                <w:rFonts w:ascii="Palatino Linotype" w:hAnsi="Palatino Linotype"/>
                <w:color w:val="000000" w:themeColor="text1"/>
                <w:sz w:val="20"/>
                <w:szCs w:val="20"/>
              </w:rPr>
              <w:footnoteReference w:id="360"/>
            </w:r>
          </w:p>
          <w:p w:rsidRPr="00BD2528" w:rsidR="00C05FB0" w:rsidP="00C05FB0" w:rsidRDefault="00C05FB0" w14:paraId="0F2F49C4" w14:textId="77777777">
            <w:pPr>
              <w:pStyle w:val="ListParagraph"/>
              <w:numPr>
                <w:ilvl w:val="1"/>
                <w:numId w:val="78"/>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lastRenderedPageBreak/>
              <w:t>Recommended the use of camera inspection tools for plastic systems for the System Inspection &amp; Monitoring Initiative.</w:t>
            </w:r>
            <w:r w:rsidRPr="00BD2528">
              <w:rPr>
                <w:rStyle w:val="FootnoteReference"/>
                <w:rFonts w:ascii="Palatino Linotype" w:hAnsi="Palatino Linotype"/>
                <w:color w:val="000000" w:themeColor="text1"/>
                <w:sz w:val="20"/>
                <w:szCs w:val="20"/>
              </w:rPr>
              <w:footnoteReference w:id="361"/>
            </w:r>
            <w:r w:rsidRPr="00BD2528">
              <w:rPr>
                <w:rFonts w:ascii="Palatino Linotype" w:hAnsi="Palatino Linotype"/>
                <w:color w:val="000000" w:themeColor="text1"/>
                <w:sz w:val="20"/>
                <w:szCs w:val="20"/>
              </w:rPr>
              <w:t>  </w:t>
            </w:r>
          </w:p>
          <w:p w:rsidRPr="00BD2528" w:rsidR="00C05FB0" w:rsidP="00E500A3" w:rsidRDefault="00C05FB0" w14:paraId="242D8EB1" w14:textId="77777777">
            <w:pPr>
              <w:spacing w:before="240"/>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Further, SoCalGas includes charts for each Initiative with Research Topics, Completed Projects, Active Projects, and Future Project Areas in the 2024 Research Plan compared to those in the 2025 Plan to “[demonstrate] how initiatives are designed to progress over time to achieve ratepayer benefits.”</w:t>
            </w:r>
            <w:r w:rsidRPr="00BD2528">
              <w:rPr>
                <w:rStyle w:val="FootnoteReference"/>
                <w:rFonts w:ascii="Palatino Linotype" w:hAnsi="Palatino Linotype"/>
                <w:color w:val="000000" w:themeColor="text1"/>
                <w:sz w:val="20"/>
                <w:szCs w:val="20"/>
              </w:rPr>
              <w:footnoteReference w:id="362"/>
            </w:r>
            <w:r w:rsidRPr="00BD2528">
              <w:rPr>
                <w:rFonts w:ascii="Palatino Linotype" w:hAnsi="Palatino Linotype"/>
                <w:color w:val="000000" w:themeColor="text1"/>
                <w:sz w:val="20"/>
                <w:szCs w:val="20"/>
              </w:rPr>
              <w:t xml:space="preserve"> SoCalGas differentiates its 2025 Plan from its 2024 Plan for each Initiative; for example, for the RNG Infrastructure Optimization Initiative, SoCalGas states the following for the “Advanced interconnection design” research area:  </w:t>
            </w:r>
          </w:p>
          <w:p w:rsidRPr="00BD2528" w:rsidR="00C05FB0" w:rsidP="00C05FB0" w:rsidRDefault="00C05FB0" w14:paraId="02C7CF68" w14:textId="77777777">
            <w:pPr>
              <w:numPr>
                <w:ilvl w:val="0"/>
                <w:numId w:val="66"/>
              </w:numPr>
              <w:tabs>
                <w:tab w:val="num" w:pos="720"/>
              </w:tabs>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“For the 2024 Research Plan, the intent is to support optimization and standardization of RNG interconnection designs, identify open-access interconnection alternatives, and related research activities.”</w:t>
            </w:r>
            <w:r w:rsidRPr="00BD2528">
              <w:rPr>
                <w:rStyle w:val="FootnoteReference"/>
                <w:rFonts w:ascii="Palatino Linotype" w:hAnsi="Palatino Linotype"/>
                <w:color w:val="000000" w:themeColor="text1"/>
                <w:sz w:val="20"/>
                <w:szCs w:val="20"/>
              </w:rPr>
              <w:footnoteReference w:id="363"/>
            </w:r>
          </w:p>
          <w:p w:rsidRPr="00BD2528" w:rsidR="00C05FB0" w:rsidP="00C05FB0" w:rsidRDefault="00C05FB0" w14:paraId="466C779D" w14:textId="77777777">
            <w:pPr>
              <w:numPr>
                <w:ilvl w:val="0"/>
                <w:numId w:val="67"/>
              </w:numPr>
              <w:rPr>
                <w:rFonts w:ascii="Palatino Linotype" w:hAnsi="Palatino Linotype"/>
                <w:bCs w:val="0"/>
                <w:color w:val="000000" w:themeColor="text1"/>
                <w:sz w:val="20"/>
                <w:szCs w:val="20"/>
              </w:rPr>
            </w:pPr>
            <w:r w:rsidRPr="00BD2528">
              <w:rPr>
                <w:rFonts w:ascii="Palatino Linotype" w:hAnsi="Palatino Linotype"/>
                <w:color w:val="000000" w:themeColor="text1"/>
                <w:sz w:val="20"/>
                <w:szCs w:val="20"/>
              </w:rPr>
              <w:t>“For the 2025 Research Plan, the intent is to explore reverse flow strategies to optimize RNG collection and injection through seasonal fluctuations, as well as other related research activities.”</w:t>
            </w:r>
            <w:r w:rsidRPr="00BD2528">
              <w:rPr>
                <w:rStyle w:val="FootnoteReference"/>
                <w:rFonts w:ascii="Palatino Linotype" w:hAnsi="Palatino Linotype"/>
                <w:color w:val="000000" w:themeColor="text1"/>
                <w:sz w:val="20"/>
                <w:szCs w:val="20"/>
              </w:rPr>
              <w:footnoteReference w:id="364"/>
            </w:r>
            <w:r w:rsidRPr="00BD2528">
              <w:rPr>
                <w:rFonts w:ascii="Palatino Linotype" w:hAnsi="Palatino Linotype"/>
                <w:color w:val="000000" w:themeColor="text1"/>
                <w:sz w:val="20"/>
                <w:szCs w:val="20"/>
              </w:rPr>
              <w:t> </w:t>
            </w:r>
          </w:p>
        </w:tc>
        <w:tc>
          <w:tcPr>
            <w:tcW w:w="3600" w:type="dxa"/>
          </w:tcPr>
          <w:p w:rsidRPr="00BD2528" w:rsidR="00C05FB0" w:rsidRDefault="00C05FB0" w14:paraId="4A3589AB" w14:textId="77777777">
            <w:pPr>
              <w:rPr>
                <w:rFonts w:ascii="Palatino Linotype" w:hAnsi="Palatino Linotype"/>
                <w:b/>
                <w:color w:val="000000" w:themeColor="text1"/>
                <w:sz w:val="20"/>
                <w:szCs w:val="20"/>
              </w:rPr>
            </w:pPr>
            <w:r w:rsidRPr="00BD2528">
              <w:rPr>
                <w:rFonts w:ascii="Palatino Linotype" w:hAnsi="Palatino Linotype"/>
                <w:color w:val="000000" w:themeColor="text1"/>
                <w:sz w:val="20"/>
                <w:szCs w:val="20"/>
              </w:rPr>
              <w:lastRenderedPageBreak/>
              <w:t xml:space="preserve">SoCalGas demonstrates how SoCalGas coordinates in advance with other Gas RD&amp;D administrators for each Initiative. Further, SoCalGas demonstrates that its 2025 Plan is differentiated from its 2024 Plan to avoid duplication via varying research areas. </w:t>
            </w:r>
            <w:r w:rsidRPr="00BD2528">
              <w:rPr>
                <w:rFonts w:ascii="Palatino Linotype" w:hAnsi="Palatino Linotype"/>
                <w:b/>
                <w:color w:val="000000" w:themeColor="text1"/>
                <w:sz w:val="20"/>
                <w:szCs w:val="20"/>
              </w:rPr>
              <w:t xml:space="preserve">SoCalGas is compliant with this requirement, </w:t>
            </w:r>
            <w:proofErr w:type="gramStart"/>
            <w:r w:rsidRPr="00BD2528">
              <w:rPr>
                <w:rFonts w:ascii="Palatino Linotype" w:hAnsi="Palatino Linotype"/>
                <w:color w:val="000000" w:themeColor="text1"/>
                <w:sz w:val="20"/>
                <w:szCs w:val="20"/>
              </w:rPr>
              <w:t>with the exception of</w:t>
            </w:r>
            <w:proofErr w:type="gramEnd"/>
            <w:r w:rsidRPr="00BD2528">
              <w:rPr>
                <w:rFonts w:ascii="Palatino Linotype" w:hAnsi="Palatino Linotype"/>
                <w:color w:val="000000" w:themeColor="text1"/>
                <w:sz w:val="20"/>
                <w:szCs w:val="20"/>
              </w:rPr>
              <w:t xml:space="preserve"> the System Design &amp; Materials Initiative.</w:t>
            </w:r>
          </w:p>
          <w:p w:rsidRPr="00BD2528" w:rsidR="00C05FB0" w:rsidRDefault="00C05FB0" w14:paraId="02EF487B" w14:textId="77777777">
            <w:pPr>
              <w:rPr>
                <w:rFonts w:ascii="Palatino Linotype" w:hAnsi="Palatino Linotype"/>
                <w:bCs w:val="0"/>
                <w:color w:val="808080" w:themeColor="background1" w:themeShade="80"/>
                <w:sz w:val="20"/>
                <w:szCs w:val="20"/>
              </w:rPr>
            </w:pPr>
          </w:p>
          <w:p w:rsidR="00C05FB0" w:rsidRDefault="00C05FB0" w14:paraId="30BC449E" w14:textId="77777777">
            <w:pPr>
              <w:rPr>
                <w:rFonts w:ascii="Palatino Linotype" w:hAnsi="Palatino Linotype"/>
                <w:bCs w:val="0"/>
                <w:color w:val="808080" w:themeColor="background1" w:themeShade="80"/>
                <w:sz w:val="20"/>
                <w:szCs w:val="20"/>
              </w:rPr>
            </w:pPr>
            <w:r w:rsidRPr="00BD2528">
              <w:rPr>
                <w:rFonts w:ascii="Palatino Linotype" w:hAnsi="Palatino Linotype"/>
                <w:color w:val="000000" w:themeColor="text1"/>
                <w:sz w:val="20"/>
                <w:szCs w:val="20"/>
              </w:rPr>
              <w:t>SoCalGas must provide greater detail to differentiate proposed RD&amp;D under the System Design &amp; Materials Initiative—which includes the research area of “[i]</w:t>
            </w:r>
            <w:proofErr w:type="spellStart"/>
            <w:r w:rsidRPr="00BD2528">
              <w:rPr>
                <w:rFonts w:ascii="Palatino Linotype" w:hAnsi="Palatino Linotype"/>
                <w:color w:val="000000" w:themeColor="text1"/>
                <w:sz w:val="20"/>
                <w:szCs w:val="20"/>
              </w:rPr>
              <w:t>nfrastructure</w:t>
            </w:r>
            <w:proofErr w:type="spellEnd"/>
            <w:r w:rsidRPr="00BD2528">
              <w:rPr>
                <w:rFonts w:ascii="Palatino Linotype" w:hAnsi="Palatino Linotype"/>
                <w:color w:val="000000" w:themeColor="text1"/>
                <w:sz w:val="20"/>
                <w:szCs w:val="20"/>
              </w:rPr>
              <w:t xml:space="preserve"> compatibility with RNG diverse feedstocks and non-pipeline alternatives”</w:t>
            </w:r>
            <w:r w:rsidRPr="00BD2528">
              <w:rPr>
                <w:rStyle w:val="FootnoteReference"/>
                <w:rFonts w:ascii="Palatino Linotype" w:hAnsi="Palatino Linotype"/>
                <w:color w:val="000000" w:themeColor="text1"/>
                <w:sz w:val="20"/>
                <w:szCs w:val="20"/>
              </w:rPr>
              <w:footnoteReference w:id="365"/>
            </w:r>
            <w:r w:rsidRPr="00BD2528">
              <w:rPr>
                <w:rFonts w:ascii="Palatino Linotype" w:hAnsi="Palatino Linotype"/>
                <w:color w:val="000000" w:themeColor="text1"/>
                <w:sz w:val="20"/>
                <w:szCs w:val="20"/>
              </w:rPr>
              <w:t>—from the CEC’s Fuel-Flexible Distributed Power Generation Initiative in its proposed FY2024-25 Gas RD&amp;D Plan, which “seeks to support modifications on existing gas-fired generation systems” to support biomethane.</w:t>
            </w:r>
            <w:r w:rsidRPr="00BD2528">
              <w:rPr>
                <w:rStyle w:val="FootnoteReference"/>
                <w:rFonts w:ascii="Palatino Linotype" w:hAnsi="Palatino Linotype"/>
                <w:color w:val="000000" w:themeColor="text1"/>
                <w:sz w:val="20"/>
                <w:szCs w:val="20"/>
              </w:rPr>
              <w:footnoteReference w:id="366"/>
            </w:r>
            <w:r w:rsidRPr="00BD2528">
              <w:rPr>
                <w:rFonts w:ascii="Palatino Linotype" w:hAnsi="Palatino Linotype"/>
                <w:color w:val="000000" w:themeColor="text1"/>
                <w:sz w:val="20"/>
                <w:szCs w:val="20"/>
              </w:rPr>
              <w:t xml:space="preserve"> </w:t>
            </w:r>
            <w:r w:rsidRPr="00BD2528">
              <w:rPr>
                <w:rFonts w:ascii="Palatino Linotype" w:hAnsi="Palatino Linotype"/>
                <w:sz w:val="20"/>
                <w:szCs w:val="20"/>
              </w:rPr>
              <w:t xml:space="preserve">For the </w:t>
            </w:r>
            <w:r w:rsidRPr="00BD2528">
              <w:rPr>
                <w:rFonts w:ascii="Palatino Linotype" w:hAnsi="Palatino Linotype"/>
                <w:color w:val="000000" w:themeColor="text1"/>
                <w:sz w:val="20"/>
                <w:szCs w:val="20"/>
              </w:rPr>
              <w:t xml:space="preserve">System Design &amp; Materials Initiative, </w:t>
            </w:r>
            <w:r w:rsidRPr="00BD2528">
              <w:rPr>
                <w:rFonts w:ascii="Palatino Linotype" w:hAnsi="Palatino Linotype"/>
                <w:b/>
                <w:color w:val="000000" w:themeColor="text1"/>
                <w:sz w:val="20"/>
                <w:szCs w:val="20"/>
              </w:rPr>
              <w:t xml:space="preserve">SoCalGas is </w:t>
            </w:r>
            <w:r w:rsidRPr="00BD2528">
              <w:rPr>
                <w:rFonts w:ascii="Palatino Linotype" w:hAnsi="Palatino Linotype"/>
                <w:b/>
                <w:i/>
                <w:iCs/>
                <w:color w:val="000000" w:themeColor="text1"/>
                <w:sz w:val="20"/>
                <w:szCs w:val="20"/>
              </w:rPr>
              <w:t>not</w:t>
            </w:r>
            <w:r w:rsidRPr="00BD2528">
              <w:rPr>
                <w:rFonts w:ascii="Palatino Linotype" w:hAnsi="Palatino Linotype"/>
                <w:b/>
                <w:color w:val="000000" w:themeColor="text1"/>
                <w:sz w:val="20"/>
                <w:szCs w:val="20"/>
              </w:rPr>
              <w:t xml:space="preserve"> compliant with this requirement.</w:t>
            </w:r>
          </w:p>
          <w:p w:rsidRPr="00912047" w:rsidR="00C05FB0" w:rsidRDefault="00C05FB0" w14:paraId="41A12224" w14:textId="77777777">
            <w:pPr>
              <w:rPr>
                <w:rFonts w:ascii="Palatino Linotype" w:hAnsi="Palatino Linotype"/>
                <w:bCs w:val="0"/>
                <w:sz w:val="20"/>
                <w:szCs w:val="20"/>
              </w:rPr>
            </w:pPr>
          </w:p>
        </w:tc>
      </w:tr>
    </w:tbl>
    <w:p w:rsidR="00450402" w:rsidP="00E851DF" w:rsidRDefault="00450402" w14:paraId="708C2F85" w14:textId="77777777">
      <w:pPr>
        <w:keepNext/>
        <w:spacing w:after="0" w:line="240" w:lineRule="auto"/>
        <w:sectPr w:rsidR="00450402" w:rsidSect="0062004F">
          <w:footerReference w:type="default" r:id="rId112"/>
          <w:footerReference w:type="first" r:id="rId113"/>
          <w:pgSz w:w="15840" w:h="12240" w:orient="landscape"/>
          <w:pgMar w:top="720" w:right="720" w:bottom="720" w:left="720" w:header="720" w:footer="666" w:gutter="0"/>
          <w:cols w:space="720"/>
          <w:titlePg/>
          <w:docGrid w:linePitch="360"/>
        </w:sectPr>
      </w:pPr>
    </w:p>
    <w:p w:rsidR="00E500A3" w:rsidP="00E851DF" w:rsidRDefault="00E500A3" w14:paraId="2D3148A3" w14:textId="57F2A5A2">
      <w:pPr>
        <w:keepNext/>
        <w:spacing w:after="0" w:line="240" w:lineRule="auto"/>
      </w:pPr>
    </w:p>
    <w:p w:rsidR="00E500A3" w:rsidRDefault="00E500A3" w14:paraId="12C91D15" w14:textId="2ECC5CFF"/>
    <w:p w:rsidR="00EF7D0C" w:rsidP="002E2821" w:rsidRDefault="00EF7D0C" w14:paraId="50671062" w14:textId="77777777">
      <w:pPr>
        <w:spacing w:line="240" w:lineRule="auto"/>
        <w:rPr>
          <w:rFonts w:ascii="Palatino Linotype" w:hAnsi="Palatino Linotype"/>
          <w:b/>
          <w:bCs/>
          <w:sz w:val="36"/>
          <w:szCs w:val="36"/>
        </w:rPr>
      </w:pPr>
    </w:p>
    <w:p w:rsidR="00EF7D0C" w:rsidP="002E2821" w:rsidRDefault="00EF7D0C" w14:paraId="3599EE69" w14:textId="77777777">
      <w:pPr>
        <w:spacing w:line="240" w:lineRule="auto"/>
        <w:rPr>
          <w:rFonts w:ascii="Palatino Linotype" w:hAnsi="Palatino Linotype"/>
          <w:b/>
          <w:bCs/>
          <w:sz w:val="36"/>
          <w:szCs w:val="36"/>
        </w:rPr>
      </w:pPr>
    </w:p>
    <w:p w:rsidR="00EF7D0C" w:rsidP="002E2821" w:rsidRDefault="00EF7D0C" w14:paraId="7B6D8072" w14:textId="77777777">
      <w:pPr>
        <w:spacing w:line="240" w:lineRule="auto"/>
        <w:rPr>
          <w:rFonts w:ascii="Palatino Linotype" w:hAnsi="Palatino Linotype"/>
          <w:b/>
          <w:bCs/>
          <w:sz w:val="36"/>
          <w:szCs w:val="36"/>
        </w:rPr>
      </w:pPr>
    </w:p>
    <w:p w:rsidR="00E74FB2" w:rsidP="002E2821" w:rsidRDefault="00106A18" w14:paraId="7107EBEC" w14:textId="6D5BF25B">
      <w:pPr>
        <w:spacing w:line="240" w:lineRule="auto"/>
        <w:rPr>
          <w:rFonts w:ascii="Palatino Linotype" w:hAnsi="Palatino Linotype"/>
          <w:b/>
          <w:bCs/>
          <w:sz w:val="36"/>
          <w:szCs w:val="36"/>
        </w:rPr>
      </w:pPr>
      <w:r w:rsidRPr="00EF7D0C">
        <w:rPr>
          <w:rFonts w:ascii="Palatino Linotype" w:hAnsi="Palatino Linotype"/>
          <w:b/>
          <w:bCs/>
          <w:sz w:val="36"/>
          <w:szCs w:val="36"/>
        </w:rPr>
        <w:t>Appendix I: Compliance Assessment of Advice Letter 6645-G – 2026 Plan</w:t>
      </w:r>
    </w:p>
    <w:p w:rsidRPr="00F92766" w:rsidR="00F92766" w:rsidP="00F92766" w:rsidRDefault="00F92766" w14:paraId="4E9DDD58" w14:textId="77777777">
      <w:pPr>
        <w:rPr>
          <w:rFonts w:ascii="Palatino Linotype" w:hAnsi="Palatino Linotype"/>
          <w:sz w:val="36"/>
          <w:szCs w:val="36"/>
        </w:rPr>
      </w:pPr>
    </w:p>
    <w:p w:rsidRPr="00F92766" w:rsidR="00F92766" w:rsidP="00F92766" w:rsidRDefault="00F92766" w14:paraId="79E4A2F0" w14:textId="77777777">
      <w:pPr>
        <w:rPr>
          <w:rFonts w:ascii="Palatino Linotype" w:hAnsi="Palatino Linotype"/>
          <w:sz w:val="36"/>
          <w:szCs w:val="36"/>
        </w:rPr>
      </w:pPr>
    </w:p>
    <w:p w:rsidR="007E25B3" w:rsidP="00F92766" w:rsidRDefault="007E25B3" w14:paraId="7F4D4A1C" w14:textId="77777777">
      <w:pPr>
        <w:rPr>
          <w:rFonts w:ascii="Palatino Linotype" w:hAnsi="Palatino Linotype"/>
          <w:sz w:val="36"/>
          <w:szCs w:val="36"/>
        </w:rPr>
      </w:pPr>
    </w:p>
    <w:p w:rsidRPr="007E25B3" w:rsidR="007E25B3" w:rsidP="007E25B3" w:rsidRDefault="007E25B3" w14:paraId="35262F12" w14:textId="77777777">
      <w:pPr>
        <w:rPr>
          <w:rFonts w:ascii="Palatino Linotype" w:hAnsi="Palatino Linotype"/>
          <w:sz w:val="36"/>
          <w:szCs w:val="36"/>
        </w:rPr>
      </w:pPr>
    </w:p>
    <w:p w:rsidRPr="007E25B3" w:rsidR="007E25B3" w:rsidP="007E25B3" w:rsidRDefault="007E25B3" w14:paraId="3AD8422E" w14:textId="77777777">
      <w:pPr>
        <w:rPr>
          <w:rFonts w:ascii="Palatino Linotype" w:hAnsi="Palatino Linotype"/>
          <w:sz w:val="36"/>
          <w:szCs w:val="36"/>
        </w:rPr>
      </w:pPr>
    </w:p>
    <w:p w:rsidRPr="007E25B3" w:rsidR="007E25B3" w:rsidP="007E25B3" w:rsidRDefault="007E25B3" w14:paraId="7758C9CD" w14:textId="77777777">
      <w:pPr>
        <w:rPr>
          <w:rFonts w:ascii="Palatino Linotype" w:hAnsi="Palatino Linotype"/>
          <w:sz w:val="36"/>
          <w:szCs w:val="36"/>
        </w:rPr>
      </w:pPr>
    </w:p>
    <w:p w:rsidRPr="007E25B3" w:rsidR="007E25B3" w:rsidP="007E25B3" w:rsidRDefault="007E25B3" w14:paraId="2D821E0B" w14:textId="77777777">
      <w:pPr>
        <w:rPr>
          <w:rFonts w:ascii="Palatino Linotype" w:hAnsi="Palatino Linotype"/>
          <w:sz w:val="36"/>
          <w:szCs w:val="36"/>
        </w:rPr>
      </w:pPr>
    </w:p>
    <w:p w:rsidRPr="007E25B3" w:rsidR="007E25B3" w:rsidP="007E25B3" w:rsidRDefault="007E25B3" w14:paraId="433BB8AF" w14:textId="77777777">
      <w:pPr>
        <w:jc w:val="center"/>
        <w:rPr>
          <w:rFonts w:ascii="Palatino Linotype" w:hAnsi="Palatino Linotype"/>
          <w:sz w:val="36"/>
          <w:szCs w:val="36"/>
        </w:rPr>
      </w:pPr>
    </w:p>
    <w:p w:rsidR="007E25B3" w:rsidP="007E25B3" w:rsidRDefault="007E25B3" w14:paraId="1C5FF44C" w14:textId="77777777">
      <w:pPr>
        <w:rPr>
          <w:rFonts w:ascii="Palatino Linotype" w:hAnsi="Palatino Linotype"/>
          <w:sz w:val="36"/>
          <w:szCs w:val="36"/>
        </w:rPr>
      </w:pPr>
    </w:p>
    <w:p w:rsidRPr="007E25B3" w:rsidR="007E25B3" w:rsidP="007E25B3" w:rsidRDefault="007E25B3" w14:paraId="5AD06920" w14:textId="77777777">
      <w:pPr>
        <w:rPr>
          <w:rFonts w:ascii="Palatino Linotype" w:hAnsi="Palatino Linotype"/>
          <w:sz w:val="36"/>
          <w:szCs w:val="36"/>
        </w:rPr>
        <w:sectPr w:rsidRPr="007E25B3" w:rsidR="007E25B3" w:rsidSect="007E25B3">
          <w:footerReference w:type="default" r:id="rId114"/>
          <w:footerReference w:type="first" r:id="rId115"/>
          <w:pgSz w:w="15840" w:h="12240" w:orient="landscape"/>
          <w:pgMar w:top="720" w:right="720" w:bottom="720" w:left="720" w:header="720" w:footer="666" w:gutter="0"/>
          <w:pgNumType w:start="1"/>
          <w:cols w:space="720"/>
          <w:titlePg/>
          <w:docGrid w:linePitch="360"/>
        </w:sectPr>
      </w:pPr>
    </w:p>
    <w:tbl>
      <w:tblPr>
        <w:tblStyle w:val="TableGrid"/>
        <w:tblW w:w="14256" w:type="dxa"/>
        <w:tblLook w:val="04A0" w:firstRow="1" w:lastRow="0" w:firstColumn="1" w:lastColumn="0" w:noHBand="0" w:noVBand="1"/>
      </w:tblPr>
      <w:tblGrid>
        <w:gridCol w:w="3744"/>
        <w:gridCol w:w="6912"/>
        <w:gridCol w:w="3600"/>
      </w:tblGrid>
      <w:tr w:rsidRPr="00BE4685" w:rsidR="001E4CE1" w14:paraId="488DC44D" w14:textId="77777777">
        <w:trPr>
          <w:trHeight w:val="330"/>
          <w:tblHeader/>
        </w:trPr>
        <w:tc>
          <w:tcPr>
            <w:tcW w:w="3744" w:type="dxa"/>
            <w:vAlign w:val="center"/>
          </w:tcPr>
          <w:p w:rsidRPr="00BE4685" w:rsidR="001E4CE1" w:rsidRDefault="001E4CE1" w14:paraId="3226DF51" w14:textId="77777777">
            <w:pPr>
              <w:rPr>
                <w:rFonts w:ascii="Palatino Linotype" w:hAnsi="Palatino Linotype"/>
                <w:b/>
                <w:bCs w:val="0"/>
                <w:sz w:val="20"/>
                <w:szCs w:val="20"/>
              </w:rPr>
            </w:pPr>
            <w:r w:rsidRPr="00BE4685">
              <w:rPr>
                <w:rFonts w:ascii="Palatino Linotype" w:hAnsi="Palatino Linotype"/>
                <w:b/>
                <w:sz w:val="20"/>
                <w:szCs w:val="20"/>
              </w:rPr>
              <w:lastRenderedPageBreak/>
              <w:t>CPUC Requirement</w:t>
            </w:r>
          </w:p>
        </w:tc>
        <w:tc>
          <w:tcPr>
            <w:tcW w:w="6912" w:type="dxa"/>
            <w:vAlign w:val="center"/>
          </w:tcPr>
          <w:p w:rsidRPr="00BE4685" w:rsidR="001E4CE1" w:rsidRDefault="001E4CE1" w14:paraId="1851EA50" w14:textId="77777777">
            <w:pPr>
              <w:rPr>
                <w:rFonts w:ascii="Palatino Linotype" w:hAnsi="Palatino Linotype"/>
                <w:b/>
                <w:sz w:val="20"/>
                <w:szCs w:val="20"/>
              </w:rPr>
            </w:pPr>
            <w:r w:rsidRPr="00BE4685">
              <w:rPr>
                <w:rFonts w:ascii="Palatino Linotype" w:hAnsi="Palatino Linotype"/>
                <w:b/>
                <w:sz w:val="20"/>
                <w:szCs w:val="20"/>
              </w:rPr>
              <w:t>SoCalGas Response in AL 6645-G</w:t>
            </w:r>
          </w:p>
        </w:tc>
        <w:tc>
          <w:tcPr>
            <w:tcW w:w="3600" w:type="dxa"/>
            <w:vAlign w:val="center"/>
          </w:tcPr>
          <w:p w:rsidRPr="00BE4685" w:rsidR="001E4CE1" w:rsidRDefault="001E4CE1" w14:paraId="1996C845" w14:textId="77777777">
            <w:pPr>
              <w:rPr>
                <w:rFonts w:ascii="Palatino Linotype" w:hAnsi="Palatino Linotype"/>
                <w:b/>
                <w:sz w:val="20"/>
                <w:szCs w:val="20"/>
              </w:rPr>
            </w:pPr>
            <w:r w:rsidRPr="00BE4685">
              <w:rPr>
                <w:rFonts w:ascii="Palatino Linotype" w:hAnsi="Palatino Linotype"/>
                <w:b/>
                <w:sz w:val="20"/>
                <w:szCs w:val="20"/>
              </w:rPr>
              <w:t>Compliance Assessment</w:t>
            </w:r>
          </w:p>
        </w:tc>
      </w:tr>
      <w:tr w:rsidRPr="00BE4685" w:rsidR="001E4CE1" w14:paraId="632F63B7" w14:textId="77777777">
        <w:trPr>
          <w:trHeight w:val="638"/>
          <w:tblHeader/>
        </w:trPr>
        <w:tc>
          <w:tcPr>
            <w:tcW w:w="3744" w:type="dxa"/>
          </w:tcPr>
          <w:p w:rsidRPr="00BE4685" w:rsidR="001E4CE1" w:rsidRDefault="001E4CE1" w14:paraId="01B09186" w14:textId="77777777">
            <w:pPr>
              <w:rPr>
                <w:rFonts w:ascii="Palatino Linotype" w:hAnsi="Palatino Linotype"/>
                <w:i/>
                <w:iCs/>
                <w:color w:val="000000" w:themeColor="text1"/>
                <w:sz w:val="20"/>
                <w:szCs w:val="20"/>
              </w:rPr>
            </w:pPr>
            <w:r w:rsidRPr="00BE4685">
              <w:rPr>
                <w:rFonts w:ascii="Palatino Linotype" w:hAnsi="Palatino Linotype"/>
                <w:b/>
                <w:sz w:val="20"/>
                <w:szCs w:val="20"/>
              </w:rPr>
              <w:t>[1]</w:t>
            </w:r>
            <w:r w:rsidRPr="00BE4685">
              <w:rPr>
                <w:rFonts w:ascii="Palatino Linotype" w:hAnsi="Palatino Linotype"/>
                <w:sz w:val="20"/>
                <w:szCs w:val="20"/>
              </w:rPr>
              <w:t xml:space="preserve"> </w:t>
            </w:r>
            <w:hyperlink r:id="rId116">
              <w:r w:rsidRPr="00BE4685">
                <w:rPr>
                  <w:rStyle w:val="Hyperlink"/>
                  <w:rFonts w:ascii="Palatino Linotype" w:hAnsi="Palatino Linotype"/>
                  <w:sz w:val="20"/>
                  <w:szCs w:val="20"/>
                </w:rPr>
                <w:t>D.19-09-051</w:t>
              </w:r>
            </w:hyperlink>
            <w:r w:rsidRPr="00BE4685">
              <w:rPr>
                <w:rFonts w:ascii="Palatino Linotype" w:hAnsi="Palatino Linotype"/>
                <w:sz w:val="20"/>
                <w:szCs w:val="20"/>
              </w:rPr>
              <w:t xml:space="preserve"> at p. 378-379 &amp; OP 30. </w:t>
            </w:r>
            <w:r w:rsidRPr="00BE4685">
              <w:rPr>
                <w:rFonts w:ascii="Palatino Linotype" w:hAnsi="Palatino Linotype"/>
                <w:i/>
                <w:iCs/>
                <w:sz w:val="20"/>
                <w:szCs w:val="20"/>
              </w:rPr>
              <w:t>[SoCalGas shall] provide Energy Division staff with the workshop presentation materials as well as documentation of stakeholders consulted in the development of RD&amp;D projects… [and host an annual workshop to] present the result of the previous year’s RD&amp;D program and obtain input regarding its intended spending for the following calendar year.</w:t>
            </w:r>
            <w:r w:rsidRPr="00BE4685">
              <w:rPr>
                <w:rStyle w:val="FootnoteReference"/>
                <w:rFonts w:ascii="Palatino Linotype" w:hAnsi="Palatino Linotype"/>
                <w:i/>
                <w:iCs/>
                <w:sz w:val="20"/>
                <w:szCs w:val="20"/>
              </w:rPr>
              <w:footnoteReference w:id="367"/>
            </w:r>
          </w:p>
          <w:p w:rsidRPr="00BE4685" w:rsidR="001E4CE1" w:rsidRDefault="001E4CE1" w14:paraId="6DCB6318" w14:textId="77777777">
            <w:pPr>
              <w:rPr>
                <w:rFonts w:ascii="Palatino Linotype" w:hAnsi="Palatino Linotype"/>
                <w:i/>
                <w:iCs/>
                <w:color w:val="000000" w:themeColor="text1"/>
                <w:sz w:val="20"/>
                <w:szCs w:val="20"/>
              </w:rPr>
            </w:pPr>
          </w:p>
          <w:p w:rsidRPr="00BE4685" w:rsidR="001E4CE1" w:rsidRDefault="001E4CE1" w14:paraId="2EA59060" w14:textId="77777777">
            <w:pPr>
              <w:rPr>
                <w:rFonts w:ascii="Palatino Linotype" w:hAnsi="Palatino Linotype"/>
                <w:i/>
                <w:iCs/>
                <w:sz w:val="20"/>
                <w:szCs w:val="20"/>
              </w:rPr>
            </w:pPr>
            <w:r w:rsidRPr="00BE4685">
              <w:rPr>
                <w:rFonts w:ascii="Palatino Linotype" w:hAnsi="Palatino Linotype"/>
                <w:color w:val="000000" w:themeColor="text1"/>
                <w:sz w:val="20"/>
                <w:szCs w:val="20"/>
              </w:rPr>
              <w:t>See also: [18] on integration of public stakeholder feedback. </w:t>
            </w:r>
          </w:p>
        </w:tc>
        <w:tc>
          <w:tcPr>
            <w:tcW w:w="6912" w:type="dxa"/>
          </w:tcPr>
          <w:p w:rsidRPr="00BE4685" w:rsidR="001E4CE1" w:rsidRDefault="001E4CE1" w14:paraId="20A078A3"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states the following: </w:t>
            </w:r>
          </w:p>
          <w:p w:rsidRPr="00BE4685" w:rsidR="001E4CE1" w:rsidP="001E4CE1" w:rsidRDefault="001E4CE1" w14:paraId="4740BCD0" w14:textId="77777777">
            <w:pPr>
              <w:pStyle w:val="ListParagraph"/>
              <w:numPr>
                <w:ilvl w:val="0"/>
                <w:numId w:val="85"/>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“On February 19, 2026, SoCalGas submitted its workshop presentation materials to the CPUC’s Energy Division for final review. The ESJ Advisory Panel for </w:t>
            </w:r>
            <w:proofErr w:type="gramStart"/>
            <w:r w:rsidRPr="00BE4685">
              <w:rPr>
                <w:rFonts w:ascii="Palatino Linotype" w:hAnsi="Palatino Linotype" w:eastAsia="Palatino Linotype" w:cs="Palatino Linotype"/>
                <w:color w:val="000000" w:themeColor="text1"/>
                <w:sz w:val="20"/>
                <w:szCs w:val="20"/>
              </w:rPr>
              <w:t>the Joint</w:t>
            </w:r>
            <w:proofErr w:type="gramEnd"/>
            <w:r w:rsidRPr="00BE4685">
              <w:rPr>
                <w:rFonts w:ascii="Palatino Linotype" w:hAnsi="Palatino Linotype" w:eastAsia="Palatino Linotype" w:cs="Palatino Linotype"/>
                <w:color w:val="000000" w:themeColor="text1"/>
                <w:sz w:val="20"/>
                <w:szCs w:val="20"/>
              </w:rPr>
              <w:t xml:space="preserve"> Gas R&amp;D Workshop was established through a coordinated effort among the CEC, PG&amp;E, and SoCalGas. The Energy Division staff was consulted for the panel selection process and identification of relevant stakeholders that were invited to attend.”</w:t>
            </w:r>
            <w:r w:rsidRPr="00BE4685">
              <w:rPr>
                <w:rStyle w:val="FootnoteReference"/>
                <w:rFonts w:ascii="Palatino Linotype" w:hAnsi="Palatino Linotype" w:eastAsia="Palatino Linotype" w:cs="Palatino Linotype"/>
                <w:color w:val="000000" w:themeColor="text1"/>
                <w:sz w:val="20"/>
                <w:szCs w:val="20"/>
              </w:rPr>
              <w:footnoteReference w:id="368"/>
            </w:r>
          </w:p>
          <w:p w:rsidRPr="00BE4685" w:rsidR="001E4CE1" w:rsidP="001E4CE1" w:rsidRDefault="001E4CE1" w14:paraId="199848DD" w14:textId="77777777">
            <w:pPr>
              <w:pStyle w:val="ListParagraph"/>
              <w:numPr>
                <w:ilvl w:val="0"/>
                <w:numId w:val="85"/>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“On February 27, 2026, SoCalGas presented its 2026 and 2027 Research Plans at the joint Gas RD&amp;D Public Workshop. In consultation with Energy Division staff, CEC, and PG&amp;E, SoCalGas extended invitations to and encouraged virtual participation from approximately 340 stakeholders. SoCalGas also sent notifications of the workshop to several relevant service lists. Approximately 240 individuals attended the workshop, including representatives from multiple research organizations…”</w:t>
            </w:r>
            <w:r w:rsidRPr="00BE4685">
              <w:rPr>
                <w:rStyle w:val="FootnoteReference"/>
                <w:rFonts w:ascii="Palatino Linotype" w:hAnsi="Palatino Linotype" w:eastAsia="Palatino Linotype" w:cs="Palatino Linotype"/>
                <w:color w:val="000000" w:themeColor="text1"/>
                <w:sz w:val="20"/>
                <w:szCs w:val="20"/>
              </w:rPr>
              <w:footnoteReference w:id="369"/>
            </w:r>
          </w:p>
          <w:p w:rsidRPr="00BE4685" w:rsidR="001E4CE1" w:rsidP="001E4CE1" w:rsidRDefault="001E4CE1" w14:paraId="022FFCD6" w14:textId="77777777">
            <w:pPr>
              <w:pStyle w:val="ListParagraph"/>
              <w:numPr>
                <w:ilvl w:val="0"/>
                <w:numId w:val="85"/>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“During the two-hour workshop, the RD&amp;D team presented 2025 program results along with proposed spending and activities for the 2026 and 2027 Research Plans.”</w:t>
            </w:r>
            <w:r w:rsidRPr="00BE4685">
              <w:rPr>
                <w:rStyle w:val="FootnoteReference"/>
                <w:rFonts w:ascii="Palatino Linotype" w:hAnsi="Palatino Linotype" w:eastAsia="Palatino Linotype" w:cs="Palatino Linotype"/>
                <w:color w:val="000000" w:themeColor="text1"/>
                <w:sz w:val="20"/>
                <w:szCs w:val="20"/>
              </w:rPr>
              <w:footnoteReference w:id="370"/>
            </w:r>
          </w:p>
          <w:p w:rsidRPr="00BE4685" w:rsidR="001E4CE1" w:rsidRDefault="001E4CE1" w14:paraId="06035A37" w14:textId="77777777">
            <w:pPr>
              <w:spacing w:before="240"/>
              <w:rPr>
                <w:rStyle w:val="FootnoteReference"/>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sz w:val="20"/>
                <w:szCs w:val="20"/>
              </w:rPr>
              <w:t>In its 2026 Plan, SoCalGas discusses the feedback it received from public workshop attendees.</w:t>
            </w:r>
            <w:r w:rsidRPr="00BE4685">
              <w:rPr>
                <w:rStyle w:val="FootnoteReference"/>
                <w:rFonts w:ascii="Palatino Linotype" w:hAnsi="Palatino Linotype" w:eastAsia="Palatino Linotype" w:cs="Palatino Linotype"/>
                <w:sz w:val="20"/>
                <w:szCs w:val="20"/>
              </w:rPr>
              <w:footnoteReference w:id="371"/>
            </w:r>
            <w:r w:rsidRPr="00BE4685">
              <w:rPr>
                <w:rFonts w:ascii="Palatino Linotype" w:hAnsi="Palatino Linotype" w:eastAsia="Palatino Linotype" w:cs="Palatino Linotype"/>
                <w:sz w:val="20"/>
                <w:szCs w:val="20"/>
              </w:rPr>
              <w:t xml:space="preserve"> </w:t>
            </w:r>
          </w:p>
        </w:tc>
        <w:tc>
          <w:tcPr>
            <w:tcW w:w="3600" w:type="dxa"/>
          </w:tcPr>
          <w:p w:rsidRPr="00BE4685" w:rsidR="001E4CE1" w:rsidRDefault="001E4CE1" w14:paraId="49A89380" w14:textId="77777777">
            <w:r w:rsidRPr="00BE4685">
              <w:rPr>
                <w:rFonts w:ascii="Palatino Linotype" w:hAnsi="Palatino Linotype" w:eastAsia="Palatino Linotype" w:cs="Palatino Linotype"/>
                <w:color w:val="000000" w:themeColor="text1"/>
                <w:sz w:val="20"/>
                <w:szCs w:val="20"/>
              </w:rPr>
              <w:t xml:space="preserve">SoCalGas provided Energy Division staff with workshop materials in advance of hosting an annual public workshop to seek input on proposed Plans. </w:t>
            </w:r>
            <w:r w:rsidRPr="00BE4685">
              <w:rPr>
                <w:rFonts w:ascii="Palatino Linotype" w:hAnsi="Palatino Linotype" w:eastAsia="Palatino Linotype" w:cs="Palatino Linotype"/>
                <w:b/>
                <w:color w:val="000000" w:themeColor="text1"/>
                <w:sz w:val="20"/>
                <w:szCs w:val="20"/>
              </w:rPr>
              <w:t>SoCalGas is compliant with this requirement.</w:t>
            </w:r>
          </w:p>
        </w:tc>
      </w:tr>
      <w:tr w:rsidRPr="00BE4685" w:rsidR="001E4CE1" w14:paraId="18C71689" w14:textId="77777777">
        <w:trPr>
          <w:trHeight w:val="638"/>
          <w:tblHeader/>
        </w:trPr>
        <w:tc>
          <w:tcPr>
            <w:tcW w:w="3744" w:type="dxa"/>
          </w:tcPr>
          <w:p w:rsidRPr="00BE4685" w:rsidR="001E4CE1" w:rsidRDefault="001E4CE1" w14:paraId="2C114650" w14:textId="77777777">
            <w:pPr>
              <w:rPr>
                <w:rFonts w:ascii="Palatino Linotype" w:hAnsi="Palatino Linotype"/>
                <w:i/>
                <w:iCs/>
                <w:sz w:val="20"/>
                <w:szCs w:val="20"/>
              </w:rPr>
            </w:pPr>
            <w:r w:rsidRPr="00BE4685">
              <w:rPr>
                <w:rFonts w:ascii="Palatino Linotype" w:hAnsi="Palatino Linotype"/>
                <w:b/>
                <w:sz w:val="20"/>
                <w:szCs w:val="20"/>
              </w:rPr>
              <w:t xml:space="preserve">[2] </w:t>
            </w:r>
            <w:hyperlink r:id="rId117">
              <w:r w:rsidRPr="00BE4685">
                <w:rPr>
                  <w:rStyle w:val="Hyperlink"/>
                  <w:rFonts w:ascii="Palatino Linotype" w:hAnsi="Palatino Linotype"/>
                  <w:sz w:val="20"/>
                  <w:szCs w:val="20"/>
                </w:rPr>
                <w:t>D.19-09-051</w:t>
              </w:r>
            </w:hyperlink>
            <w:r w:rsidRPr="00BE4685">
              <w:rPr>
                <w:rFonts w:ascii="Palatino Linotype" w:hAnsi="Palatino Linotype"/>
                <w:sz w:val="20"/>
                <w:szCs w:val="20"/>
              </w:rPr>
              <w:t xml:space="preserve"> at p. 378 &amp; OP 30. </w:t>
            </w:r>
            <w:r w:rsidRPr="00BE4685">
              <w:rPr>
                <w:rFonts w:ascii="Palatino Linotype" w:hAnsi="Palatino Linotype"/>
                <w:i/>
                <w:iCs/>
                <w:sz w:val="20"/>
                <w:szCs w:val="20"/>
              </w:rPr>
              <w:t>[SoCalGas shall] submit a report to Energy Division staff describing prior years’ RD&amp;D program. This should include a summary of ongoing and completed projects; funds expended, funding recipients, and leveraged funding; and an explanation of the process used for selecting RD&amp;D project areas as well as the structure of SoCalGas’ RD&amp;D portfolio.</w:t>
            </w:r>
            <w:r w:rsidRPr="00BE4685">
              <w:rPr>
                <w:rStyle w:val="FootnoteReference"/>
                <w:rFonts w:ascii="Palatino Linotype" w:hAnsi="Palatino Linotype"/>
                <w:i/>
                <w:iCs/>
                <w:sz w:val="20"/>
                <w:szCs w:val="20"/>
              </w:rPr>
              <w:footnoteReference w:id="372"/>
            </w:r>
          </w:p>
        </w:tc>
        <w:tc>
          <w:tcPr>
            <w:tcW w:w="6912" w:type="dxa"/>
          </w:tcPr>
          <w:p w:rsidRPr="00BE4685" w:rsidR="001E4CE1" w:rsidRDefault="001E4CE1" w14:paraId="2DC334F1" w14:textId="77777777">
            <w:pPr>
              <w:rPr>
                <w:rFonts w:ascii="Palatino Linotype" w:hAnsi="Palatino Linotype" w:eastAsia="Palatino Linotype" w:cs="Palatino Linotype"/>
                <w:color w:val="000000" w:themeColor="text1"/>
                <w:sz w:val="20"/>
                <w:szCs w:val="20"/>
                <w:vertAlign w:val="superscript"/>
              </w:rPr>
            </w:pPr>
            <w:r w:rsidRPr="00BE4685">
              <w:rPr>
                <w:rFonts w:ascii="Palatino Linotype" w:hAnsi="Palatino Linotype" w:eastAsia="Palatino Linotype" w:cs="Palatino Linotype"/>
                <w:color w:val="000000" w:themeColor="text1"/>
                <w:sz w:val="20"/>
                <w:szCs w:val="20"/>
              </w:rPr>
              <w:t xml:space="preserve">On April 1, 2026, SoCalGas submitted its </w:t>
            </w:r>
            <w:r w:rsidRPr="00BE4685">
              <w:rPr>
                <w:rFonts w:ascii="Palatino Linotype" w:hAnsi="Palatino Linotype" w:eastAsia="Palatino Linotype" w:cs="Palatino Linotype"/>
                <w:sz w:val="20"/>
                <w:szCs w:val="20"/>
              </w:rPr>
              <w:t xml:space="preserve">2025 Gas RD&amp;D Annual Report </w:t>
            </w:r>
            <w:r w:rsidRPr="00BE4685">
              <w:rPr>
                <w:rFonts w:ascii="Palatino Linotype" w:hAnsi="Palatino Linotype" w:eastAsia="Palatino Linotype" w:cs="Palatino Linotype"/>
                <w:color w:val="000000" w:themeColor="text1"/>
                <w:sz w:val="20"/>
                <w:szCs w:val="20"/>
              </w:rPr>
              <w:t>to the CPUC’s Energy Division.</w:t>
            </w:r>
            <w:r w:rsidRPr="00BE4685">
              <w:rPr>
                <w:rStyle w:val="FootnoteReference"/>
                <w:rFonts w:ascii="Palatino Linotype" w:hAnsi="Palatino Linotype" w:eastAsia="Palatino Linotype" w:cs="Palatino Linotype"/>
                <w:color w:val="000000" w:themeColor="text1"/>
                <w:sz w:val="20"/>
                <w:szCs w:val="20"/>
              </w:rPr>
              <w:footnoteReference w:id="373"/>
            </w:r>
            <w:r w:rsidRPr="00BE4685">
              <w:rPr>
                <w:rFonts w:ascii="Palatino Linotype" w:hAnsi="Palatino Linotype" w:eastAsia="Palatino Linotype" w:cs="Palatino Linotype"/>
                <w:color w:val="000000" w:themeColor="text1"/>
                <w:sz w:val="20"/>
                <w:szCs w:val="20"/>
              </w:rPr>
              <w:t xml:space="preserve"> The report includes summaries of ongoing and completed projects,</w:t>
            </w:r>
            <w:r w:rsidRPr="00BE4685">
              <w:rPr>
                <w:rStyle w:val="FootnoteReference"/>
                <w:rFonts w:ascii="Palatino Linotype" w:hAnsi="Palatino Linotype" w:eastAsia="Palatino Linotype" w:cs="Palatino Linotype"/>
                <w:color w:val="000000" w:themeColor="text1"/>
                <w:sz w:val="20"/>
                <w:szCs w:val="20"/>
              </w:rPr>
              <w:footnoteReference w:id="374"/>
            </w:r>
            <w:r w:rsidRPr="00BE4685">
              <w:rPr>
                <w:rFonts w:ascii="Palatino Linotype" w:hAnsi="Palatino Linotype" w:eastAsia="Palatino Linotype" w:cs="Palatino Linotype"/>
                <w:color w:val="000000" w:themeColor="text1"/>
                <w:sz w:val="20"/>
                <w:szCs w:val="20"/>
              </w:rPr>
              <w:t xml:space="preserve"> funds expended,</w:t>
            </w:r>
            <w:r w:rsidRPr="00BE4685">
              <w:rPr>
                <w:rStyle w:val="FootnoteReference"/>
                <w:rFonts w:ascii="Palatino Linotype" w:hAnsi="Palatino Linotype" w:eastAsia="Palatino Linotype" w:cs="Palatino Linotype"/>
                <w:color w:val="000000" w:themeColor="text1"/>
                <w:sz w:val="20"/>
                <w:szCs w:val="20"/>
              </w:rPr>
              <w:footnoteReference w:id="375"/>
            </w:r>
            <w:r w:rsidRPr="00BE4685">
              <w:rPr>
                <w:rFonts w:ascii="Palatino Linotype" w:hAnsi="Palatino Linotype" w:eastAsia="Palatino Linotype" w:cs="Palatino Linotype"/>
                <w:color w:val="000000" w:themeColor="text1"/>
                <w:sz w:val="20"/>
                <w:szCs w:val="20"/>
              </w:rPr>
              <w:t xml:space="preserve"> funding recipients,</w:t>
            </w:r>
            <w:r w:rsidRPr="00BE4685">
              <w:rPr>
                <w:rStyle w:val="FootnoteReference"/>
                <w:rFonts w:ascii="Palatino Linotype" w:hAnsi="Palatino Linotype" w:eastAsia="Palatino Linotype" w:cs="Palatino Linotype"/>
                <w:color w:val="000000" w:themeColor="text1"/>
                <w:sz w:val="20"/>
                <w:szCs w:val="20"/>
              </w:rPr>
              <w:footnoteReference w:id="376"/>
            </w:r>
            <w:r w:rsidRPr="00BE4685">
              <w:rPr>
                <w:rFonts w:ascii="Palatino Linotype" w:hAnsi="Palatino Linotype" w:eastAsia="Palatino Linotype" w:cs="Palatino Linotype"/>
                <w:color w:val="000000" w:themeColor="text1"/>
                <w:sz w:val="20"/>
                <w:szCs w:val="20"/>
              </w:rPr>
              <w:t xml:space="preserve"> leveraged funding,</w:t>
            </w:r>
            <w:r w:rsidRPr="00BE4685">
              <w:rPr>
                <w:rStyle w:val="FootnoteReference"/>
                <w:rFonts w:ascii="Palatino Linotype" w:hAnsi="Palatino Linotype" w:eastAsia="Palatino Linotype" w:cs="Palatino Linotype"/>
                <w:color w:val="000000" w:themeColor="text1"/>
                <w:sz w:val="20"/>
                <w:szCs w:val="20"/>
              </w:rPr>
              <w:footnoteReference w:id="377"/>
            </w:r>
            <w:r w:rsidRPr="00BE4685">
              <w:rPr>
                <w:rFonts w:ascii="Palatino Linotype" w:hAnsi="Palatino Linotype" w:eastAsia="Palatino Linotype" w:cs="Palatino Linotype"/>
                <w:color w:val="000000" w:themeColor="text1"/>
                <w:sz w:val="20"/>
                <w:szCs w:val="20"/>
              </w:rPr>
              <w:t xml:space="preserve"> the project selection process,</w:t>
            </w:r>
            <w:r w:rsidRPr="00BE4685">
              <w:rPr>
                <w:rStyle w:val="FootnoteReference"/>
                <w:rFonts w:ascii="Palatino Linotype" w:hAnsi="Palatino Linotype" w:eastAsia="Palatino Linotype" w:cs="Palatino Linotype"/>
                <w:color w:val="000000" w:themeColor="text1"/>
                <w:sz w:val="20"/>
                <w:szCs w:val="20"/>
              </w:rPr>
              <w:footnoteReference w:id="378"/>
            </w:r>
            <w:r w:rsidRPr="00BE4685">
              <w:rPr>
                <w:rFonts w:ascii="Palatino Linotype" w:hAnsi="Palatino Linotype" w:eastAsia="Palatino Linotype" w:cs="Palatino Linotype"/>
                <w:color w:val="000000" w:themeColor="text1"/>
                <w:sz w:val="20"/>
                <w:szCs w:val="20"/>
              </w:rPr>
              <w:t xml:space="preserve"> and portfolio structure.</w:t>
            </w:r>
            <w:r w:rsidRPr="00BE4685">
              <w:rPr>
                <w:rStyle w:val="FootnoteReference"/>
                <w:rFonts w:ascii="Palatino Linotype" w:hAnsi="Palatino Linotype" w:eastAsia="Palatino Linotype" w:cs="Palatino Linotype"/>
                <w:color w:val="000000" w:themeColor="text1"/>
                <w:sz w:val="20"/>
                <w:szCs w:val="20"/>
              </w:rPr>
              <w:footnoteReference w:id="379"/>
            </w:r>
          </w:p>
        </w:tc>
        <w:tc>
          <w:tcPr>
            <w:tcW w:w="3600" w:type="dxa"/>
          </w:tcPr>
          <w:p w:rsidRPr="00BE4685" w:rsidR="001E4CE1" w:rsidRDefault="001E4CE1" w14:paraId="34D2DF23"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submitted an Annual Gas RD&amp;D Report with the required contents. </w:t>
            </w:r>
            <w:r w:rsidRPr="00BE4685">
              <w:rPr>
                <w:rFonts w:ascii="Palatino Linotype" w:hAnsi="Palatino Linotype"/>
                <w:b/>
                <w:color w:val="000000" w:themeColor="text1"/>
                <w:sz w:val="20"/>
                <w:szCs w:val="20"/>
              </w:rPr>
              <w:t>SoCalGas is compliant with this requirement.</w:t>
            </w:r>
          </w:p>
        </w:tc>
      </w:tr>
      <w:tr w:rsidRPr="00BE4685" w:rsidR="001E4CE1" w14:paraId="5BAD3CBC" w14:textId="77777777">
        <w:trPr>
          <w:trHeight w:val="638"/>
          <w:tblHeader/>
        </w:trPr>
        <w:tc>
          <w:tcPr>
            <w:tcW w:w="3744" w:type="dxa"/>
          </w:tcPr>
          <w:p w:rsidRPr="00BE4685" w:rsidR="001E4CE1" w:rsidRDefault="001E4CE1" w14:paraId="28B850ED" w14:textId="77777777">
            <w:pPr>
              <w:rPr>
                <w:rFonts w:ascii="Palatino Linotype" w:hAnsi="Palatino Linotype"/>
                <w:i/>
                <w:iCs/>
                <w:sz w:val="20"/>
                <w:szCs w:val="20"/>
              </w:rPr>
            </w:pPr>
            <w:r w:rsidRPr="00BE4685">
              <w:rPr>
                <w:rFonts w:ascii="Palatino Linotype" w:hAnsi="Palatino Linotype"/>
                <w:b/>
                <w:sz w:val="20"/>
                <w:szCs w:val="20"/>
              </w:rPr>
              <w:lastRenderedPageBreak/>
              <w:t xml:space="preserve">[3] </w:t>
            </w:r>
            <w:hyperlink r:id="rId118">
              <w:r w:rsidRPr="00BE4685">
                <w:rPr>
                  <w:rStyle w:val="Hyperlink"/>
                  <w:rFonts w:ascii="Palatino Linotype" w:hAnsi="Palatino Linotype"/>
                  <w:sz w:val="20"/>
                  <w:szCs w:val="20"/>
                </w:rPr>
                <w:t>D.19-09-051</w:t>
              </w:r>
            </w:hyperlink>
            <w:r w:rsidRPr="00BE4685">
              <w:rPr>
                <w:rFonts w:ascii="Palatino Linotype" w:hAnsi="Palatino Linotype"/>
                <w:sz w:val="20"/>
                <w:szCs w:val="20"/>
              </w:rPr>
              <w:t xml:space="preserve"> at p. 379 &amp; OP 30. </w:t>
            </w:r>
            <w:r w:rsidRPr="00BE4685">
              <w:rPr>
                <w:rFonts w:ascii="Palatino Linotype" w:hAnsi="Palatino Linotype"/>
                <w:i/>
                <w:iCs/>
                <w:sz w:val="20"/>
                <w:szCs w:val="20"/>
              </w:rPr>
              <w:t>After considering stakeholder comments during the workshop, SoCalGas shall file a Tier 3 Advice Letter with its research plan for the following calendar year.</w:t>
            </w:r>
            <w:r w:rsidRPr="00BE4685">
              <w:rPr>
                <w:rStyle w:val="FootnoteReference"/>
                <w:rFonts w:ascii="Palatino Linotype" w:hAnsi="Palatino Linotype"/>
                <w:i/>
                <w:iCs/>
                <w:sz w:val="20"/>
                <w:szCs w:val="20"/>
              </w:rPr>
              <w:footnoteReference w:id="380"/>
            </w:r>
          </w:p>
        </w:tc>
        <w:tc>
          <w:tcPr>
            <w:tcW w:w="6912" w:type="dxa"/>
          </w:tcPr>
          <w:p w:rsidRPr="00BE4685" w:rsidR="001E4CE1" w:rsidRDefault="001E4CE1" w14:paraId="42054EB1" w14:textId="77777777">
            <w:pPr>
              <w:spacing w:after="160"/>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w:t>
            </w:r>
            <w:r w:rsidRPr="00BE4685">
              <w:rPr>
                <w:rFonts w:ascii="Palatino Linotype" w:hAnsi="Palatino Linotype" w:eastAsia="Palatino Linotype" w:cs="Palatino Linotype"/>
                <w:sz w:val="20"/>
                <w:szCs w:val="20"/>
              </w:rPr>
              <w:t>oCalGas submitted its proposed 2026 Plan via Tier 3 AL 6645-G on June 1, 2026.</w:t>
            </w:r>
          </w:p>
          <w:p w:rsidRPr="00BE4685" w:rsidR="001E4CE1" w:rsidRDefault="001E4CE1" w14:paraId="60A8B7C9" w14:textId="77777777">
            <w:pPr>
              <w:rPr>
                <w:rFonts w:ascii="Palatino Linotype" w:hAnsi="Palatino Linotype"/>
                <w:i/>
                <w:iCs/>
              </w:rPr>
            </w:pPr>
          </w:p>
        </w:tc>
        <w:tc>
          <w:tcPr>
            <w:tcW w:w="3600" w:type="dxa"/>
          </w:tcPr>
          <w:p w:rsidRPr="00BE4685" w:rsidR="001E4CE1" w:rsidRDefault="001E4CE1" w14:paraId="439F91E8" w14:textId="77777777">
            <w:pPr>
              <w:rPr>
                <w:rFonts w:ascii="Palatino Linotype" w:hAnsi="Palatino Linotype" w:eastAsia="Palatino Linotype" w:cs="Palatino Linotype"/>
                <w:b/>
                <w:bCs w:val="0"/>
                <w:color w:val="000000" w:themeColor="text1"/>
                <w:sz w:val="20"/>
                <w:szCs w:val="20"/>
              </w:rPr>
            </w:pPr>
            <w:r w:rsidRPr="00BE4685">
              <w:rPr>
                <w:rFonts w:ascii="Palatino Linotype" w:hAnsi="Palatino Linotype" w:eastAsia="Palatino Linotype" w:cs="Palatino Linotype"/>
                <w:sz w:val="20"/>
                <w:szCs w:val="20"/>
              </w:rPr>
              <w:t>SoCalGas filed a Tier 3 AL with its proposed 2026 Plan.</w:t>
            </w:r>
            <w:r w:rsidRPr="00BE4685">
              <w:rPr>
                <w:rFonts w:ascii="Palatino Linotype" w:hAnsi="Palatino Linotype" w:eastAsia="Palatino Linotype" w:cs="Palatino Linotype"/>
                <w:b/>
                <w:color w:val="0070C0"/>
                <w:sz w:val="20"/>
                <w:szCs w:val="20"/>
              </w:rPr>
              <w:t xml:space="preserve"> </w:t>
            </w:r>
            <w:r w:rsidRPr="00BE4685">
              <w:rPr>
                <w:rFonts w:ascii="Palatino Linotype" w:hAnsi="Palatino Linotype" w:eastAsia="Palatino Linotype" w:cs="Palatino Linotype"/>
                <w:b/>
                <w:color w:val="000000" w:themeColor="text1"/>
                <w:sz w:val="20"/>
                <w:szCs w:val="20"/>
              </w:rPr>
              <w:t>SoCalGas</w:t>
            </w:r>
            <w:r w:rsidRPr="00BE4685">
              <w:rPr>
                <w:rFonts w:ascii="Palatino Linotype" w:hAnsi="Palatino Linotype" w:eastAsia="Palatino Linotype" w:cs="Palatino Linotype"/>
                <w:b/>
                <w:sz w:val="20"/>
                <w:szCs w:val="20"/>
              </w:rPr>
              <w:t xml:space="preserve"> is compliant with this requirement.</w:t>
            </w:r>
          </w:p>
        </w:tc>
      </w:tr>
      <w:tr w:rsidRPr="00BE4685" w:rsidR="001E4CE1" w14:paraId="0A07B148" w14:textId="77777777">
        <w:trPr>
          <w:trHeight w:val="638"/>
          <w:tblHeader/>
        </w:trPr>
        <w:tc>
          <w:tcPr>
            <w:tcW w:w="3744" w:type="dxa"/>
          </w:tcPr>
          <w:p w:rsidRPr="00BE4685" w:rsidR="001E4CE1" w:rsidRDefault="001E4CE1" w14:paraId="1FFFCEC4" w14:textId="77777777">
            <w:pPr>
              <w:rPr>
                <w:rFonts w:ascii="Palatino Linotype" w:hAnsi="Palatino Linotype"/>
                <w:i/>
                <w:iCs/>
                <w:sz w:val="20"/>
                <w:szCs w:val="20"/>
              </w:rPr>
            </w:pPr>
            <w:r w:rsidRPr="00BE4685">
              <w:rPr>
                <w:rFonts w:ascii="Palatino Linotype" w:hAnsi="Palatino Linotype"/>
                <w:b/>
                <w:sz w:val="20"/>
                <w:szCs w:val="20"/>
              </w:rPr>
              <w:t xml:space="preserve">[4] </w:t>
            </w:r>
            <w:hyperlink w:history="1" r:id="rId119">
              <w:r w:rsidRPr="00BE4685">
                <w:rPr>
                  <w:rStyle w:val="Hyperlink"/>
                  <w:rFonts w:ascii="Palatino Linotype" w:hAnsi="Palatino Linotype"/>
                  <w:sz w:val="20"/>
                  <w:szCs w:val="20"/>
                </w:rPr>
                <w:t>D.19-09-051</w:t>
              </w:r>
            </w:hyperlink>
            <w:r w:rsidRPr="00BE4685">
              <w:rPr>
                <w:rFonts w:ascii="Palatino Linotype" w:hAnsi="Palatino Linotype"/>
                <w:sz w:val="20"/>
                <w:szCs w:val="20"/>
              </w:rPr>
              <w:t xml:space="preserve"> at p. 379 &amp; OP 30. </w:t>
            </w:r>
            <w:r w:rsidRPr="00BE4685">
              <w:rPr>
                <w:rFonts w:ascii="Palatino Linotype" w:hAnsi="Palatino Linotype"/>
                <w:i/>
                <w:iCs/>
                <w:sz w:val="20"/>
                <w:szCs w:val="20"/>
              </w:rPr>
              <w:t xml:space="preserve">SoCalGas must also present its budget broken down by research projects, </w:t>
            </w:r>
          </w:p>
          <w:p w:rsidRPr="00BE4685" w:rsidR="001E4CE1" w:rsidRDefault="001E4CE1" w14:paraId="33AC0035" w14:textId="77777777">
            <w:pPr>
              <w:rPr>
                <w:rFonts w:ascii="Palatino Linotype" w:hAnsi="Palatino Linotype"/>
                <w:sz w:val="20"/>
                <w:szCs w:val="20"/>
              </w:rPr>
            </w:pPr>
            <w:r w:rsidRPr="00BE4685">
              <w:rPr>
                <w:rFonts w:ascii="Palatino Linotype" w:hAnsi="Palatino Linotype"/>
                <w:i/>
                <w:iCs/>
                <w:sz w:val="20"/>
                <w:szCs w:val="20"/>
              </w:rPr>
              <w:t>request for proposals, and funding amounts… [and] detail budgets broken down by research sub-program area.</w:t>
            </w:r>
          </w:p>
        </w:tc>
        <w:tc>
          <w:tcPr>
            <w:tcW w:w="6912" w:type="dxa"/>
          </w:tcPr>
          <w:p w:rsidRPr="00BE4685" w:rsidR="001E4CE1" w:rsidRDefault="001E4CE1" w14:paraId="6890C446" w14:textId="77777777">
            <w:pPr>
              <w:rPr>
                <w:rFonts w:ascii="Palatino Linotype" w:hAnsi="Palatino Linotype"/>
                <w:vertAlign w:val="superscript"/>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proposes budget allocations to several Initiatives within two themes:</w:t>
            </w:r>
          </w:p>
          <w:p w:rsidRPr="00BE4685" w:rsidR="001E4CE1" w:rsidP="001E4CE1" w:rsidRDefault="001E4CE1" w14:paraId="14C6952A" w14:textId="77777777">
            <w:pPr>
              <w:pStyle w:val="ListParagraph"/>
              <w:numPr>
                <w:ilvl w:val="0"/>
                <w:numId w:val="83"/>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Gas System Integrity Investment Theme:</w:t>
            </w:r>
          </w:p>
          <w:p w:rsidRPr="00BE4685" w:rsidR="001E4CE1" w:rsidP="001E4CE1" w:rsidRDefault="001E4CE1" w14:paraId="215516AB"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Environment &amp; Safety</w:t>
            </w:r>
          </w:p>
          <w:p w:rsidRPr="00BE4685" w:rsidR="001E4CE1" w:rsidP="001E4CE1" w:rsidRDefault="001E4CE1" w14:paraId="5853709E"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System Inspection &amp; Monitoring</w:t>
            </w:r>
          </w:p>
          <w:p w:rsidRPr="00BE4685" w:rsidR="001E4CE1" w:rsidP="001E4CE1" w:rsidRDefault="001E4CE1" w14:paraId="141436B7"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Community Impact &amp; Energy Conservation</w:t>
            </w:r>
          </w:p>
          <w:p w:rsidRPr="00BE4685" w:rsidR="001E4CE1" w:rsidP="001E4CE1" w:rsidRDefault="001E4CE1" w14:paraId="6683D1BC"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System Design &amp; Materials</w:t>
            </w:r>
          </w:p>
          <w:p w:rsidRPr="00BE4685" w:rsidR="001E4CE1" w:rsidP="001E4CE1" w:rsidRDefault="001E4CE1" w14:paraId="6A120F88"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RNG Infrastructure Optimization</w:t>
            </w:r>
          </w:p>
          <w:p w:rsidRPr="00BE4685" w:rsidR="001E4CE1" w:rsidP="001E4CE1" w:rsidRDefault="001E4CE1" w14:paraId="51EAC65F" w14:textId="77777777">
            <w:pPr>
              <w:pStyle w:val="ListParagraph"/>
              <w:numPr>
                <w:ilvl w:val="0"/>
                <w:numId w:val="83"/>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Decarbonization Investment Theme</w:t>
            </w:r>
          </w:p>
          <w:p w:rsidRPr="00BE4685" w:rsidR="001E4CE1" w:rsidP="001E4CE1" w:rsidRDefault="001E4CE1" w14:paraId="36C90EEB"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Low-Carbon Fuel Technologies</w:t>
            </w:r>
          </w:p>
          <w:p w:rsidRPr="00BE4685" w:rsidR="001E4CE1" w:rsidP="001E4CE1" w:rsidRDefault="001E4CE1" w14:paraId="5A4E1022"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Energy Reliability &amp; Resilience</w:t>
            </w:r>
          </w:p>
          <w:p w:rsidRPr="00BE4685" w:rsidR="001E4CE1" w:rsidP="001E4CE1" w:rsidRDefault="001E4CE1" w14:paraId="7FCDBC1E" w14:textId="77777777">
            <w:pPr>
              <w:pStyle w:val="ListParagraph"/>
              <w:numPr>
                <w:ilvl w:val="1"/>
                <w:numId w:val="83"/>
              </w:numPr>
              <w:ind w:left="108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Building &amp; Facility Systems</w:t>
            </w:r>
          </w:p>
        </w:tc>
        <w:tc>
          <w:tcPr>
            <w:tcW w:w="3600" w:type="dxa"/>
          </w:tcPr>
          <w:p w:rsidRPr="00BE4685" w:rsidR="001E4CE1" w:rsidRDefault="001E4CE1" w14:paraId="12B6CDF3"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details budgets broken down by research sub-program area. </w:t>
            </w:r>
            <w:r w:rsidRPr="00BE4685">
              <w:rPr>
                <w:rFonts w:ascii="Palatino Linotype" w:hAnsi="Palatino Linotype"/>
                <w:b/>
                <w:color w:val="000000" w:themeColor="text1"/>
                <w:sz w:val="20"/>
                <w:szCs w:val="20"/>
              </w:rPr>
              <w:t>SoCalGas is compliant with this requirement.</w:t>
            </w:r>
          </w:p>
        </w:tc>
      </w:tr>
      <w:tr w:rsidRPr="00BE4685" w:rsidR="001E4CE1" w14:paraId="5937D9E3" w14:textId="77777777">
        <w:trPr>
          <w:trHeight w:val="638"/>
          <w:tblHeader/>
        </w:trPr>
        <w:tc>
          <w:tcPr>
            <w:tcW w:w="3744" w:type="dxa"/>
          </w:tcPr>
          <w:p w:rsidRPr="00BE4685" w:rsidR="001E4CE1" w:rsidRDefault="001E4CE1" w14:paraId="6428CE00" w14:textId="77777777">
            <w:r w:rsidRPr="00BE4685">
              <w:rPr>
                <w:rFonts w:ascii="Palatino Linotype" w:hAnsi="Palatino Linotype"/>
                <w:b/>
                <w:sz w:val="20"/>
                <w:szCs w:val="20"/>
              </w:rPr>
              <w:t xml:space="preserve">[5] </w:t>
            </w:r>
            <w:hyperlink r:id="rId120">
              <w:r w:rsidRPr="00BE4685">
                <w:rPr>
                  <w:rStyle w:val="Hyperlink"/>
                  <w:rFonts w:ascii="Palatino Linotype" w:hAnsi="Palatino Linotype"/>
                  <w:sz w:val="20"/>
                  <w:szCs w:val="20"/>
                </w:rPr>
                <w:t>D.24-12-074</w:t>
              </w:r>
            </w:hyperlink>
            <w:r w:rsidRPr="00BE4685">
              <w:rPr>
                <w:rFonts w:ascii="Palatino Linotype" w:hAnsi="Palatino Linotype"/>
              </w:rPr>
              <w:t xml:space="preserve"> </w:t>
            </w:r>
            <w:r w:rsidRPr="00BE4685">
              <w:rPr>
                <w:rFonts w:ascii="Palatino Linotype" w:hAnsi="Palatino Linotype"/>
                <w:sz w:val="20"/>
                <w:szCs w:val="20"/>
              </w:rPr>
              <w:t>authorized an $18.94M budget for SoCalGas’ 2026 Gas RD&amp;D Plan.</w:t>
            </w:r>
            <w:r w:rsidRPr="00BE4685">
              <w:rPr>
                <w:rStyle w:val="FootnoteReference"/>
                <w:rFonts w:ascii="Palatino Linotype" w:hAnsi="Palatino Linotype"/>
                <w:sz w:val="20"/>
                <w:szCs w:val="20"/>
              </w:rPr>
              <w:footnoteReference w:id="381"/>
            </w:r>
            <w:r w:rsidRPr="00BE4685">
              <w:rPr>
                <w:rFonts w:ascii="Palatino Linotype" w:hAnsi="Palatino Linotype"/>
                <w:sz w:val="20"/>
                <w:szCs w:val="20"/>
              </w:rPr>
              <w:t xml:space="preserve"> </w:t>
            </w:r>
            <w:r w:rsidRPr="00BE4685">
              <w:rPr>
                <w:rFonts w:ascii="Palatino Linotype" w:hAnsi="Palatino Linotype"/>
                <w:color w:val="A6A6A6" w:themeColor="background1" w:themeShade="A6"/>
                <w:sz w:val="20"/>
                <w:szCs w:val="20"/>
              </w:rPr>
              <w:t xml:space="preserve"> </w:t>
            </w:r>
          </w:p>
        </w:tc>
        <w:tc>
          <w:tcPr>
            <w:tcW w:w="6912" w:type="dxa"/>
          </w:tcPr>
          <w:p w:rsidRPr="00BE4685" w:rsidR="001E4CE1" w:rsidRDefault="001E4CE1" w14:paraId="0C73D4B5" w14:textId="77777777">
            <w:pPr>
              <w:rPr>
                <w:rStyle w:val="FootnoteReference"/>
                <w:rFonts w:ascii="Palatino Linotype" w:hAnsi="Palatino Linotype" w:eastAsia="Aptos" w:cs="Aptos"/>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requests an annual budget of $18.9</w:t>
            </w:r>
            <w:r w:rsidRPr="00BE4685">
              <w:rPr>
                <w:rFonts w:ascii="Palatino Linotype" w:hAnsi="Palatino Linotype" w:eastAsia="Palatino Linotype" w:cs="Palatino Linotype"/>
                <w:color w:val="000000" w:themeColor="text1"/>
                <w:sz w:val="20"/>
                <w:szCs w:val="20"/>
              </w:rPr>
              <w:t>4M</w:t>
            </w:r>
            <w:r w:rsidRPr="00BE4685">
              <w:rPr>
                <w:rFonts w:ascii="Palatino Linotype" w:hAnsi="Palatino Linotype" w:eastAsia="Palatino Linotype" w:cs="Palatino Linotype"/>
                <w:color w:val="0070C0"/>
                <w:sz w:val="20"/>
                <w:szCs w:val="20"/>
              </w:rPr>
              <w:t xml:space="preserve"> </w:t>
            </w:r>
            <w:r w:rsidRPr="00BE4685">
              <w:rPr>
                <w:rFonts w:ascii="Palatino Linotype" w:hAnsi="Palatino Linotype" w:eastAsia="Palatino Linotype" w:cs="Palatino Linotype"/>
                <w:sz w:val="20"/>
                <w:szCs w:val="20"/>
              </w:rPr>
              <w:t>for its 2026 Gas RD&amp;D Plan.</w:t>
            </w:r>
            <w:r w:rsidRPr="00BE4685">
              <w:rPr>
                <w:rStyle w:val="FootnoteReference"/>
                <w:rFonts w:ascii="Palatino Linotype" w:hAnsi="Palatino Linotype" w:eastAsia="Aptos" w:cs="Aptos"/>
              </w:rPr>
              <w:footnoteReference w:id="382"/>
            </w:r>
          </w:p>
        </w:tc>
        <w:tc>
          <w:tcPr>
            <w:tcW w:w="3600" w:type="dxa"/>
          </w:tcPr>
          <w:p w:rsidRPr="00BE4685" w:rsidR="001E4CE1" w:rsidRDefault="001E4CE1" w14:paraId="52B3DD26" w14:textId="77777777">
            <w:pPr>
              <w:rPr>
                <w:rFonts w:ascii="Palatino Linotype" w:hAnsi="Palatino Linotype"/>
              </w:rPr>
            </w:pPr>
            <w:r w:rsidRPr="00BE4685">
              <w:rPr>
                <w:rFonts w:ascii="Palatino Linotype" w:hAnsi="Palatino Linotype" w:eastAsia="Palatino Linotype" w:cs="Palatino Linotype"/>
                <w:sz w:val="20"/>
                <w:szCs w:val="20"/>
              </w:rPr>
              <w:t xml:space="preserve">SoCalGas’ request for $18.94M for its 2026 Gas RD&amp;D Plan is consistent with the authorized budget. </w:t>
            </w:r>
            <w:r w:rsidRPr="00BE4685">
              <w:rPr>
                <w:rFonts w:ascii="Palatino Linotype" w:hAnsi="Palatino Linotype"/>
                <w:b/>
                <w:color w:val="000000" w:themeColor="text1"/>
                <w:sz w:val="20"/>
                <w:szCs w:val="20"/>
              </w:rPr>
              <w:t>SoCalGas is compliant with this requirement.</w:t>
            </w:r>
          </w:p>
        </w:tc>
      </w:tr>
      <w:tr w:rsidRPr="00BE4685" w:rsidR="001E4CE1" w14:paraId="606477F1" w14:textId="77777777">
        <w:trPr>
          <w:trHeight w:val="638"/>
          <w:tblHeader/>
        </w:trPr>
        <w:tc>
          <w:tcPr>
            <w:tcW w:w="3744" w:type="dxa"/>
          </w:tcPr>
          <w:p w:rsidRPr="00BE4685" w:rsidR="001E4CE1" w:rsidRDefault="001E4CE1" w14:paraId="4EAEC68F" w14:textId="77777777">
            <w:pPr>
              <w:rPr>
                <w:rFonts w:ascii="Palatino Linotype" w:hAnsi="Palatino Linotype"/>
                <w:sz w:val="20"/>
                <w:szCs w:val="20"/>
              </w:rPr>
            </w:pPr>
            <w:r w:rsidRPr="00BE4685">
              <w:rPr>
                <w:rFonts w:ascii="Palatino Linotype" w:hAnsi="Palatino Linotype"/>
                <w:b/>
                <w:sz w:val="20"/>
                <w:szCs w:val="20"/>
              </w:rPr>
              <w:t>[6]</w:t>
            </w:r>
            <w:r w:rsidRPr="00BE4685">
              <w:rPr>
                <w:rFonts w:ascii="Palatino Linotype" w:hAnsi="Palatino Linotype"/>
                <w:sz w:val="20"/>
                <w:szCs w:val="20"/>
              </w:rPr>
              <w:t xml:space="preserve"> California Public Utilities Code Section 740.1 at:</w:t>
            </w:r>
          </w:p>
          <w:p w:rsidRPr="00BE4685" w:rsidR="001E4CE1" w:rsidRDefault="001E4CE1" w14:paraId="220447C6" w14:textId="77777777">
            <w:pPr>
              <w:rPr>
                <w:rFonts w:ascii="Palatino Linotype" w:hAnsi="Palatino Linotype" w:eastAsia="Palatino Linotype" w:cs="Times New Roman"/>
                <w:bCs w:val="0"/>
                <w:i/>
                <w:iCs/>
                <w:color w:val="000000" w:themeColor="text1"/>
                <w:sz w:val="20"/>
                <w:szCs w:val="20"/>
              </w:rPr>
            </w:pPr>
            <w:r w:rsidRPr="00BE4685">
              <w:rPr>
                <w:rFonts w:ascii="Palatino Linotype" w:hAnsi="Palatino Linotype" w:eastAsia="Palatino Linotype" w:cs="Times New Roman"/>
                <w:color w:val="000000" w:themeColor="text1"/>
                <w:sz w:val="20"/>
                <w:szCs w:val="20"/>
              </w:rPr>
              <w:t>(a)</w:t>
            </w:r>
            <w:r w:rsidRPr="00BE4685">
              <w:rPr>
                <w:rFonts w:ascii="Palatino Linotype" w:hAnsi="Palatino Linotype" w:eastAsia="Palatino Linotype" w:cs="Times New Roman"/>
                <w:i/>
                <w:iCs/>
                <w:color w:val="000000" w:themeColor="text1"/>
                <w:sz w:val="20"/>
                <w:szCs w:val="20"/>
              </w:rPr>
              <w:t xml:space="preserve"> Projects should offer a reasonable probability of providing benefits to ratepayers.</w:t>
            </w:r>
          </w:p>
          <w:p w:rsidRPr="00BE4685" w:rsidR="001E4CE1" w:rsidRDefault="001E4CE1" w14:paraId="19423905" w14:textId="77777777">
            <w:pPr>
              <w:rPr>
                <w:rFonts w:ascii="Palatino Linotype" w:hAnsi="Palatino Linotype" w:eastAsia="Palatino Linotype" w:cs="Times New Roman"/>
                <w:bCs w:val="0"/>
                <w:i/>
                <w:iCs/>
                <w:color w:val="000000" w:themeColor="text1"/>
                <w:sz w:val="20"/>
                <w:szCs w:val="20"/>
              </w:rPr>
            </w:pPr>
            <w:r w:rsidRPr="00BE4685">
              <w:rPr>
                <w:rFonts w:ascii="Palatino Linotype" w:hAnsi="Palatino Linotype" w:eastAsia="Palatino Linotype" w:cs="Times New Roman"/>
                <w:color w:val="000000" w:themeColor="text1"/>
                <w:sz w:val="20"/>
                <w:szCs w:val="20"/>
              </w:rPr>
              <w:t>(b)</w:t>
            </w:r>
            <w:r w:rsidRPr="00BE4685">
              <w:rPr>
                <w:rFonts w:ascii="Palatino Linotype" w:hAnsi="Palatino Linotype" w:eastAsia="Palatino Linotype" w:cs="Times New Roman"/>
                <w:i/>
                <w:iCs/>
                <w:color w:val="000000" w:themeColor="text1"/>
                <w:sz w:val="20"/>
                <w:szCs w:val="20"/>
              </w:rPr>
              <w:t xml:space="preserve"> Expenditures on projects which have a low probability for success should be minimized.</w:t>
            </w:r>
          </w:p>
          <w:p w:rsidRPr="00BE4685" w:rsidR="001E4CE1" w:rsidRDefault="001E4CE1" w14:paraId="1C92303D" w14:textId="77777777">
            <w:pPr>
              <w:rPr>
                <w:rFonts w:ascii="Palatino Linotype" w:hAnsi="Palatino Linotype" w:eastAsia="Palatino Linotype" w:cs="Times New Roman"/>
                <w:bCs w:val="0"/>
                <w:i/>
                <w:iCs/>
                <w:color w:val="000000" w:themeColor="text1"/>
                <w:sz w:val="20"/>
                <w:szCs w:val="20"/>
              </w:rPr>
            </w:pPr>
          </w:p>
          <w:p w:rsidRPr="00BE4685" w:rsidR="001E4CE1" w:rsidRDefault="001E4CE1" w14:paraId="2F514936" w14:textId="77777777">
            <w:pPr>
              <w:rPr>
                <w:rFonts w:ascii="Palatino Linotype" w:hAnsi="Palatino Linotype" w:eastAsia="Palatino Linotype" w:cs="Times New Roman"/>
                <w:bCs w:val="0"/>
                <w:i/>
                <w:iCs/>
                <w:color w:val="000000" w:themeColor="text1"/>
                <w:sz w:val="20"/>
                <w:szCs w:val="20"/>
              </w:rPr>
            </w:pPr>
            <w:r w:rsidRPr="00BE4685">
              <w:rPr>
                <w:rFonts w:ascii="Palatino Linotype" w:hAnsi="Palatino Linotype"/>
                <w:color w:val="000000" w:themeColor="text1"/>
                <w:sz w:val="20"/>
                <w:szCs w:val="20"/>
              </w:rPr>
              <w:t>See also: [19]. </w:t>
            </w:r>
          </w:p>
        </w:tc>
        <w:tc>
          <w:tcPr>
            <w:tcW w:w="6912" w:type="dxa"/>
          </w:tcPr>
          <w:p w:rsidRPr="00BE4685" w:rsidR="001E4CE1" w:rsidRDefault="001E4CE1" w14:paraId="5C72672B"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details anticipated ratepayer benefits, including air quality, reduced GHG emissions, reliability, and improved safety. It provides justification for the use of ratepayer funds for each Initiative.</w:t>
            </w:r>
            <w:r w:rsidRPr="00BE4685">
              <w:rPr>
                <w:rStyle w:val="FootnoteReference"/>
                <w:rFonts w:ascii="Palatino Linotype" w:hAnsi="Palatino Linotype" w:eastAsia="Palatino Linotype" w:cs="Palatino Linotype"/>
                <w:color w:val="000000" w:themeColor="text1"/>
                <w:sz w:val="20"/>
                <w:szCs w:val="20"/>
              </w:rPr>
              <w:footnoteReference w:id="383"/>
            </w:r>
          </w:p>
          <w:p w:rsidRPr="00BE4685" w:rsidR="001E4CE1" w:rsidRDefault="001E4CE1" w14:paraId="2BECD28F" w14:textId="77777777">
            <w:pPr>
              <w:spacing w:before="240"/>
              <w:rPr>
                <w:rFonts w:ascii="Palatino Linotype" w:hAnsi="Palatino Linotype"/>
                <w:color w:val="000000" w:themeColor="text1"/>
                <w:sz w:val="20"/>
                <w:szCs w:val="20"/>
              </w:rPr>
            </w:pPr>
            <w:r w:rsidRPr="00BE4685">
              <w:rPr>
                <w:rFonts w:ascii="Palatino Linotype" w:hAnsi="Palatino Linotype"/>
                <w:color w:val="000000" w:themeColor="text1"/>
                <w:sz w:val="20"/>
                <w:szCs w:val="20"/>
              </w:rPr>
              <w:t>SoCalGas requests funding for carbon capture activities under the “Carbon Management Integration” Research Topic for its Energy Reliability &amp; Resilience Initiative.</w:t>
            </w:r>
            <w:r w:rsidRPr="00BE4685">
              <w:rPr>
                <w:rStyle w:val="FootnoteReference"/>
                <w:rFonts w:ascii="Palatino Linotype" w:hAnsi="Palatino Linotype"/>
                <w:color w:val="000000" w:themeColor="text1"/>
                <w:sz w:val="20"/>
                <w:szCs w:val="20"/>
              </w:rPr>
              <w:footnoteReference w:id="384"/>
            </w:r>
          </w:p>
        </w:tc>
        <w:tc>
          <w:tcPr>
            <w:tcW w:w="3600" w:type="dxa"/>
          </w:tcPr>
          <w:p w:rsidRPr="00BE4685" w:rsidR="001E4CE1" w:rsidRDefault="001E4CE1" w14:paraId="37568E0B" w14:textId="77777777">
            <w:pPr>
              <w:rPr>
                <w:rFonts w:ascii="Palatino Linotype" w:hAnsi="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demonstrates that projects offer a reasonable probability of providing benefits to ratepayers. </w:t>
            </w:r>
            <w:r w:rsidRPr="00BE4685">
              <w:rPr>
                <w:rFonts w:ascii="Palatino Linotype" w:hAnsi="Palatino Linotype"/>
                <w:b/>
                <w:color w:val="000000" w:themeColor="text1"/>
                <w:sz w:val="20"/>
                <w:szCs w:val="20"/>
              </w:rPr>
              <w:t xml:space="preserve">SoCalGas is compliant with this requirement </w:t>
            </w:r>
            <w:r w:rsidRPr="00BE4685">
              <w:rPr>
                <w:rFonts w:ascii="Palatino Linotype" w:hAnsi="Palatino Linotype"/>
                <w:color w:val="000000" w:themeColor="text1"/>
                <w:sz w:val="20"/>
                <w:szCs w:val="20"/>
              </w:rPr>
              <w:t>for all but one Initiative.</w:t>
            </w:r>
          </w:p>
          <w:p w:rsidRPr="00BE4685" w:rsidR="001E4CE1" w:rsidRDefault="00982143" w14:paraId="0E940A86" w14:textId="70CACB05">
            <w:pPr>
              <w:spacing w:before="240"/>
              <w:rPr>
                <w:rFonts w:ascii="Palatino Linotype" w:hAnsi="Palatino Linotype"/>
                <w:color w:val="000000" w:themeColor="text1"/>
                <w:sz w:val="20"/>
                <w:szCs w:val="20"/>
              </w:rPr>
            </w:pPr>
            <w:r>
              <w:rPr>
                <w:rFonts w:ascii="Palatino Linotype" w:hAnsi="Palatino Linotype"/>
                <w:color w:val="000000" w:themeColor="text1"/>
                <w:sz w:val="20"/>
                <w:szCs w:val="20"/>
              </w:rPr>
              <w:t>SoCalGas must p</w:t>
            </w:r>
            <w:r w:rsidRPr="001E2DA3">
              <w:rPr>
                <w:rFonts w:ascii="Palatino Linotype" w:hAnsi="Palatino Linotype"/>
                <w:color w:val="000000" w:themeColor="text1"/>
                <w:sz w:val="20"/>
                <w:szCs w:val="20"/>
              </w:rPr>
              <w:t xml:space="preserve">rovide further detail on the </w:t>
            </w:r>
            <w:r w:rsidRPr="00BE4685">
              <w:rPr>
                <w:rFonts w:ascii="Palatino Linotype" w:hAnsi="Palatino Linotype"/>
                <w:color w:val="000000" w:themeColor="text1"/>
                <w:sz w:val="20"/>
                <w:szCs w:val="20"/>
              </w:rPr>
              <w:t xml:space="preserve">“Carbon Management Integration” Research </w:t>
            </w:r>
            <w:r w:rsidRPr="001E2DA3">
              <w:rPr>
                <w:rFonts w:ascii="Palatino Linotype" w:hAnsi="Palatino Linotype"/>
                <w:color w:val="000000" w:themeColor="text1"/>
                <w:sz w:val="20"/>
                <w:szCs w:val="20"/>
              </w:rPr>
              <w:t>Topic under its Energy Reliability &amp; Resilience Initiative as described herein.</w:t>
            </w:r>
            <w:r w:rsidR="00FE7F4E">
              <w:rPr>
                <w:rFonts w:ascii="Palatino Linotype" w:hAnsi="Palatino Linotype"/>
                <w:color w:val="000000" w:themeColor="text1"/>
                <w:sz w:val="20"/>
                <w:szCs w:val="20"/>
              </w:rPr>
              <w:t xml:space="preserve"> For this </w:t>
            </w:r>
            <w:r w:rsidRPr="00BE4685" w:rsidR="001E4CE1">
              <w:rPr>
                <w:rFonts w:ascii="Palatino Linotype" w:hAnsi="Palatino Linotype"/>
                <w:color w:val="000000" w:themeColor="text1"/>
                <w:sz w:val="20"/>
                <w:szCs w:val="20"/>
              </w:rPr>
              <w:t xml:space="preserve">Initiative, </w:t>
            </w:r>
            <w:r w:rsidRPr="00BE4685" w:rsidR="001E4CE1">
              <w:rPr>
                <w:rFonts w:ascii="Palatino Linotype" w:hAnsi="Palatino Linotype"/>
                <w:b/>
                <w:color w:val="000000" w:themeColor="text1"/>
                <w:sz w:val="20"/>
                <w:szCs w:val="20"/>
              </w:rPr>
              <w:t xml:space="preserve">SoCalGas is </w:t>
            </w:r>
            <w:r w:rsidRPr="00BE4685" w:rsidR="001E4CE1">
              <w:rPr>
                <w:rFonts w:ascii="Palatino Linotype" w:hAnsi="Palatino Linotype"/>
                <w:b/>
                <w:i/>
                <w:iCs/>
                <w:color w:val="000000" w:themeColor="text1"/>
                <w:sz w:val="20"/>
                <w:szCs w:val="20"/>
              </w:rPr>
              <w:t>not</w:t>
            </w:r>
            <w:r w:rsidRPr="00BE4685" w:rsidR="001E4CE1">
              <w:rPr>
                <w:rFonts w:ascii="Palatino Linotype" w:hAnsi="Palatino Linotype"/>
                <w:b/>
                <w:color w:val="000000" w:themeColor="text1"/>
                <w:sz w:val="20"/>
                <w:szCs w:val="20"/>
              </w:rPr>
              <w:t xml:space="preserve"> compliant with this requirement</w:t>
            </w:r>
            <w:r w:rsidRPr="00BE4685" w:rsidR="001E4CE1">
              <w:rPr>
                <w:rFonts w:ascii="Palatino Linotype" w:hAnsi="Palatino Linotype"/>
                <w:color w:val="000000" w:themeColor="text1"/>
                <w:sz w:val="20"/>
                <w:szCs w:val="20"/>
              </w:rPr>
              <w:t xml:space="preserve">. </w:t>
            </w:r>
          </w:p>
        </w:tc>
      </w:tr>
      <w:tr w:rsidRPr="00BE4685" w:rsidR="001E4CE1" w14:paraId="033EC660" w14:textId="77777777">
        <w:trPr>
          <w:trHeight w:val="638"/>
          <w:tblHeader/>
        </w:trPr>
        <w:tc>
          <w:tcPr>
            <w:tcW w:w="3744" w:type="dxa"/>
          </w:tcPr>
          <w:p w:rsidRPr="00BE4685" w:rsidR="001E4CE1" w:rsidRDefault="001E4CE1" w14:paraId="095A3A69" w14:textId="77777777">
            <w:pPr>
              <w:rPr>
                <w:rFonts w:ascii="Palatino Linotype" w:hAnsi="Palatino Linotype"/>
                <w:sz w:val="20"/>
                <w:szCs w:val="20"/>
              </w:rPr>
            </w:pPr>
            <w:r w:rsidRPr="00BE4685">
              <w:rPr>
                <w:rFonts w:ascii="Palatino Linotype" w:hAnsi="Palatino Linotype"/>
                <w:b/>
                <w:sz w:val="20"/>
                <w:szCs w:val="20"/>
              </w:rPr>
              <w:lastRenderedPageBreak/>
              <w:t>[7]</w:t>
            </w:r>
            <w:r w:rsidRPr="00BE4685">
              <w:rPr>
                <w:rFonts w:ascii="Palatino Linotype" w:hAnsi="Palatino Linotype"/>
                <w:sz w:val="20"/>
                <w:szCs w:val="20"/>
              </w:rPr>
              <w:t xml:space="preserve"> California Public Utilities Code Section 740.1 at (c) </w:t>
            </w:r>
            <w:r w:rsidRPr="00BE4685">
              <w:rPr>
                <w:rFonts w:ascii="Palatino Linotype" w:hAnsi="Palatino Linotype"/>
                <w:i/>
                <w:iCs/>
                <w:sz w:val="20"/>
                <w:szCs w:val="20"/>
              </w:rPr>
              <w:t>Projects should be consistent with the corporation's resource plan.</w:t>
            </w:r>
          </w:p>
        </w:tc>
        <w:tc>
          <w:tcPr>
            <w:tcW w:w="6912" w:type="dxa"/>
          </w:tcPr>
          <w:p w:rsidRPr="00BE4685" w:rsidR="001E4CE1" w:rsidRDefault="001E4CE1" w14:paraId="657F8A29"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SoCalGas states that it “[champions] technologies</w:t>
            </w:r>
          </w:p>
          <w:p w:rsidRPr="00BE4685" w:rsidR="001E4CE1" w:rsidRDefault="001E4CE1" w14:paraId="68E433B0"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that support affordable access to clean, safe, and reliable energy for all Californians.”</w:t>
            </w:r>
            <w:r w:rsidRPr="00BE4685">
              <w:rPr>
                <w:rStyle w:val="FootnoteReference"/>
                <w:rFonts w:ascii="Palatino Linotype" w:hAnsi="Palatino Linotype" w:eastAsia="Palatino Linotype" w:cs="Palatino Linotype"/>
                <w:sz w:val="20"/>
                <w:szCs w:val="20"/>
              </w:rPr>
              <w:footnoteReference w:id="385"/>
            </w:r>
          </w:p>
          <w:p w:rsidRPr="00BE4685" w:rsidR="001E4CE1" w:rsidRDefault="001E4CE1" w14:paraId="159FDD41" w14:textId="77777777">
            <w:pPr>
              <w:spacing w:before="24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Consistent with this,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states that Initiatives in its </w:t>
            </w:r>
            <w:r w:rsidRPr="00BE4685">
              <w:rPr>
                <w:rFonts w:ascii="Palatino Linotype" w:hAnsi="Palatino Linotype" w:eastAsia="Palatino Linotype" w:cs="Palatino Linotype"/>
                <w:sz w:val="20"/>
                <w:szCs w:val="20"/>
                <w:u w:val="single"/>
              </w:rPr>
              <w:t>Gas System Integrity</w:t>
            </w:r>
            <w:r w:rsidRPr="00BE4685">
              <w:rPr>
                <w:rFonts w:ascii="Palatino Linotype" w:hAnsi="Palatino Linotype" w:eastAsia="Palatino Linotype" w:cs="Palatino Linotype"/>
                <w:sz w:val="20"/>
                <w:szCs w:val="20"/>
              </w:rPr>
              <w:t xml:space="preserve"> theme support “supply, transmission, distribution, storage, and customer operations through innovations that enhance pipeline, public, and employee safety, maintain system reliability, increase operational efficiency, improve affordability, and reduce GHG impacts to the environment.”</w:t>
            </w:r>
            <w:r w:rsidRPr="00BE4685">
              <w:rPr>
                <w:rStyle w:val="FootnoteReference"/>
                <w:rFonts w:ascii="Palatino Linotype" w:hAnsi="Palatino Linotype" w:eastAsia="Palatino Linotype" w:cs="Palatino Linotype"/>
                <w:sz w:val="20"/>
                <w:szCs w:val="20"/>
              </w:rPr>
              <w:footnoteReference w:id="386"/>
            </w:r>
          </w:p>
          <w:p w:rsidRPr="00BE4685" w:rsidR="001E4CE1" w:rsidRDefault="001E4CE1" w14:paraId="30F7B2D2" w14:textId="77777777">
            <w:pPr>
              <w:spacing w:before="240"/>
              <w:rPr>
                <w:rFonts w:ascii="Palatino Linotype" w:hAnsi="Palatino Linotype" w:eastAsia="Palatino Linotype" w:cs="Palatino Linotype"/>
                <w:sz w:val="20"/>
                <w:szCs w:val="20"/>
                <w:vertAlign w:val="superscript"/>
              </w:rPr>
            </w:pPr>
            <w:r w:rsidRPr="00BE4685">
              <w:rPr>
                <w:rFonts w:ascii="Palatino Linotype" w:hAnsi="Palatino Linotype" w:eastAsia="Aptos" w:cs="Aptos"/>
                <w:sz w:val="20"/>
                <w:szCs w:val="20"/>
                <w:vertAlign w:val="superscript"/>
              </w:rPr>
              <w:t xml:space="preserve"> </w:t>
            </w:r>
            <w:r w:rsidRPr="00BE4685">
              <w:rPr>
                <w:rFonts w:ascii="Palatino Linotype" w:hAnsi="Palatino Linotype" w:eastAsia="Palatino Linotype" w:cs="Palatino Linotype"/>
                <w:sz w:val="20"/>
                <w:szCs w:val="20"/>
              </w:rPr>
              <w:t xml:space="preserve">Initiatives in the Decarbonization then focus on “advancing technologies that improve the affordability, availability, reliability, and integration of low-carbon fuels and energy systems for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operations and customers. It also supports California’s climate and energy goals, by accelerating the development and deployment of renewable fuels, advanced infrastructure technologies, and emissions-reducing systems aligned with current RD&amp;D priorities.”</w:t>
            </w:r>
            <w:r w:rsidRPr="00BE4685">
              <w:rPr>
                <w:rStyle w:val="FootnoteReference"/>
                <w:rFonts w:ascii="Palatino Linotype" w:hAnsi="Palatino Linotype" w:eastAsia="Palatino Linotype" w:cs="Palatino Linotype"/>
                <w:sz w:val="20"/>
                <w:szCs w:val="20"/>
              </w:rPr>
              <w:footnoteReference w:id="387"/>
            </w:r>
          </w:p>
        </w:tc>
        <w:tc>
          <w:tcPr>
            <w:tcW w:w="3600" w:type="dxa"/>
          </w:tcPr>
          <w:p w:rsidRPr="00BE4685" w:rsidR="001E4CE1" w:rsidRDefault="001E4CE1" w14:paraId="29940293" w14:textId="77777777">
            <w:pPr>
              <w:rPr>
                <w:rFonts w:ascii="Palatino Linotype" w:hAnsi="Palatino Linotype"/>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demonstrates that its proposed Initiatives and Plan are consistent with its resource plan. </w:t>
            </w:r>
            <w:r w:rsidRPr="00BE4685">
              <w:rPr>
                <w:rFonts w:ascii="Palatino Linotype" w:hAnsi="Palatino Linotype"/>
                <w:b/>
                <w:color w:val="000000" w:themeColor="text1"/>
                <w:sz w:val="20"/>
                <w:szCs w:val="20"/>
              </w:rPr>
              <w:t>SoCalGas is compliant with this requirement.</w:t>
            </w:r>
          </w:p>
          <w:p w:rsidRPr="00BE4685" w:rsidR="001E4CE1" w:rsidRDefault="001E4CE1" w14:paraId="2E33848A" w14:textId="77777777">
            <w:pPr>
              <w:rPr>
                <w:rFonts w:ascii="Palatino Linotype" w:hAnsi="Palatino Linotype" w:eastAsia="Palatino Linotype" w:cs="Palatino Linotype"/>
                <w:sz w:val="20"/>
                <w:szCs w:val="20"/>
              </w:rPr>
            </w:pPr>
          </w:p>
          <w:p w:rsidRPr="00BE4685" w:rsidR="001E4CE1" w:rsidRDefault="001E4CE1" w14:paraId="09707262" w14:textId="77777777">
            <w:pPr>
              <w:rPr>
                <w:rFonts w:ascii="Palatino Linotype" w:hAnsi="Palatino Linotype" w:eastAsia="Aptos" w:cs="Aptos"/>
                <w:color w:val="000000" w:themeColor="text1"/>
                <w:sz w:val="20"/>
                <w:szCs w:val="20"/>
                <w:vertAlign w:val="superscript"/>
              </w:rPr>
            </w:pPr>
          </w:p>
          <w:p w:rsidRPr="00BE4685" w:rsidR="001E4CE1" w:rsidRDefault="001E4CE1" w14:paraId="39E0E1AF" w14:textId="77777777">
            <w:pPr>
              <w:rPr>
                <w:rFonts w:ascii="Palatino Linotype" w:hAnsi="Palatino Linotype" w:eastAsia="Palatino Linotype" w:cs="Palatino Linotype"/>
                <w:sz w:val="20"/>
                <w:szCs w:val="20"/>
              </w:rPr>
            </w:pPr>
          </w:p>
        </w:tc>
      </w:tr>
      <w:tr w:rsidRPr="00BE4685" w:rsidR="001E4CE1" w14:paraId="2314972D" w14:textId="77777777">
        <w:trPr>
          <w:trHeight w:val="638"/>
          <w:tblHeader/>
        </w:trPr>
        <w:tc>
          <w:tcPr>
            <w:tcW w:w="3744" w:type="dxa"/>
          </w:tcPr>
          <w:p w:rsidRPr="00BE4685" w:rsidR="001E4CE1" w:rsidRDefault="001E4CE1" w14:paraId="1A4D1583" w14:textId="77777777">
            <w:pPr>
              <w:rPr>
                <w:rFonts w:ascii="Palatino Linotype" w:hAnsi="Palatino Linotype"/>
                <w:i/>
                <w:iCs/>
                <w:sz w:val="20"/>
                <w:szCs w:val="20"/>
              </w:rPr>
            </w:pPr>
            <w:r w:rsidRPr="00BE4685">
              <w:rPr>
                <w:rFonts w:ascii="Palatino Linotype" w:hAnsi="Palatino Linotype"/>
                <w:b/>
                <w:sz w:val="20"/>
                <w:szCs w:val="20"/>
              </w:rPr>
              <w:t>[8]</w:t>
            </w:r>
            <w:r w:rsidRPr="00BE4685">
              <w:rPr>
                <w:rFonts w:ascii="Palatino Linotype" w:hAnsi="Palatino Linotype"/>
                <w:sz w:val="20"/>
                <w:szCs w:val="20"/>
              </w:rPr>
              <w:t xml:space="preserve"> California Public Utilities Code Section 740.1 at (e) </w:t>
            </w:r>
            <w:r w:rsidRPr="00BE4685">
              <w:rPr>
                <w:rFonts w:ascii="Palatino Linotype" w:hAnsi="Palatino Linotype"/>
                <w:i/>
                <w:iCs/>
                <w:sz w:val="20"/>
                <w:szCs w:val="20"/>
              </w:rPr>
              <w:t>Each project should also support one or more of the following objectives:</w:t>
            </w:r>
          </w:p>
          <w:p w:rsidRPr="00BE4685" w:rsidR="001E4CE1" w:rsidP="001E4CE1" w:rsidRDefault="001E4CE1" w14:paraId="1A3F04C2" w14:textId="77777777">
            <w:pPr>
              <w:pStyle w:val="ListParagraph"/>
              <w:numPr>
                <w:ilvl w:val="0"/>
                <w:numId w:val="84"/>
              </w:numPr>
              <w:rPr>
                <w:rFonts w:ascii="Palatino Linotype" w:hAnsi="Palatino Linotype"/>
                <w:i/>
                <w:iCs/>
                <w:sz w:val="20"/>
                <w:szCs w:val="20"/>
              </w:rPr>
            </w:pPr>
            <w:r w:rsidRPr="00BE4685">
              <w:rPr>
                <w:rFonts w:ascii="Palatino Linotype" w:hAnsi="Palatino Linotype"/>
                <w:i/>
                <w:iCs/>
                <w:sz w:val="20"/>
                <w:szCs w:val="20"/>
              </w:rPr>
              <w:t>Environmental improvement.</w:t>
            </w:r>
          </w:p>
          <w:p w:rsidRPr="00BE4685" w:rsidR="001E4CE1" w:rsidP="001E4CE1" w:rsidRDefault="001E4CE1" w14:paraId="7EA63980" w14:textId="77777777">
            <w:pPr>
              <w:pStyle w:val="ListParagraph"/>
              <w:numPr>
                <w:ilvl w:val="0"/>
                <w:numId w:val="84"/>
              </w:numPr>
              <w:rPr>
                <w:rFonts w:ascii="Palatino Linotype" w:hAnsi="Palatino Linotype"/>
                <w:i/>
                <w:iCs/>
                <w:sz w:val="20"/>
                <w:szCs w:val="20"/>
              </w:rPr>
            </w:pPr>
            <w:r w:rsidRPr="00BE4685">
              <w:rPr>
                <w:rFonts w:ascii="Palatino Linotype" w:hAnsi="Palatino Linotype"/>
                <w:i/>
                <w:iCs/>
                <w:sz w:val="20"/>
                <w:szCs w:val="20"/>
              </w:rPr>
              <w:t>Public and employee safety.</w:t>
            </w:r>
          </w:p>
          <w:p w:rsidRPr="00BE4685" w:rsidR="001E4CE1" w:rsidP="001E4CE1" w:rsidRDefault="001E4CE1" w14:paraId="49F8D817" w14:textId="77777777">
            <w:pPr>
              <w:pStyle w:val="ListParagraph"/>
              <w:numPr>
                <w:ilvl w:val="0"/>
                <w:numId w:val="84"/>
              </w:numPr>
              <w:rPr>
                <w:rFonts w:ascii="Palatino Linotype" w:hAnsi="Palatino Linotype"/>
                <w:i/>
                <w:iCs/>
                <w:sz w:val="20"/>
                <w:szCs w:val="20"/>
              </w:rPr>
            </w:pPr>
            <w:r w:rsidRPr="00BE4685">
              <w:rPr>
                <w:rFonts w:ascii="Palatino Linotype" w:hAnsi="Palatino Linotype"/>
                <w:i/>
                <w:iCs/>
                <w:sz w:val="20"/>
                <w:szCs w:val="20"/>
              </w:rPr>
              <w:t>Conservation by efficient resource use or by reducing or shifting system load.</w:t>
            </w:r>
          </w:p>
          <w:p w:rsidRPr="00BE4685" w:rsidR="001E4CE1" w:rsidP="001E4CE1" w:rsidRDefault="001E4CE1" w14:paraId="6A86B61B" w14:textId="77777777">
            <w:pPr>
              <w:pStyle w:val="ListParagraph"/>
              <w:numPr>
                <w:ilvl w:val="0"/>
                <w:numId w:val="84"/>
              </w:numPr>
              <w:rPr>
                <w:rFonts w:ascii="Palatino Linotype" w:hAnsi="Palatino Linotype"/>
                <w:i/>
                <w:iCs/>
                <w:sz w:val="20"/>
                <w:szCs w:val="20"/>
              </w:rPr>
            </w:pPr>
            <w:r w:rsidRPr="00BE4685">
              <w:rPr>
                <w:rFonts w:ascii="Palatino Linotype" w:hAnsi="Palatino Linotype"/>
                <w:i/>
                <w:iCs/>
                <w:sz w:val="20"/>
                <w:szCs w:val="20"/>
              </w:rPr>
              <w:t>Development of new resources and processes, particularly renewable resources and processes which further supply technologies.</w:t>
            </w:r>
          </w:p>
          <w:p w:rsidRPr="00BE4685" w:rsidR="001E4CE1" w:rsidP="001E4CE1" w:rsidRDefault="001E4CE1" w14:paraId="4D051C26" w14:textId="77777777">
            <w:pPr>
              <w:pStyle w:val="ListParagraph"/>
              <w:numPr>
                <w:ilvl w:val="0"/>
                <w:numId w:val="84"/>
              </w:numPr>
              <w:rPr>
                <w:rFonts w:ascii="Palatino Linotype" w:hAnsi="Palatino Linotype"/>
                <w:i/>
                <w:iCs/>
                <w:sz w:val="20"/>
                <w:szCs w:val="20"/>
              </w:rPr>
            </w:pPr>
            <w:r w:rsidRPr="00BE4685">
              <w:rPr>
                <w:rFonts w:ascii="Palatino Linotype" w:hAnsi="Palatino Linotype"/>
                <w:i/>
                <w:iCs/>
                <w:sz w:val="20"/>
                <w:szCs w:val="20"/>
              </w:rPr>
              <w:t>Improve operating efficiency and reliability or otherwise reduce operating costs.</w:t>
            </w:r>
          </w:p>
        </w:tc>
        <w:tc>
          <w:tcPr>
            <w:tcW w:w="6912" w:type="dxa"/>
          </w:tcPr>
          <w:p w:rsidRPr="00BE4685" w:rsidR="001E4CE1" w:rsidRDefault="001E4CE1" w14:paraId="5815BEB0" w14:textId="77777777">
            <w:pPr>
              <w:spacing w:after="160"/>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proposes the following Initiatives for its 2026 Plan:</w:t>
            </w:r>
          </w:p>
          <w:p w:rsidRPr="00BE4685" w:rsidR="001E4CE1" w:rsidP="001E4CE1" w:rsidRDefault="001E4CE1" w14:paraId="55413A75"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Environment &amp; Safety</w:t>
            </w:r>
          </w:p>
          <w:p w:rsidRPr="00BE4685" w:rsidR="001E4CE1" w:rsidP="001E4CE1" w:rsidRDefault="001E4CE1" w14:paraId="426C7026"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System Inspection &amp; Monitoring</w:t>
            </w:r>
          </w:p>
          <w:p w:rsidRPr="00BE4685" w:rsidR="001E4CE1" w:rsidP="001E4CE1" w:rsidRDefault="001E4CE1" w14:paraId="55172CE2"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Community Impact &amp; Energy Conservation</w:t>
            </w:r>
          </w:p>
          <w:p w:rsidRPr="00BE4685" w:rsidR="001E4CE1" w:rsidP="001E4CE1" w:rsidRDefault="001E4CE1" w14:paraId="7521B416"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System Design &amp; Materials</w:t>
            </w:r>
          </w:p>
          <w:p w:rsidRPr="00BE4685" w:rsidR="001E4CE1" w:rsidP="001E4CE1" w:rsidRDefault="001E4CE1" w14:paraId="2906B5F7"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RNG Infrastructure Optimization</w:t>
            </w:r>
          </w:p>
          <w:p w:rsidRPr="00BE4685" w:rsidR="001E4CE1" w:rsidP="001E4CE1" w:rsidRDefault="001E4CE1" w14:paraId="017F95E2"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Low-Carbon Fuel Technologies</w:t>
            </w:r>
          </w:p>
          <w:p w:rsidRPr="00BE4685" w:rsidR="001E4CE1" w:rsidP="001E4CE1" w:rsidRDefault="001E4CE1" w14:paraId="16A5A7B7"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Energy Reliability &amp; Resilience</w:t>
            </w:r>
          </w:p>
          <w:p w:rsidRPr="00BE4685" w:rsidR="001E4CE1" w:rsidP="001E4CE1" w:rsidRDefault="001E4CE1" w14:paraId="6C1FDC30" w14:textId="77777777">
            <w:pPr>
              <w:pStyle w:val="ListParagraph"/>
              <w:numPr>
                <w:ilvl w:val="0"/>
                <w:numId w:val="82"/>
              </w:numPr>
              <w:ind w:left="36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Building &amp; Facility Systems</w:t>
            </w:r>
          </w:p>
          <w:p w:rsidRPr="00BE4685" w:rsidR="001E4CE1" w:rsidRDefault="001E4CE1" w14:paraId="1D4F186F" w14:textId="77777777">
            <w:pPr>
              <w:rPr>
                <w:rFonts w:ascii="Palatino Linotype" w:hAnsi="Palatino Linotype"/>
                <w:sz w:val="20"/>
                <w:szCs w:val="20"/>
              </w:rPr>
            </w:pPr>
          </w:p>
        </w:tc>
        <w:tc>
          <w:tcPr>
            <w:tcW w:w="3600" w:type="dxa"/>
          </w:tcPr>
          <w:p w:rsidRPr="00BE4685" w:rsidR="001E4CE1" w:rsidRDefault="001E4CE1" w14:paraId="7E692746"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Each of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proposed initiatives supports one or more of the required objectives. </w:t>
            </w:r>
            <w:r w:rsidRPr="00BE4685">
              <w:rPr>
                <w:rFonts w:ascii="Palatino Linotype" w:hAnsi="Palatino Linotype"/>
                <w:b/>
                <w:color w:val="000000" w:themeColor="text1"/>
                <w:sz w:val="20"/>
                <w:szCs w:val="20"/>
              </w:rPr>
              <w:t>SoCalGas is compliant with this requirement.</w:t>
            </w:r>
          </w:p>
        </w:tc>
      </w:tr>
      <w:tr w:rsidRPr="00BE4685" w:rsidR="001E4CE1" w14:paraId="277FC463" w14:textId="77777777">
        <w:trPr>
          <w:trHeight w:val="638"/>
          <w:tblHeader/>
        </w:trPr>
        <w:tc>
          <w:tcPr>
            <w:tcW w:w="3744" w:type="dxa"/>
          </w:tcPr>
          <w:p w:rsidRPr="00BE4685" w:rsidR="001E4CE1" w:rsidRDefault="001E4CE1" w14:paraId="67F85ECE" w14:textId="77777777">
            <w:pPr>
              <w:rPr>
                <w:rFonts w:ascii="Palatino Linotype" w:hAnsi="Palatino Linotype"/>
                <w:sz w:val="20"/>
                <w:szCs w:val="20"/>
              </w:rPr>
            </w:pPr>
            <w:r w:rsidRPr="00BE4685">
              <w:rPr>
                <w:rFonts w:ascii="Palatino Linotype" w:hAnsi="Palatino Linotype"/>
                <w:b/>
                <w:sz w:val="20"/>
                <w:szCs w:val="20"/>
              </w:rPr>
              <w:lastRenderedPageBreak/>
              <w:t>[9]</w:t>
            </w:r>
            <w:r w:rsidRPr="00BE4685">
              <w:rPr>
                <w:rFonts w:ascii="Palatino Linotype" w:hAnsi="Palatino Linotype"/>
                <w:sz w:val="20"/>
                <w:szCs w:val="20"/>
              </w:rPr>
              <w:t xml:space="preserve"> </w:t>
            </w:r>
            <w:hyperlink w:history="1" r:id="rId121">
              <w:r w:rsidRPr="00BE4685">
                <w:rPr>
                  <w:rStyle w:val="Hyperlink"/>
                  <w:rFonts w:ascii="Palatino Linotype" w:hAnsi="Palatino Linotype"/>
                  <w:sz w:val="20"/>
                  <w:szCs w:val="20"/>
                </w:rPr>
                <w:t>Resolution G-3573</w:t>
              </w:r>
            </w:hyperlink>
            <w:r w:rsidRPr="00BE4685">
              <w:rPr>
                <w:rFonts w:ascii="Palatino Linotype" w:hAnsi="Palatino Linotype"/>
                <w:sz w:val="20"/>
                <w:szCs w:val="20"/>
              </w:rPr>
              <w:t xml:space="preserve"> (2021) at OP 3. </w:t>
            </w:r>
            <w:r w:rsidRPr="00BE4685">
              <w:rPr>
                <w:rFonts w:ascii="Palatino Linotype" w:hAnsi="Palatino Linotype"/>
                <w:i/>
                <w:iCs/>
                <w:sz w:val="20"/>
                <w:szCs w:val="20"/>
              </w:rPr>
              <w:t>In developing the subsequent Research Plans, SoCalGas shall: Continue to increase transparency in project area selection processes and criteria.</w:t>
            </w:r>
          </w:p>
        </w:tc>
        <w:tc>
          <w:tcPr>
            <w:tcW w:w="6912" w:type="dxa"/>
          </w:tcPr>
          <w:p w:rsidRPr="00BE4685" w:rsidR="001E4CE1" w:rsidRDefault="001E4CE1" w14:paraId="3E59ED49" w14:textId="77777777">
            <w:pPr>
              <w:rPr>
                <w:rFonts w:ascii="Palatino Linotype" w:hAnsi="Palatino Linotype" w:eastAsia="Aptos" w:cs="Aptos"/>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provides a detailed project proposal review process.</w:t>
            </w:r>
            <w:r w:rsidRPr="00BE4685">
              <w:rPr>
                <w:rStyle w:val="FootnoteReference"/>
                <w:rFonts w:ascii="Palatino Linotype" w:hAnsi="Palatino Linotype" w:eastAsia="Palatino Linotype" w:cs="Palatino Linotype"/>
                <w:sz w:val="20"/>
                <w:szCs w:val="20"/>
              </w:rPr>
              <w:footnoteReference w:id="388"/>
            </w:r>
            <w:r w:rsidRPr="00BE4685">
              <w:rPr>
                <w:rFonts w:ascii="Palatino Linotype" w:hAnsi="Palatino Linotype" w:eastAsia="Palatino Linotype" w:cs="Palatino Linotype"/>
                <w:sz w:val="20"/>
                <w:szCs w:val="20"/>
              </w:rPr>
              <w:t xml:space="preserve"> Its efforts to continue increasing transparency are evidenced by details of its schedule of meetings and public events involving: the CPUC Energy Division staff and subject matter experts, the ESJ Advisory Panel, the Disadvantaged Community Advisory Group (DACAG), and regular meetings among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and other program administrators. The project selection process is also illustrated in a chart.</w:t>
            </w:r>
            <w:r w:rsidRPr="00BE4685">
              <w:rPr>
                <w:rStyle w:val="FootnoteReference"/>
                <w:rFonts w:ascii="Palatino Linotype" w:hAnsi="Palatino Linotype" w:eastAsia="Aptos" w:cs="Aptos"/>
                <w:sz w:val="20"/>
                <w:szCs w:val="20"/>
              </w:rPr>
              <w:footnoteReference w:id="389"/>
            </w:r>
            <w:r w:rsidRPr="00BE4685">
              <w:rPr>
                <w:rFonts w:ascii="Palatino Linotype" w:hAnsi="Palatino Linotype" w:eastAsia="Aptos" w:cs="Aptos"/>
                <w:sz w:val="20"/>
                <w:szCs w:val="20"/>
              </w:rPr>
              <w:t xml:space="preserve"> </w:t>
            </w:r>
          </w:p>
        </w:tc>
        <w:tc>
          <w:tcPr>
            <w:tcW w:w="3600" w:type="dxa"/>
          </w:tcPr>
          <w:p w:rsidRPr="00BE4685" w:rsidR="001E4CE1" w:rsidRDefault="001E4CE1" w14:paraId="1AF0EB4E"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 xml:space="preserve">SoCalGas </w:t>
            </w:r>
            <w:r w:rsidRPr="00BE4685">
              <w:rPr>
                <w:rFonts w:ascii="Palatino Linotype" w:hAnsi="Palatino Linotype" w:eastAsia="Palatino Linotype" w:cs="Palatino Linotype"/>
                <w:sz w:val="20"/>
                <w:szCs w:val="20"/>
              </w:rPr>
              <w:t xml:space="preserve">describes the project selection process and specific evaluation criteria used in project selection. </w:t>
            </w:r>
            <w:r w:rsidRPr="00BE4685">
              <w:rPr>
                <w:rFonts w:ascii="Palatino Linotype" w:hAnsi="Palatino Linotype"/>
                <w:b/>
                <w:color w:val="000000" w:themeColor="text1"/>
                <w:sz w:val="20"/>
                <w:szCs w:val="20"/>
              </w:rPr>
              <w:t>SoCalGas is compliant with this requirement.</w:t>
            </w:r>
          </w:p>
        </w:tc>
      </w:tr>
      <w:tr w:rsidRPr="00BE4685" w:rsidR="001E4CE1" w14:paraId="143B7501" w14:textId="77777777">
        <w:trPr>
          <w:trHeight w:val="638"/>
          <w:tblHeader/>
        </w:trPr>
        <w:tc>
          <w:tcPr>
            <w:tcW w:w="3744" w:type="dxa"/>
          </w:tcPr>
          <w:p w:rsidRPr="00BE4685" w:rsidR="001E4CE1" w:rsidRDefault="001E4CE1" w14:paraId="6B9DD484" w14:textId="77777777">
            <w:pPr>
              <w:rPr>
                <w:rFonts w:ascii="Palatino Linotype" w:hAnsi="Palatino Linotype"/>
                <w:sz w:val="20"/>
                <w:szCs w:val="20"/>
              </w:rPr>
            </w:pPr>
            <w:r w:rsidRPr="00BE4685">
              <w:rPr>
                <w:rFonts w:ascii="Palatino Linotype" w:hAnsi="Palatino Linotype"/>
                <w:b/>
                <w:sz w:val="20"/>
                <w:szCs w:val="20"/>
              </w:rPr>
              <w:t>[10]</w:t>
            </w:r>
            <w:r w:rsidRPr="00BE4685">
              <w:rPr>
                <w:rFonts w:ascii="Palatino Linotype" w:hAnsi="Palatino Linotype"/>
                <w:sz w:val="20"/>
                <w:szCs w:val="20"/>
              </w:rPr>
              <w:t xml:space="preserve"> </w:t>
            </w:r>
            <w:hyperlink w:history="1" r:id="rId122">
              <w:r w:rsidRPr="00BE4685">
                <w:rPr>
                  <w:rStyle w:val="Hyperlink"/>
                  <w:rFonts w:ascii="Palatino Linotype" w:hAnsi="Palatino Linotype"/>
                  <w:sz w:val="20"/>
                  <w:szCs w:val="20"/>
                </w:rPr>
                <w:t>Resolution G-3586</w:t>
              </w:r>
            </w:hyperlink>
            <w:r w:rsidRPr="00BE4685">
              <w:rPr>
                <w:rFonts w:ascii="Palatino Linotype" w:hAnsi="Palatino Linotype"/>
                <w:sz w:val="20"/>
                <w:szCs w:val="20"/>
              </w:rPr>
              <w:t xml:space="preserve"> (2022) at OP 5. </w:t>
            </w:r>
            <w:r w:rsidRPr="00BE4685">
              <w:rPr>
                <w:rFonts w:ascii="Palatino Linotype" w:hAnsi="Palatino Linotype"/>
                <w:i/>
                <w:iCs/>
                <w:sz w:val="20"/>
                <w:szCs w:val="20"/>
              </w:rPr>
              <w:t xml:space="preserve">In subsequent Research Plans, SoCalGas shall: Provide </w:t>
            </w:r>
            <w:r w:rsidRPr="00BE4685">
              <w:rPr>
                <w:rFonts w:ascii="Palatino Linotype" w:hAnsi="Palatino Linotype"/>
                <w:i/>
                <w:iCs/>
                <w:color w:val="000000" w:themeColor="text1"/>
                <w:sz w:val="20"/>
                <w:szCs w:val="20"/>
              </w:rPr>
              <w:t>detail quantifying the amount of program funds already committed and the quantity of program funds that are for projects under development in following years.</w:t>
            </w:r>
          </w:p>
        </w:tc>
        <w:tc>
          <w:tcPr>
            <w:tcW w:w="6912" w:type="dxa"/>
          </w:tcPr>
          <w:p w:rsidRPr="00BE4685" w:rsidR="001E4CE1" w:rsidRDefault="001E4CE1" w14:paraId="20EEC1E4" w14:textId="77777777">
            <w:pPr>
              <w:rPr>
                <w:rFonts w:ascii="Palatino Linotype" w:hAnsi="Palatino Linotype" w:eastAsia="Aptos" w:cs="Aptos"/>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details Authorized Funds (approved in the GRC for Gas RD&amp;D), Committed Funds (supporting ongoing projects in accordance with an approved Gas RD&amp;D Plan</w:t>
            </w:r>
            <w:r w:rsidRPr="00BE4685" w:rsidDel="00AB52BA">
              <w:rPr>
                <w:rFonts w:ascii="Palatino Linotype" w:hAnsi="Palatino Linotype" w:eastAsia="Palatino Linotype" w:cs="Palatino Linotype"/>
                <w:sz w:val="20"/>
                <w:szCs w:val="20"/>
              </w:rPr>
              <w:t>)</w:t>
            </w:r>
            <w:r w:rsidRPr="00BE4685">
              <w:rPr>
                <w:rFonts w:ascii="Palatino Linotype" w:hAnsi="Palatino Linotype" w:eastAsia="Palatino Linotype" w:cs="Palatino Linotype"/>
                <w:sz w:val="20"/>
                <w:szCs w:val="20"/>
              </w:rPr>
              <w:t>, and Funds Available for Project Development (</w:t>
            </w:r>
            <w:r w:rsidRPr="00BE4685">
              <w:rPr>
                <w:rFonts w:ascii="Palatino Linotype" w:hAnsi="Palatino Linotype" w:eastAsia="Palatino Linotype" w:cs="Palatino Linotype"/>
                <w:color w:val="000000" w:themeColor="text1"/>
                <w:sz w:val="20"/>
                <w:szCs w:val="20"/>
              </w:rPr>
              <w:t>available for projects that are under development in the identified key research areas of interest)</w:t>
            </w:r>
            <w:r w:rsidRPr="00BE4685">
              <w:rPr>
                <w:rFonts w:ascii="Palatino Linotype" w:hAnsi="Palatino Linotype" w:eastAsia="Palatino Linotype" w:cs="Palatino Linotype"/>
                <w:sz w:val="20"/>
                <w:szCs w:val="20"/>
              </w:rPr>
              <w:t xml:space="preserve"> for each Initiative.</w:t>
            </w:r>
            <w:r w:rsidRPr="00BE4685">
              <w:rPr>
                <w:rStyle w:val="FootnoteReference"/>
                <w:rFonts w:ascii="Palatino Linotype" w:hAnsi="Palatino Linotype" w:eastAsia="Aptos" w:cs="Aptos"/>
                <w:sz w:val="20"/>
                <w:szCs w:val="20"/>
              </w:rPr>
              <w:footnoteReference w:id="390"/>
            </w:r>
          </w:p>
        </w:tc>
        <w:tc>
          <w:tcPr>
            <w:tcW w:w="3600" w:type="dxa"/>
          </w:tcPr>
          <w:p w:rsidRPr="00BE4685" w:rsidR="001E4CE1" w:rsidRDefault="001E4CE1" w14:paraId="02911E13"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details the quantity of program funds already committed and those th</w:t>
            </w:r>
            <w:r w:rsidRPr="00BE4685">
              <w:rPr>
                <w:rFonts w:ascii="Palatino Linotype" w:hAnsi="Palatino Linotype" w:eastAsia="Palatino Linotype" w:cs="Palatino Linotype"/>
                <w:color w:val="000000" w:themeColor="text1"/>
                <w:sz w:val="20"/>
                <w:szCs w:val="20"/>
              </w:rPr>
              <w:t>at are for projects under development in the following years.</w:t>
            </w:r>
            <w:r w:rsidRPr="00BE4685">
              <w:rPr>
                <w:rFonts w:ascii="Palatino Linotype" w:hAnsi="Palatino Linotype" w:eastAsia="Palatino Linotype" w:cs="Palatino Linotype"/>
                <w:sz w:val="20"/>
                <w:szCs w:val="20"/>
              </w:rPr>
              <w:t xml:space="preserve"> </w:t>
            </w:r>
            <w:r w:rsidRPr="00BE4685">
              <w:rPr>
                <w:rFonts w:ascii="Palatino Linotype" w:hAnsi="Palatino Linotype"/>
                <w:b/>
                <w:color w:val="000000" w:themeColor="text1"/>
                <w:sz w:val="20"/>
                <w:szCs w:val="20"/>
              </w:rPr>
              <w:t>SoCalGas is compliant with this requirement.</w:t>
            </w:r>
          </w:p>
        </w:tc>
      </w:tr>
      <w:tr w:rsidRPr="00BE4685" w:rsidR="001E4CE1" w14:paraId="79D72898" w14:textId="77777777">
        <w:trPr>
          <w:trHeight w:val="638"/>
          <w:tblHeader/>
        </w:trPr>
        <w:tc>
          <w:tcPr>
            <w:tcW w:w="3744" w:type="dxa"/>
          </w:tcPr>
          <w:p w:rsidRPr="00BE4685" w:rsidR="001E4CE1" w:rsidRDefault="001E4CE1" w14:paraId="48046063" w14:textId="77777777">
            <w:pPr>
              <w:rPr>
                <w:rFonts w:ascii="Palatino Linotype" w:hAnsi="Palatino Linotype"/>
              </w:rPr>
            </w:pPr>
            <w:r w:rsidRPr="00BE4685">
              <w:rPr>
                <w:rFonts w:ascii="Palatino Linotype" w:hAnsi="Palatino Linotype"/>
                <w:b/>
                <w:sz w:val="20"/>
                <w:szCs w:val="20"/>
              </w:rPr>
              <w:t>[11]</w:t>
            </w:r>
            <w:r w:rsidRPr="00BE4685">
              <w:rPr>
                <w:rFonts w:ascii="Palatino Linotype" w:hAnsi="Palatino Linotype"/>
                <w:sz w:val="20"/>
                <w:szCs w:val="20"/>
              </w:rPr>
              <w:t xml:space="preserve"> </w:t>
            </w:r>
            <w:hyperlink w:history="1" r:id="rId123">
              <w:r w:rsidRPr="00BE4685">
                <w:rPr>
                  <w:rStyle w:val="Hyperlink"/>
                  <w:rFonts w:ascii="Palatino Linotype" w:hAnsi="Palatino Linotype"/>
                  <w:sz w:val="20"/>
                  <w:szCs w:val="20"/>
                </w:rPr>
                <w:t>Resolution G-3586</w:t>
              </w:r>
            </w:hyperlink>
            <w:r w:rsidRPr="00BE4685">
              <w:rPr>
                <w:rFonts w:ascii="Palatino Linotype" w:hAnsi="Palatino Linotype"/>
                <w:sz w:val="20"/>
                <w:szCs w:val="20"/>
              </w:rPr>
              <w:t xml:space="preserve"> (2022) at OP 5. </w:t>
            </w:r>
            <w:r w:rsidRPr="00BE4685">
              <w:rPr>
                <w:rFonts w:ascii="Palatino Linotype" w:hAnsi="Palatino Linotype"/>
                <w:i/>
                <w:iCs/>
                <w:sz w:val="20"/>
                <w:szCs w:val="20"/>
              </w:rPr>
              <w:t>In subsequent Research Plans, SoCalGas shall: Provide project-level detail about Research Plans with the 16 data fields described in the Discussion sub-section titled Detailed budgets broken down by research subprogram.</w:t>
            </w:r>
          </w:p>
        </w:tc>
        <w:tc>
          <w:tcPr>
            <w:tcW w:w="6912" w:type="dxa"/>
          </w:tcPr>
          <w:p w:rsidRPr="00BE4685" w:rsidR="001E4CE1" w:rsidRDefault="001E4CE1" w14:paraId="6AF28935" w14:textId="77777777">
            <w:pPr>
              <w:rPr>
                <w:rStyle w:val="FootnoteReference"/>
                <w:rFonts w:ascii="Palatino Linotype" w:hAnsi="Palatino Linotype"/>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provides details of active projects expected to continue from past research plans into the current proposed plan year with the required data fields.</w:t>
            </w:r>
            <w:r w:rsidRPr="00BE4685">
              <w:rPr>
                <w:rStyle w:val="FootnoteReference"/>
                <w:rFonts w:ascii="Palatino Linotype" w:hAnsi="Palatino Linotype"/>
                <w:sz w:val="20"/>
                <w:szCs w:val="20"/>
              </w:rPr>
              <w:footnoteReference w:id="391"/>
            </w:r>
          </w:p>
          <w:p w:rsidRPr="00BE4685" w:rsidR="001E4CE1" w:rsidRDefault="001E4CE1" w14:paraId="7586AEE3" w14:textId="77777777">
            <w:pPr>
              <w:rPr>
                <w:rFonts w:ascii="Palatino Linotype" w:hAnsi="Palatino Linotype"/>
              </w:rPr>
            </w:pPr>
          </w:p>
        </w:tc>
        <w:tc>
          <w:tcPr>
            <w:tcW w:w="3600" w:type="dxa"/>
          </w:tcPr>
          <w:p w:rsidRPr="00BE4685" w:rsidR="001E4CE1" w:rsidRDefault="001E4CE1" w14:paraId="4AF02563"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provides project-level detail across the 16 required data fields. </w:t>
            </w:r>
            <w:r w:rsidRPr="00BE4685">
              <w:rPr>
                <w:rFonts w:ascii="Palatino Linotype" w:hAnsi="Palatino Linotype"/>
                <w:b/>
                <w:color w:val="000000" w:themeColor="text1"/>
                <w:sz w:val="20"/>
                <w:szCs w:val="20"/>
              </w:rPr>
              <w:t>SoCalGas is compliant with this requirement.</w:t>
            </w:r>
          </w:p>
        </w:tc>
      </w:tr>
      <w:tr w:rsidRPr="00BE4685" w:rsidR="001E4CE1" w14:paraId="2FC46A64" w14:textId="77777777">
        <w:trPr>
          <w:trHeight w:val="638"/>
          <w:tblHeader/>
        </w:trPr>
        <w:tc>
          <w:tcPr>
            <w:tcW w:w="3744" w:type="dxa"/>
          </w:tcPr>
          <w:p w:rsidRPr="00BE4685" w:rsidR="001E4CE1" w:rsidRDefault="001E4CE1" w14:paraId="4E3D430F" w14:textId="77777777">
            <w:pPr>
              <w:rPr>
                <w:rFonts w:ascii="Palatino Linotype" w:hAnsi="Palatino Linotype"/>
                <w:sz w:val="20"/>
                <w:szCs w:val="20"/>
              </w:rPr>
            </w:pPr>
            <w:r w:rsidRPr="00BE4685">
              <w:rPr>
                <w:rFonts w:ascii="Palatino Linotype" w:hAnsi="Palatino Linotype"/>
                <w:b/>
                <w:sz w:val="20"/>
                <w:szCs w:val="20"/>
              </w:rPr>
              <w:t xml:space="preserve">[12] </w:t>
            </w:r>
            <w:hyperlink r:id="rId124">
              <w:r w:rsidRPr="00BE4685">
                <w:rPr>
                  <w:rStyle w:val="Hyperlink"/>
                  <w:rFonts w:ascii="Palatino Linotype" w:hAnsi="Palatino Linotype"/>
                  <w:sz w:val="20"/>
                  <w:szCs w:val="20"/>
                </w:rPr>
                <w:t>Resolution G-3586</w:t>
              </w:r>
            </w:hyperlink>
            <w:r w:rsidRPr="00BE4685">
              <w:rPr>
                <w:rFonts w:ascii="Palatino Linotype" w:hAnsi="Palatino Linotype"/>
                <w:sz w:val="20"/>
                <w:szCs w:val="20"/>
              </w:rPr>
              <w:t xml:space="preserve"> (2022) at OP 5. </w:t>
            </w:r>
            <w:r w:rsidRPr="00BE4685">
              <w:rPr>
                <w:rFonts w:ascii="Palatino Linotype" w:hAnsi="Palatino Linotype"/>
                <w:i/>
                <w:iCs/>
                <w:sz w:val="20"/>
                <w:szCs w:val="20"/>
              </w:rPr>
              <w:t>In subsequent Research Plans, SoCalGas shall: Provide detail about administrative budgets using allowable cost categories that will be developed in a process launched by D.21-11- 028 defining allowable EPIC administrative costs</w:t>
            </w:r>
            <w:r w:rsidRPr="00BE4685">
              <w:rPr>
                <w:rFonts w:ascii="Palatino Linotype" w:hAnsi="Palatino Linotype"/>
                <w:color w:val="000000" w:themeColor="text1"/>
                <w:sz w:val="20"/>
                <w:szCs w:val="20"/>
              </w:rPr>
              <w:t>.</w:t>
            </w:r>
            <w:r w:rsidRPr="00BE4685">
              <w:rPr>
                <w:rStyle w:val="FootnoteReference"/>
                <w:rFonts w:ascii="Palatino Linotype" w:hAnsi="Palatino Linotype"/>
                <w:color w:val="000000" w:themeColor="text1"/>
                <w:sz w:val="20"/>
                <w:szCs w:val="20"/>
              </w:rPr>
              <w:footnoteReference w:id="392"/>
            </w:r>
          </w:p>
        </w:tc>
        <w:tc>
          <w:tcPr>
            <w:tcW w:w="6912" w:type="dxa"/>
          </w:tcPr>
          <w:p w:rsidRPr="00BE4685" w:rsidR="001E4CE1" w:rsidRDefault="001E4CE1" w14:paraId="1F426966" w14:textId="77777777">
            <w:pPr>
              <w:rPr>
                <w:color w:val="000000" w:themeColor="text1"/>
              </w:rPr>
            </w:pPr>
            <w:r w:rsidRPr="00BE4685">
              <w:rPr>
                <w:rFonts w:ascii="Palatino Linotype" w:hAnsi="Palatino Linotype" w:eastAsia="Palatino Linotype" w:cs="Palatino Linotype"/>
                <w:color w:val="000000" w:themeColor="text1"/>
                <w:sz w:val="20"/>
                <w:szCs w:val="20"/>
              </w:rPr>
              <w:t>SoCalGas proposes to allocate ten percent of its Gas RD&amp;D annual total budget to administrative costs, amounting to $1.894M for its 2026 Plan, and delineates those costs by allowable cost categories.</w:t>
            </w:r>
            <w:r w:rsidRPr="00BE4685">
              <w:rPr>
                <w:rStyle w:val="FootnoteReference"/>
                <w:rFonts w:ascii="Palatino Linotype" w:hAnsi="Palatino Linotype" w:eastAsia="Aptos" w:cs="Aptos"/>
                <w:color w:val="000000" w:themeColor="text1"/>
                <w:sz w:val="20"/>
                <w:szCs w:val="20"/>
              </w:rPr>
              <w:footnoteReference w:id="393"/>
            </w:r>
            <w:r w:rsidRPr="00BE4685">
              <w:rPr>
                <w:rFonts w:ascii="Palatino Linotype" w:hAnsi="Palatino Linotype" w:eastAsia="Palatino Linotype" w:cs="Palatino Linotype"/>
                <w:color w:val="000000" w:themeColor="text1"/>
                <w:sz w:val="20"/>
                <w:szCs w:val="20"/>
              </w:rPr>
              <w:t xml:space="preserve"> </w:t>
            </w:r>
            <w:r w:rsidRPr="00BE4685">
              <w:rPr>
                <w:rFonts w:ascii="Palatino Linotype" w:hAnsi="Palatino Linotype"/>
                <w:color w:val="000000" w:themeColor="text1"/>
                <w:sz w:val="20"/>
                <w:szCs w:val="20"/>
              </w:rPr>
              <w:t>SoCalGas</w:t>
            </w:r>
            <w:r w:rsidRPr="00BE4685">
              <w:rPr>
                <w:rFonts w:ascii="Palatino Linotype" w:hAnsi="Palatino Linotype" w:eastAsia="Palatino Linotype" w:cs="Times New Roman"/>
                <w:color w:val="000000" w:themeColor="text1"/>
                <w:sz w:val="20"/>
                <w:szCs w:val="20"/>
              </w:rPr>
              <w:t xml:space="preserve"> states that membership dues for consortia are captured in administrative costs per guidance from Energy Division.</w:t>
            </w:r>
            <w:r w:rsidRPr="00BE4685">
              <w:rPr>
                <w:rStyle w:val="FootnoteReference"/>
                <w:rFonts w:ascii="Palatino Linotype" w:hAnsi="Palatino Linotype" w:eastAsia="Palatino Linotype" w:cs="Times New Roman"/>
                <w:color w:val="000000" w:themeColor="text1"/>
                <w:sz w:val="20"/>
                <w:szCs w:val="20"/>
              </w:rPr>
              <w:footnoteReference w:id="394"/>
            </w:r>
          </w:p>
          <w:p w:rsidRPr="00BE4685" w:rsidR="001E4CE1" w:rsidRDefault="001E4CE1" w14:paraId="51D22474"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details how its proposed administrative costs are for developing and maintaining its Gas RD&amp;D Program, whereas the administrative portion of a project lifecycle are charged as direct project costs.</w:t>
            </w:r>
            <w:r w:rsidRPr="00BE4685">
              <w:rPr>
                <w:rStyle w:val="FootnoteReference"/>
                <w:rFonts w:ascii="Palatino Linotype" w:hAnsi="Palatino Linotype" w:eastAsia="Palatino Linotype" w:cs="Palatino Linotype"/>
                <w:color w:val="000000" w:themeColor="text1"/>
                <w:sz w:val="20"/>
                <w:szCs w:val="20"/>
              </w:rPr>
              <w:footnoteReference w:id="395"/>
            </w:r>
          </w:p>
        </w:tc>
        <w:tc>
          <w:tcPr>
            <w:tcW w:w="3600" w:type="dxa"/>
          </w:tcPr>
          <w:p w:rsidRPr="00BE4685" w:rsidR="001E4CE1" w:rsidRDefault="001E4CE1" w14:paraId="05CD4B0A"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provides </w:t>
            </w:r>
            <w:proofErr w:type="gramStart"/>
            <w:r w:rsidRPr="00BE4685">
              <w:rPr>
                <w:rFonts w:ascii="Palatino Linotype" w:hAnsi="Palatino Linotype" w:eastAsia="Palatino Linotype" w:cs="Palatino Linotype"/>
                <w:sz w:val="20"/>
                <w:szCs w:val="20"/>
              </w:rPr>
              <w:t>detail</w:t>
            </w:r>
            <w:proofErr w:type="gramEnd"/>
            <w:r w:rsidRPr="00BE4685">
              <w:rPr>
                <w:rFonts w:ascii="Palatino Linotype" w:hAnsi="Palatino Linotype" w:eastAsia="Palatino Linotype" w:cs="Palatino Linotype"/>
                <w:sz w:val="20"/>
                <w:szCs w:val="20"/>
              </w:rPr>
              <w:t xml:space="preserve"> about its administrative budget using allowable cost categories. </w:t>
            </w:r>
            <w:r w:rsidRPr="00BE4685">
              <w:rPr>
                <w:rFonts w:ascii="Palatino Linotype" w:hAnsi="Palatino Linotype"/>
                <w:b/>
                <w:color w:val="000000" w:themeColor="text1"/>
                <w:sz w:val="20"/>
                <w:szCs w:val="20"/>
              </w:rPr>
              <w:t>SoCalGas is compliant with this requirement.</w:t>
            </w:r>
          </w:p>
        </w:tc>
      </w:tr>
      <w:tr w:rsidRPr="00BE4685" w:rsidR="001E4CE1" w14:paraId="7068148C" w14:textId="77777777">
        <w:trPr>
          <w:trHeight w:val="638"/>
          <w:tblHeader/>
        </w:trPr>
        <w:tc>
          <w:tcPr>
            <w:tcW w:w="3744" w:type="dxa"/>
          </w:tcPr>
          <w:p w:rsidRPr="00BE4685" w:rsidR="001E4CE1" w:rsidRDefault="001E4CE1" w14:paraId="1D325B2B" w14:textId="77777777">
            <w:pPr>
              <w:rPr>
                <w:rFonts w:ascii="Palatino Linotype" w:hAnsi="Palatino Linotype"/>
                <w:i/>
                <w:sz w:val="20"/>
                <w:szCs w:val="20"/>
              </w:rPr>
            </w:pPr>
            <w:r w:rsidRPr="00BE4685">
              <w:rPr>
                <w:rFonts w:ascii="Palatino Linotype" w:hAnsi="Palatino Linotype"/>
                <w:b/>
                <w:sz w:val="20"/>
                <w:szCs w:val="20"/>
              </w:rPr>
              <w:lastRenderedPageBreak/>
              <w:t xml:space="preserve">[13] </w:t>
            </w:r>
            <w:hyperlink r:id="rId125">
              <w:r w:rsidRPr="00BE4685">
                <w:rPr>
                  <w:rStyle w:val="Hyperlink"/>
                  <w:rFonts w:ascii="Palatino Linotype" w:hAnsi="Palatino Linotype"/>
                  <w:sz w:val="20"/>
                  <w:szCs w:val="20"/>
                </w:rPr>
                <w:t>Resolution G-3586</w:t>
              </w:r>
            </w:hyperlink>
            <w:r w:rsidRPr="00BE4685">
              <w:rPr>
                <w:rFonts w:ascii="Palatino Linotype" w:hAnsi="Palatino Linotype"/>
                <w:sz w:val="20"/>
                <w:szCs w:val="20"/>
              </w:rPr>
              <w:t xml:space="preserve"> (2022) at OP 5. </w:t>
            </w:r>
            <w:r w:rsidRPr="00BE4685">
              <w:rPr>
                <w:rFonts w:ascii="Palatino Linotype" w:hAnsi="Palatino Linotype"/>
                <w:i/>
                <w:iCs/>
                <w:sz w:val="20"/>
                <w:szCs w:val="20"/>
              </w:rPr>
              <w:t>In subsequent Research Plans, SoCalGas shall: Provide detail quantifying research funding allocations by research consortium, as well as project costs related to each consortium.</w:t>
            </w:r>
          </w:p>
        </w:tc>
        <w:tc>
          <w:tcPr>
            <w:tcW w:w="6912" w:type="dxa"/>
          </w:tcPr>
          <w:p w:rsidRPr="00BE4685" w:rsidR="001E4CE1" w:rsidRDefault="001E4CE1" w14:paraId="2FE0361F" w14:textId="77777777">
            <w:pPr>
              <w:rPr>
                <w:rFonts w:ascii="Palatino Linotype" w:hAnsi="Palatino Linotype" w:eastAsia="Aptos" w:cs="Aptos"/>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states that it is a member of “three subscription-based organizations: Northeast Gas Association (NGA)/NYSEARCH, Operations Technology Development (OTD), and Pipeline Research Council International (PRCI).”  However,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also notes that it will be withdrawing from OTD in 2026, significantly reducing its membership expenditures for this period, although it will continue to fulfil</w:t>
            </w:r>
            <w:r w:rsidRPr="00BE4685">
              <w:rPr>
                <w:rFonts w:ascii="Palatino Linotype" w:hAnsi="Palatino Linotype" w:eastAsia="Palatino Linotype" w:cs="Palatino Linotype"/>
                <w:color w:val="000000" w:themeColor="text1"/>
                <w:sz w:val="20"/>
                <w:szCs w:val="20"/>
              </w:rPr>
              <w:t>l current project commitments.</w:t>
            </w:r>
            <w:r w:rsidRPr="00BE4685">
              <w:rPr>
                <w:rStyle w:val="FootnoteReference"/>
                <w:rFonts w:ascii="Palatino Linotype" w:hAnsi="Palatino Linotype" w:eastAsia="Palatino Linotype" w:cs="Palatino Linotype"/>
                <w:color w:val="000000" w:themeColor="text1"/>
                <w:sz w:val="20"/>
                <w:szCs w:val="20"/>
              </w:rPr>
              <w:footnoteReference w:id="396"/>
            </w:r>
            <w:r w:rsidRPr="00BE4685">
              <w:rPr>
                <w:rFonts w:ascii="Palatino Linotype" w:hAnsi="Palatino Linotype" w:eastAsia="Palatino Linotype" w:cs="Palatino Linotype"/>
                <w:color w:val="000000" w:themeColor="text1"/>
                <w:sz w:val="20"/>
                <w:szCs w:val="20"/>
              </w:rPr>
              <w:t xml:space="preserve"> SoCalGas lists funds for 2026 Membership Dues ($252,537), including Membership ($115,000) and Available</w:t>
            </w:r>
            <w:r w:rsidRPr="00BE4685">
              <w:rPr>
                <w:rFonts w:ascii="Palatino Linotype" w:hAnsi="Palatino Linotype" w:eastAsia="Palatino Linotype" w:cs="Palatino Linotype"/>
                <w:sz w:val="20"/>
                <w:szCs w:val="20"/>
              </w:rPr>
              <w:t xml:space="preserve"> for Projects ($137,537).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also lists projects by consortium with Total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Costs and Total Project Costs.</w:t>
            </w:r>
            <w:r w:rsidRPr="00BE4685">
              <w:rPr>
                <w:rStyle w:val="FootnoteReference"/>
                <w:rFonts w:ascii="Palatino Linotype" w:hAnsi="Palatino Linotype" w:eastAsia="Aptos" w:cs="Aptos"/>
                <w:sz w:val="20"/>
                <w:szCs w:val="20"/>
              </w:rPr>
              <w:footnoteReference w:id="397"/>
            </w:r>
          </w:p>
        </w:tc>
        <w:tc>
          <w:tcPr>
            <w:tcW w:w="3600" w:type="dxa"/>
          </w:tcPr>
          <w:p w:rsidRPr="00BE4685" w:rsidR="001E4CE1" w:rsidRDefault="001E4CE1" w14:paraId="47891143"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details research funding allocations by research consortium and project costs related to each consortium. </w:t>
            </w:r>
            <w:r w:rsidRPr="00BE4685">
              <w:rPr>
                <w:rFonts w:ascii="Palatino Linotype" w:hAnsi="Palatino Linotype"/>
                <w:b/>
                <w:color w:val="000000" w:themeColor="text1"/>
                <w:sz w:val="20"/>
                <w:szCs w:val="20"/>
              </w:rPr>
              <w:t>SoCalGas is compliant with this requirement.</w:t>
            </w:r>
          </w:p>
        </w:tc>
      </w:tr>
      <w:tr w:rsidRPr="00BE4685" w:rsidR="001E4CE1" w14:paraId="1EEE70B4" w14:textId="77777777">
        <w:trPr>
          <w:trHeight w:val="638"/>
          <w:tblHeader/>
        </w:trPr>
        <w:tc>
          <w:tcPr>
            <w:tcW w:w="3744" w:type="dxa"/>
            <w:shd w:val="clear" w:color="auto" w:fill="FFFFFF" w:themeFill="background1"/>
          </w:tcPr>
          <w:p w:rsidRPr="00BE4685" w:rsidR="001E4CE1" w:rsidRDefault="001E4CE1" w14:paraId="63E93D90" w14:textId="77777777">
            <w:pPr>
              <w:rPr>
                <w:rFonts w:ascii="Palatino Linotype" w:hAnsi="Palatino Linotype"/>
                <w:i/>
                <w:iCs/>
                <w:sz w:val="20"/>
                <w:szCs w:val="20"/>
              </w:rPr>
            </w:pPr>
            <w:r w:rsidRPr="00BE4685">
              <w:rPr>
                <w:rFonts w:ascii="Palatino Linotype" w:hAnsi="Palatino Linotype"/>
                <w:b/>
                <w:sz w:val="20"/>
                <w:szCs w:val="20"/>
              </w:rPr>
              <w:t xml:space="preserve">[14] </w:t>
            </w:r>
            <w:hyperlink w:tgtFrame="_blank" w:history="1" r:id="rId126">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5. </w:t>
            </w:r>
            <w:proofErr w:type="gramStart"/>
            <w:r w:rsidRPr="00BE4685">
              <w:rPr>
                <w:rFonts w:ascii="Palatino Linotype" w:hAnsi="Palatino Linotype"/>
                <w:i/>
                <w:iCs/>
                <w:sz w:val="20"/>
                <w:szCs w:val="20"/>
              </w:rPr>
              <w:t>All of</w:t>
            </w:r>
            <w:proofErr w:type="gramEnd"/>
            <w:r w:rsidRPr="00BE4685">
              <w:rPr>
                <w:rFonts w:ascii="Palatino Linotype" w:hAnsi="Palatino Linotype"/>
                <w:i/>
                <w:iCs/>
                <w:sz w:val="20"/>
                <w:szCs w:val="20"/>
              </w:rPr>
              <w:t xml:space="preserve"> Southern California Gas Company’s new and future [RD&amp;D] projects shall occur in the State of California. The only exception may be made for projects with out-of-state federal labs. In this case, SoCalGas shall explicitly justify benefits to its gas ratepayers of an out-of-state project in its Tier 3 Advice Letter annual plan.</w:t>
            </w:r>
          </w:p>
        </w:tc>
        <w:tc>
          <w:tcPr>
            <w:tcW w:w="6912" w:type="dxa"/>
          </w:tcPr>
          <w:p w:rsidRPr="00BE4685" w:rsidR="001E4CE1" w:rsidRDefault="001E4CE1" w14:paraId="05EB9D26" w14:textId="77777777">
            <w:pPr>
              <w:rPr>
                <w:color w:val="000000" w:themeColor="text1"/>
              </w:rPr>
            </w:pPr>
            <w:r w:rsidRPr="00BE4685">
              <w:rPr>
                <w:rFonts w:ascii="Palatino Linotype" w:hAnsi="Palatino Linotype" w:eastAsia="Palatino Linotype" w:cs="Palatino Linotype"/>
                <w:color w:val="000000" w:themeColor="text1"/>
                <w:sz w:val="20"/>
                <w:szCs w:val="20"/>
              </w:rPr>
              <w:t>SoCalGas states that it “includes a step in its project selection process to validate a project’s location in California. In addition, SoCalGas hosts demonstrations of new technologies within the state of California, bringing outside investment into California and supporting local economies.”</w:t>
            </w:r>
            <w:r w:rsidRPr="00BE4685">
              <w:rPr>
                <w:rStyle w:val="FootnoteReference"/>
                <w:rFonts w:ascii="Palatino Linotype" w:hAnsi="Palatino Linotype"/>
                <w:color w:val="000000" w:themeColor="text1"/>
                <w:sz w:val="20"/>
                <w:szCs w:val="20"/>
              </w:rPr>
              <w:footnoteReference w:id="398"/>
            </w:r>
          </w:p>
          <w:p w:rsidRPr="00BE4685" w:rsidR="001E4CE1" w:rsidRDefault="001E4CE1" w14:paraId="3AF87A7F"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states that benefits include “pooling of financial resources and technical resources...to share knowledge, avoid needless duplication of work, and develop and execute impactful projects.”</w:t>
            </w:r>
            <w:r w:rsidRPr="00BE4685">
              <w:rPr>
                <w:rStyle w:val="FootnoteReference"/>
                <w:rFonts w:ascii="Palatino Linotype" w:hAnsi="Palatino Linotype" w:eastAsia="Palatino Linotype" w:cs="Palatino Linotype"/>
                <w:color w:val="000000" w:themeColor="text1"/>
                <w:sz w:val="20"/>
                <w:szCs w:val="20"/>
              </w:rPr>
              <w:footnoteReference w:id="399"/>
            </w:r>
          </w:p>
          <w:p w:rsidRPr="00BE4685" w:rsidR="001E4CE1" w:rsidRDefault="001E4CE1" w14:paraId="69801CBF" w14:textId="77777777">
            <w:pPr>
              <w:spacing w:before="240"/>
              <w:rPr>
                <w:rFonts w:ascii="Palatino Linotype" w:hAnsi="Palatino Linotype"/>
                <w:vertAlign w:val="superscript"/>
              </w:rPr>
            </w:pPr>
            <w:r w:rsidRPr="00BE4685">
              <w:rPr>
                <w:rFonts w:ascii="Palatino Linotype" w:hAnsi="Palatino Linotype" w:eastAsia="Palatino Linotype" w:cs="Palatino Linotype"/>
                <w:color w:val="000000" w:themeColor="text1"/>
                <w:sz w:val="20"/>
                <w:szCs w:val="20"/>
              </w:rPr>
              <w:t>To comply with this requirement, SoCalGas</w:t>
            </w:r>
            <w:r w:rsidRPr="00BE4685">
              <w:rPr>
                <w:rFonts w:ascii="Palatino Linotype" w:hAnsi="Palatino Linotype" w:eastAsia="Palatino Linotype" w:cs="Palatino Linotype"/>
                <w:sz w:val="20"/>
                <w:szCs w:val="20"/>
              </w:rPr>
              <w:t xml:space="preserve"> states that it will not renew membership in the Northeast Gas Association (NGA) /NYSEARCH, Operations Technology Development (OTD) consortium. “As a result, although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RD&amp;D is a member of OTD in 2026, it will not initiate any new projects with OTD and will complete all projects underway and then terminate its membership.”</w:t>
            </w:r>
            <w:r w:rsidRPr="00BE4685">
              <w:rPr>
                <w:rStyle w:val="FootnoteReference"/>
                <w:rFonts w:ascii="Palatino Linotype" w:hAnsi="Palatino Linotype"/>
                <w:sz w:val="20"/>
                <w:szCs w:val="20"/>
              </w:rPr>
              <w:footnoteReference w:id="400"/>
            </w:r>
          </w:p>
        </w:tc>
        <w:tc>
          <w:tcPr>
            <w:tcW w:w="3600" w:type="dxa"/>
          </w:tcPr>
          <w:p w:rsidRPr="00BE4685" w:rsidR="001E4CE1" w:rsidRDefault="001E4CE1" w14:paraId="72DBB795"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demonstrates that all projects will take place in the State of California and describes general benefits from consortia projects.</w:t>
            </w:r>
            <w:r w:rsidRPr="00BE4685">
              <w:rPr>
                <w:rFonts w:ascii="Palatino Linotype" w:hAnsi="Palatino Linotype" w:eastAsia="Palatino Linotype" w:cs="Palatino Linotype"/>
                <w:b/>
                <w:color w:val="000000" w:themeColor="text1"/>
                <w:sz w:val="20"/>
                <w:szCs w:val="20"/>
              </w:rPr>
              <w:t xml:space="preserve"> SoCalGas is compliant with this requirement.</w:t>
            </w:r>
            <w:r w:rsidRPr="00BE4685">
              <w:rPr>
                <w:rFonts w:ascii="Palatino Linotype" w:hAnsi="Palatino Linotype" w:eastAsia="Palatino Linotype" w:cs="Palatino Linotype"/>
                <w:color w:val="000000" w:themeColor="text1"/>
                <w:sz w:val="20"/>
                <w:szCs w:val="20"/>
              </w:rPr>
              <w:t> </w:t>
            </w:r>
          </w:p>
          <w:p w:rsidRPr="00BE4685" w:rsidR="001E4CE1" w:rsidRDefault="001E4CE1" w14:paraId="721EB40E" w14:textId="77777777">
            <w:pPr>
              <w:rPr>
                <w:rFonts w:ascii="Palatino Linotype" w:hAnsi="Palatino Linotype" w:eastAsia="Palatino Linotype" w:cs="Palatino Linotype"/>
                <w:sz w:val="20"/>
                <w:szCs w:val="20"/>
              </w:rPr>
            </w:pPr>
          </w:p>
        </w:tc>
      </w:tr>
      <w:tr w:rsidRPr="00BE4685" w:rsidR="001E4CE1" w14:paraId="446D422C" w14:textId="77777777">
        <w:trPr>
          <w:trHeight w:val="638"/>
          <w:tblHeader/>
        </w:trPr>
        <w:tc>
          <w:tcPr>
            <w:tcW w:w="3744" w:type="dxa"/>
          </w:tcPr>
          <w:p w:rsidRPr="00BE4685" w:rsidR="001E4CE1" w:rsidRDefault="001E4CE1" w14:paraId="3C66675B" w14:textId="77777777">
            <w:pPr>
              <w:rPr>
                <w:rFonts w:ascii="Palatino Linotype" w:hAnsi="Palatino Linotype"/>
                <w:i/>
                <w:iCs/>
                <w:sz w:val="20"/>
                <w:szCs w:val="20"/>
              </w:rPr>
            </w:pPr>
            <w:r w:rsidRPr="00BE4685">
              <w:rPr>
                <w:rFonts w:ascii="Palatino Linotype" w:hAnsi="Palatino Linotype"/>
                <w:b/>
                <w:sz w:val="20"/>
                <w:szCs w:val="20"/>
              </w:rPr>
              <w:lastRenderedPageBreak/>
              <w:t xml:space="preserve">[15] </w:t>
            </w:r>
            <w:hyperlink r:id="rId127">
              <w:r w:rsidRPr="00BE4685">
                <w:rPr>
                  <w:rStyle w:val="Hyperlink"/>
                  <w:rFonts w:ascii="Palatino Linotype" w:hAnsi="Palatino Linotype"/>
                  <w:sz w:val="20"/>
                  <w:szCs w:val="20"/>
                </w:rPr>
                <w:t>Resolution G-3601</w:t>
              </w:r>
            </w:hyperlink>
            <w:r w:rsidRPr="00BE4685">
              <w:rPr>
                <w:rFonts w:ascii="Palatino Linotype" w:hAnsi="Palatino Linotype"/>
                <w:i/>
                <w:iCs/>
                <w:sz w:val="20"/>
                <w:szCs w:val="20"/>
              </w:rPr>
              <w:t> (2023) at OP 6. In its 2024 Gas [RD&amp;D] Plan and beyond, [</w:t>
            </w:r>
            <w:r w:rsidRPr="00BE4685">
              <w:rPr>
                <w:rFonts w:ascii="Palatino Linotype" w:hAnsi="Palatino Linotype" w:eastAsia="Palatino Linotype" w:cs="Palatino Linotype"/>
                <w:i/>
                <w:iCs/>
                <w:color w:val="000000" w:themeColor="text1"/>
                <w:sz w:val="20"/>
                <w:szCs w:val="20"/>
              </w:rPr>
              <w:t>SoCalGas</w:t>
            </w:r>
            <w:r w:rsidRPr="00BE4685">
              <w:rPr>
                <w:rFonts w:ascii="Palatino Linotype" w:hAnsi="Palatino Linotype"/>
                <w:i/>
                <w:iCs/>
                <w:sz w:val="20"/>
                <w:szCs w:val="20"/>
              </w:rPr>
              <w:t>] shall: Meet with Energy Division at least six weeks ahead of submitting its annual RD&amp;D Plan to present its proposed Plan and incorporate Energy Division feedback. At that time SoCalGas’ proposed Plan should reflect input from RD&amp;D administrator coordination and broad stakeholders including the research and ESJ communities.</w:t>
            </w:r>
          </w:p>
          <w:p w:rsidRPr="00BE4685" w:rsidR="001E4CE1" w:rsidRDefault="001E4CE1" w14:paraId="3F97F037" w14:textId="77777777">
            <w:pPr>
              <w:rPr>
                <w:rFonts w:ascii="Palatino Linotype" w:hAnsi="Palatino Linotype"/>
                <w:i/>
                <w:iCs/>
                <w:sz w:val="20"/>
                <w:szCs w:val="20"/>
              </w:rPr>
            </w:pPr>
          </w:p>
          <w:p w:rsidRPr="00BE4685" w:rsidR="001E4CE1" w:rsidRDefault="001E4CE1" w14:paraId="42E745DF"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See also: [6] on ratepayer benefit; [18] on integration of public stakeholder feedback; and [23] for gas RD&amp;D administrator coordination. </w:t>
            </w:r>
          </w:p>
        </w:tc>
        <w:tc>
          <w:tcPr>
            <w:tcW w:w="6912" w:type="dxa"/>
          </w:tcPr>
          <w:p w:rsidRPr="00BE4685" w:rsidR="001E4CE1" w:rsidRDefault="001E4CE1" w14:paraId="3D705853" w14:textId="77777777">
            <w:pPr>
              <w:rPr>
                <w:color w:val="000000" w:themeColor="text1"/>
              </w:rPr>
            </w:pPr>
            <w:r w:rsidRPr="00BE4685">
              <w:rPr>
                <w:rFonts w:ascii="Palatino Linotype" w:hAnsi="Palatino Linotype" w:eastAsia="Palatino Linotype" w:cs="Palatino Linotype"/>
                <w:color w:val="000000" w:themeColor="text1"/>
                <w:sz w:val="20"/>
                <w:szCs w:val="20"/>
              </w:rPr>
              <w:t>SoCalGas met with Energy Division staff on December 5, 2025, to review its Plan proposals before filing. SoCalGas provides Table 2: CPUC SME Feedback.</w:t>
            </w:r>
            <w:r w:rsidRPr="00BE4685">
              <w:rPr>
                <w:rStyle w:val="FootnoteReference"/>
                <w:rFonts w:ascii="Palatino Linotype" w:hAnsi="Palatino Linotype"/>
                <w:color w:val="000000" w:themeColor="text1"/>
                <w:sz w:val="20"/>
                <w:szCs w:val="20"/>
              </w:rPr>
              <w:footnoteReference w:id="401"/>
            </w:r>
            <w:r w:rsidRPr="00BE4685">
              <w:rPr>
                <w:rFonts w:ascii="Palatino Linotype" w:hAnsi="Palatino Linotype" w:eastAsia="Palatino Linotype" w:cs="Palatino Linotype"/>
                <w:color w:val="000000" w:themeColor="text1"/>
                <w:sz w:val="20"/>
                <w:szCs w:val="20"/>
              </w:rPr>
              <w:t xml:space="preserve"> Energy Division staff provided the following Initiative-level feedback/recommendations as partially captured in SoCalGas’ Plan</w:t>
            </w:r>
            <w:r w:rsidRPr="00BE4685">
              <w:rPr>
                <w:rFonts w:ascii="Palatino Linotype" w:hAnsi="Palatino Linotype"/>
                <w:color w:val="000000" w:themeColor="text1"/>
                <w:sz w:val="20"/>
                <w:szCs w:val="20"/>
              </w:rPr>
              <w:t>:</w:t>
            </w:r>
          </w:p>
          <w:p w:rsidRPr="00BE4685" w:rsidR="001E4CE1" w:rsidP="001E4CE1" w:rsidRDefault="001E4CE1" w14:paraId="19F9399A" w14:textId="77777777">
            <w:pPr>
              <w:pStyle w:val="ListParagraph"/>
              <w:numPr>
                <w:ilvl w:val="0"/>
                <w:numId w:val="93"/>
              </w:numPr>
              <w:spacing w:after="160"/>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Environment &amp; Safety:</w:t>
            </w:r>
            <w:r w:rsidRPr="00BE4685">
              <w:rPr>
                <w:rFonts w:ascii="Palatino Linotype" w:hAnsi="Palatino Linotype"/>
                <w:color w:val="000000" w:themeColor="text1"/>
                <w:sz w:val="20"/>
                <w:szCs w:val="20"/>
              </w:rPr>
              <w:t xml:space="preserve"> Clearly define core research questions and data integration. For all AI/ML applications, account for the full costs including increased energy consumption, cloud services, data storage, and processing requirements and demonstrate that human decision-making authority will be retained.</w:t>
            </w:r>
          </w:p>
          <w:p w:rsidRPr="00BE4685" w:rsidR="001E4CE1" w:rsidP="001E4CE1" w:rsidRDefault="001E4CE1" w14:paraId="09238D6F" w14:textId="77777777">
            <w:pPr>
              <w:pStyle w:val="ListParagraph"/>
              <w:numPr>
                <w:ilvl w:val="0"/>
                <w:numId w:val="93"/>
              </w:numPr>
              <w:spacing w:before="240" w:after="160"/>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System Inspection &amp; Monitoring</w:t>
            </w:r>
            <w:r w:rsidRPr="00BE4685">
              <w:rPr>
                <w:rFonts w:ascii="Palatino Linotype" w:hAnsi="Palatino Linotype"/>
                <w:color w:val="000000" w:themeColor="text1"/>
                <w:sz w:val="20"/>
                <w:szCs w:val="20"/>
              </w:rPr>
              <w:t>: Clearly define market gaps and ratepayer benefit, explore utilizing Climate Adaptation and Vulnerability Assessments (CAVAs), and consider whether AI is necessary to implement this Initiative.</w:t>
            </w:r>
          </w:p>
          <w:p w:rsidRPr="00BE4685" w:rsidR="001E4CE1" w:rsidP="001E4CE1" w:rsidRDefault="001E4CE1" w14:paraId="33F58F8D" w14:textId="77777777">
            <w:pPr>
              <w:pStyle w:val="ListParagraph"/>
              <w:numPr>
                <w:ilvl w:val="1"/>
                <w:numId w:val="93"/>
              </w:numPr>
              <w:spacing w:before="240" w:after="160"/>
              <w:rPr>
                <w:rFonts w:ascii="Palatino Linotype" w:hAnsi="Palatino Linotype"/>
                <w:color w:val="000000" w:themeColor="text1"/>
                <w:sz w:val="20"/>
                <w:szCs w:val="20"/>
              </w:rPr>
            </w:pPr>
            <w:r w:rsidRPr="00BE4685">
              <w:rPr>
                <w:rFonts w:ascii="Palatino Linotype" w:hAnsi="Palatino Linotype"/>
                <w:color w:val="000000" w:themeColor="text1"/>
                <w:sz w:val="20"/>
                <w:szCs w:val="20"/>
              </w:rPr>
              <w:t xml:space="preserve">SoCalGas states that it will leverage and integrate existing data sources to develop a comprehensive view of system risk, </w:t>
            </w:r>
            <w:proofErr w:type="gramStart"/>
            <w:r w:rsidRPr="00BE4685">
              <w:rPr>
                <w:rFonts w:ascii="Palatino Linotype" w:hAnsi="Palatino Linotype"/>
                <w:color w:val="000000" w:themeColor="text1"/>
                <w:sz w:val="20"/>
                <w:szCs w:val="20"/>
              </w:rPr>
              <w:t>including from</w:t>
            </w:r>
            <w:proofErr w:type="gramEnd"/>
            <w:r w:rsidRPr="00BE4685">
              <w:rPr>
                <w:rFonts w:ascii="Palatino Linotype" w:hAnsi="Palatino Linotype"/>
                <w:color w:val="000000" w:themeColor="text1"/>
                <w:sz w:val="20"/>
                <w:szCs w:val="20"/>
              </w:rPr>
              <w:t xml:space="preserve"> CAVAs, to inform mitigation decisions.</w:t>
            </w:r>
            <w:r w:rsidRPr="00BE4685">
              <w:rPr>
                <w:rStyle w:val="FootnoteReference"/>
                <w:rFonts w:ascii="Palatino Linotype" w:hAnsi="Palatino Linotype"/>
                <w:color w:val="000000" w:themeColor="text1"/>
                <w:sz w:val="20"/>
                <w:szCs w:val="20"/>
              </w:rPr>
              <w:footnoteReference w:id="402"/>
            </w:r>
          </w:p>
          <w:p w:rsidRPr="00BE4685" w:rsidR="001E4CE1" w:rsidP="001E4CE1" w:rsidRDefault="001E4CE1" w14:paraId="6E90DED9" w14:textId="77777777">
            <w:pPr>
              <w:pStyle w:val="ListParagraph"/>
              <w:numPr>
                <w:ilvl w:val="0"/>
                <w:numId w:val="93"/>
              </w:numPr>
              <w:spacing w:after="160"/>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Community Impact &amp; Energy Conservation</w:t>
            </w:r>
            <w:r w:rsidRPr="00BE4685">
              <w:rPr>
                <w:rFonts w:ascii="Palatino Linotype" w:hAnsi="Palatino Linotype"/>
                <w:color w:val="000000" w:themeColor="text1"/>
                <w:sz w:val="20"/>
                <w:szCs w:val="20"/>
              </w:rPr>
              <w:t xml:space="preserve">: Clearly define intended outputs and improvements to ratepayer affordability. </w:t>
            </w:r>
          </w:p>
          <w:p w:rsidRPr="00BE4685" w:rsidR="001E4CE1" w:rsidP="001E4CE1" w:rsidRDefault="001E4CE1" w14:paraId="46C227BD" w14:textId="77777777">
            <w:pPr>
              <w:pStyle w:val="ListParagraph"/>
              <w:numPr>
                <w:ilvl w:val="0"/>
                <w:numId w:val="93"/>
              </w:numPr>
              <w:spacing w:before="240" w:after="160"/>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Low-Carbon Fuel Technologies</w:t>
            </w:r>
            <w:r w:rsidRPr="00BE4685">
              <w:rPr>
                <w:rFonts w:ascii="Palatino Linotype" w:hAnsi="Palatino Linotype"/>
                <w:color w:val="000000" w:themeColor="text1"/>
                <w:sz w:val="20"/>
                <w:szCs w:val="20"/>
              </w:rPr>
              <w:t xml:space="preserve">: Remove hydrogen related elements. </w:t>
            </w:r>
          </w:p>
          <w:p w:rsidRPr="00BE4685" w:rsidR="001E4CE1" w:rsidP="001E4CE1" w:rsidRDefault="001E4CE1" w14:paraId="217B4FB5" w14:textId="77777777">
            <w:pPr>
              <w:pStyle w:val="ListParagraph"/>
              <w:numPr>
                <w:ilvl w:val="1"/>
                <w:numId w:val="93"/>
              </w:numPr>
              <w:spacing w:before="240" w:after="160"/>
              <w:rPr>
                <w:rFonts w:ascii="Palatino Linotype" w:hAnsi="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states that this Initiative focuses on emerging RNG production technologies and cost optimization opportunities and excludes hydrogen-related technologies (e.g., </w:t>
            </w:r>
            <w:proofErr w:type="spellStart"/>
            <w:r w:rsidRPr="00BE4685">
              <w:rPr>
                <w:rFonts w:ascii="Palatino Linotype" w:hAnsi="Palatino Linotype" w:eastAsia="Palatino Linotype" w:cs="Palatino Linotype"/>
                <w:color w:val="000000" w:themeColor="text1"/>
                <w:sz w:val="20"/>
                <w:szCs w:val="20"/>
              </w:rPr>
              <w:t>electrolyzers</w:t>
            </w:r>
            <w:proofErr w:type="spellEnd"/>
            <w:r w:rsidRPr="00BE4685">
              <w:rPr>
                <w:rFonts w:ascii="Palatino Linotype" w:hAnsi="Palatino Linotype" w:eastAsia="Palatino Linotype" w:cs="Palatino Linotype"/>
                <w:color w:val="000000" w:themeColor="text1"/>
                <w:sz w:val="20"/>
                <w:szCs w:val="20"/>
              </w:rPr>
              <w:t>, cell manufacturing).</w:t>
            </w:r>
            <w:r w:rsidRPr="00BE4685">
              <w:rPr>
                <w:rStyle w:val="FootnoteReference"/>
                <w:rFonts w:ascii="Palatino Linotype" w:hAnsi="Palatino Linotype"/>
                <w:color w:val="000000" w:themeColor="text1"/>
              </w:rPr>
              <w:footnoteReference w:id="403"/>
            </w:r>
          </w:p>
          <w:p w:rsidRPr="00BE4685" w:rsidR="001E4CE1" w:rsidP="001E4CE1" w:rsidRDefault="001E4CE1" w14:paraId="12ADA8A0" w14:textId="77777777">
            <w:pPr>
              <w:pStyle w:val="ListParagraph"/>
              <w:numPr>
                <w:ilvl w:val="0"/>
                <w:numId w:val="93"/>
              </w:numPr>
              <w:spacing w:before="240" w:after="160"/>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Energy Reliability &amp; Resilience</w:t>
            </w:r>
            <w:r w:rsidRPr="00BE4685">
              <w:rPr>
                <w:rFonts w:ascii="Palatino Linotype" w:hAnsi="Palatino Linotype"/>
                <w:color w:val="000000" w:themeColor="text1"/>
                <w:sz w:val="20"/>
                <w:szCs w:val="20"/>
              </w:rPr>
              <w:t xml:space="preserve">: Address affordability concerns and remove hydrogen related elements. </w:t>
            </w:r>
          </w:p>
          <w:p w:rsidRPr="00BE4685" w:rsidR="001E4CE1" w:rsidP="001E4CE1" w:rsidRDefault="001E4CE1" w14:paraId="2B2ABBBF" w14:textId="77777777">
            <w:pPr>
              <w:pStyle w:val="ListParagraph"/>
              <w:numPr>
                <w:ilvl w:val="1"/>
                <w:numId w:val="93"/>
              </w:numPr>
              <w:spacing w:before="240" w:after="160"/>
              <w:rPr>
                <w:rFonts w:ascii="Palatino Linotype" w:hAnsi="Palatino Linotype"/>
                <w:color w:val="000000" w:themeColor="text1"/>
                <w:sz w:val="20"/>
                <w:szCs w:val="20"/>
              </w:rPr>
            </w:pPr>
            <w:r w:rsidRPr="00BE4685">
              <w:rPr>
                <w:rFonts w:ascii="Palatino Linotype" w:hAnsi="Palatino Linotype"/>
                <w:color w:val="000000" w:themeColor="text1"/>
                <w:sz w:val="20"/>
                <w:szCs w:val="20"/>
              </w:rPr>
              <w:t>SoCalGas states that it intends to “[i]</w:t>
            </w:r>
            <w:proofErr w:type="spellStart"/>
            <w:r w:rsidRPr="00BE4685">
              <w:rPr>
                <w:rFonts w:ascii="Palatino Linotype" w:hAnsi="Palatino Linotype"/>
                <w:color w:val="000000" w:themeColor="text1"/>
                <w:sz w:val="20"/>
                <w:szCs w:val="20"/>
              </w:rPr>
              <w:t>mprove</w:t>
            </w:r>
            <w:proofErr w:type="spellEnd"/>
            <w:r w:rsidRPr="00BE4685">
              <w:rPr>
                <w:rFonts w:ascii="Palatino Linotype" w:hAnsi="Palatino Linotype"/>
                <w:color w:val="000000" w:themeColor="text1"/>
                <w:sz w:val="20"/>
                <w:szCs w:val="20"/>
              </w:rPr>
              <w:t xml:space="preserve"> point-of-use decarbonization approaches to support better cost and operating performance."</w:t>
            </w:r>
            <w:r w:rsidRPr="00BE4685">
              <w:rPr>
                <w:rStyle w:val="FootnoteReference"/>
                <w:rFonts w:ascii="Palatino Linotype" w:hAnsi="Palatino Linotype"/>
                <w:color w:val="000000" w:themeColor="text1"/>
                <w:sz w:val="20"/>
                <w:szCs w:val="20"/>
              </w:rPr>
              <w:footnoteReference w:id="404"/>
            </w:r>
          </w:p>
          <w:p w:rsidRPr="00BE4685" w:rsidR="001E4CE1" w:rsidP="001E4CE1" w:rsidRDefault="001E4CE1" w14:paraId="21715C04" w14:textId="77777777">
            <w:pPr>
              <w:pStyle w:val="ListParagraph"/>
              <w:numPr>
                <w:ilvl w:val="0"/>
                <w:numId w:val="93"/>
              </w:numPr>
              <w:spacing w:before="240"/>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Building &amp; Facility Systems</w:t>
            </w:r>
            <w:r w:rsidRPr="00BE4685">
              <w:rPr>
                <w:rFonts w:ascii="Palatino Linotype" w:hAnsi="Palatino Linotype"/>
                <w:color w:val="000000" w:themeColor="text1"/>
                <w:sz w:val="20"/>
                <w:szCs w:val="20"/>
              </w:rPr>
              <w:t>: Demonstrate protection of ratepayer affordability and target reducing the size of the gas system and prioritizing electrification.</w:t>
            </w:r>
          </w:p>
          <w:p w:rsidRPr="00BE4685" w:rsidR="001E4CE1" w:rsidRDefault="001E4CE1" w14:paraId="14E3BFD3" w14:textId="77777777">
            <w:pPr>
              <w:spacing w:before="240"/>
              <w:rPr>
                <w:rFonts w:ascii="Palatino Linotype" w:hAnsi="Palatino Linotype"/>
                <w:color w:val="000000" w:themeColor="text1"/>
                <w:sz w:val="20"/>
                <w:szCs w:val="20"/>
              </w:rPr>
            </w:pPr>
            <w:r w:rsidRPr="00BE4685">
              <w:rPr>
                <w:rFonts w:ascii="Palatino Linotype" w:hAnsi="Palatino Linotype"/>
                <w:color w:val="000000" w:themeColor="text1"/>
                <w:sz w:val="20"/>
                <w:szCs w:val="20"/>
              </w:rPr>
              <w:t xml:space="preserve">SoCalGas reports feedback on the </w:t>
            </w:r>
            <w:r w:rsidRPr="00BE4685">
              <w:rPr>
                <w:rFonts w:ascii="Palatino Linotype" w:hAnsi="Palatino Linotype"/>
                <w:color w:val="000000" w:themeColor="text1"/>
                <w:sz w:val="20"/>
                <w:szCs w:val="20"/>
                <w:u w:val="single"/>
              </w:rPr>
              <w:t>System Design &amp; Materials</w:t>
            </w:r>
            <w:r w:rsidRPr="00BE4685">
              <w:rPr>
                <w:rFonts w:ascii="Palatino Linotype" w:hAnsi="Palatino Linotype"/>
                <w:color w:val="000000" w:themeColor="text1"/>
                <w:sz w:val="20"/>
                <w:szCs w:val="20"/>
              </w:rPr>
              <w:t xml:space="preserve"> and </w:t>
            </w:r>
            <w:r w:rsidRPr="00BE4685">
              <w:rPr>
                <w:rFonts w:ascii="Palatino Linotype" w:hAnsi="Palatino Linotype"/>
                <w:color w:val="000000" w:themeColor="text1"/>
                <w:sz w:val="20"/>
                <w:szCs w:val="20"/>
                <w:u w:val="single"/>
              </w:rPr>
              <w:t>RNG Infrastructure Optimization</w:t>
            </w:r>
            <w:r w:rsidRPr="00BE4685">
              <w:rPr>
                <w:rFonts w:ascii="Palatino Linotype" w:hAnsi="Palatino Linotype"/>
                <w:color w:val="000000" w:themeColor="text1"/>
                <w:sz w:val="20"/>
                <w:szCs w:val="20"/>
              </w:rPr>
              <w:t xml:space="preserve"> Initiatives though they were not discussed </w:t>
            </w:r>
            <w:r w:rsidRPr="00BE4685">
              <w:rPr>
                <w:rFonts w:ascii="Palatino Linotype" w:hAnsi="Palatino Linotype"/>
                <w:color w:val="000000" w:themeColor="text1"/>
                <w:sz w:val="20"/>
                <w:szCs w:val="20"/>
              </w:rPr>
              <w:lastRenderedPageBreak/>
              <w:t xml:space="preserve">during pre-submittal consultation and therefore did not undergo Energy Division review prior to Plan submittal. </w:t>
            </w:r>
          </w:p>
        </w:tc>
        <w:tc>
          <w:tcPr>
            <w:tcW w:w="3600" w:type="dxa"/>
          </w:tcPr>
          <w:p w:rsidRPr="00BE4685" w:rsidR="001E4CE1" w:rsidRDefault="001E4CE1" w14:paraId="0042C83D" w14:textId="77777777">
            <w:pPr>
              <w:rPr>
                <w:rFonts w:ascii="Palatino Linotype" w:hAnsi="Palatino Linotype"/>
                <w:color w:val="000000" w:themeColor="text1"/>
                <w:sz w:val="20"/>
                <w:szCs w:val="20"/>
              </w:rPr>
            </w:pPr>
            <w:r w:rsidRPr="00BE4685">
              <w:rPr>
                <w:rFonts w:ascii="Palatino Linotype" w:hAnsi="Palatino Linotype"/>
                <w:color w:val="000000" w:themeColor="text1"/>
                <w:sz w:val="20"/>
                <w:szCs w:val="20"/>
              </w:rPr>
              <w:lastRenderedPageBreak/>
              <w:t>SoCalGas met with Energy Division in advance of</w:t>
            </w:r>
            <w:r w:rsidRPr="00BE4685">
              <w:rPr>
                <w:rFonts w:ascii="Times New Roman" w:hAnsi="Times New Roman" w:cs="Times New Roman"/>
                <w:color w:val="000000" w:themeColor="text1"/>
                <w:sz w:val="20"/>
                <w:szCs w:val="20"/>
              </w:rPr>
              <w:t> </w:t>
            </w:r>
            <w:r w:rsidRPr="00BE4685">
              <w:rPr>
                <w:rFonts w:ascii="Palatino Linotype" w:hAnsi="Palatino Linotype"/>
                <w:color w:val="000000" w:themeColor="text1"/>
                <w:sz w:val="20"/>
                <w:szCs w:val="20"/>
              </w:rPr>
              <w:t>submitting</w:t>
            </w:r>
            <w:r w:rsidRPr="00BE4685">
              <w:rPr>
                <w:rFonts w:ascii="Times New Roman" w:hAnsi="Times New Roman" w:cs="Times New Roman"/>
                <w:color w:val="000000" w:themeColor="text1"/>
                <w:sz w:val="20"/>
                <w:szCs w:val="20"/>
              </w:rPr>
              <w:t> </w:t>
            </w:r>
            <w:r w:rsidRPr="00BE4685">
              <w:rPr>
                <w:rFonts w:ascii="Palatino Linotype" w:hAnsi="Palatino Linotype"/>
                <w:color w:val="000000" w:themeColor="text1"/>
                <w:sz w:val="20"/>
                <w:szCs w:val="20"/>
              </w:rPr>
              <w:t>its 2026 Plan</w:t>
            </w:r>
            <w:r w:rsidRPr="00BE4685">
              <w:rPr>
                <w:rFonts w:ascii="Times New Roman" w:hAnsi="Times New Roman" w:cs="Times New Roman"/>
                <w:color w:val="000000" w:themeColor="text1"/>
                <w:sz w:val="20"/>
                <w:szCs w:val="20"/>
              </w:rPr>
              <w:t> </w:t>
            </w:r>
            <w:r w:rsidRPr="00BE4685">
              <w:rPr>
                <w:rFonts w:ascii="Palatino Linotype" w:hAnsi="Palatino Linotype"/>
                <w:color w:val="000000" w:themeColor="text1"/>
                <w:sz w:val="20"/>
                <w:szCs w:val="20"/>
              </w:rPr>
              <w:t xml:space="preserve">to seek and integrate feedback for most Initiatives, however, it did not cover the System Design &amp; Materials or RNG Infrastructure Optimization Initiatives. Energy Division staff assessed if proposals were aligned with CPUC proceedings; had clearly defined outputs; were differentiated from existing RD&amp;D; and were expected to provide clear ratepayer benefit as also discussed elsewhere in this appendix. In several places, SoCalGas did provide further detail on its proposals as requested and describe how it modified its Initiatives to reflect feedback, including by removing hydrogen-related activities. </w:t>
            </w:r>
          </w:p>
          <w:p w:rsidRPr="00BE4685" w:rsidR="001E4CE1" w:rsidRDefault="001E4CE1" w14:paraId="1D0883AF" w14:textId="77777777">
            <w:pPr>
              <w:spacing w:before="240"/>
              <w:rPr>
                <w:rFonts w:ascii="Palatino Linotype" w:hAnsi="Palatino Linotype"/>
                <w:color w:val="000000" w:themeColor="text1"/>
                <w:sz w:val="20"/>
                <w:szCs w:val="20"/>
              </w:rPr>
            </w:pPr>
            <w:r w:rsidRPr="00BE4685">
              <w:rPr>
                <w:rFonts w:ascii="Palatino Linotype" w:hAnsi="Palatino Linotype"/>
                <w:color w:val="000000" w:themeColor="text1"/>
                <w:sz w:val="20"/>
                <w:szCs w:val="20"/>
              </w:rPr>
              <w:t xml:space="preserve">However, SoCalGas’ requests for carbon capture-related RD&amp;D activities do not align with Energy Division feedback and Commission policy to align with CPUC proceedings and provide clear ratepayer benefit as discussed at [6]. Overall, </w:t>
            </w:r>
            <w:r w:rsidRPr="00BE4685">
              <w:rPr>
                <w:rFonts w:ascii="Palatino Linotype" w:hAnsi="Palatino Linotype"/>
                <w:b/>
                <w:color w:val="000000" w:themeColor="text1"/>
                <w:sz w:val="20"/>
                <w:szCs w:val="20"/>
              </w:rPr>
              <w:t xml:space="preserve">SoCalGas is </w:t>
            </w:r>
            <w:r w:rsidRPr="00BE4685">
              <w:rPr>
                <w:rFonts w:ascii="Palatino Linotype" w:hAnsi="Palatino Linotype"/>
                <w:b/>
                <w:i/>
                <w:iCs/>
                <w:color w:val="000000" w:themeColor="text1"/>
                <w:sz w:val="20"/>
                <w:szCs w:val="20"/>
              </w:rPr>
              <w:t>not</w:t>
            </w:r>
            <w:r w:rsidRPr="00BE4685">
              <w:rPr>
                <w:rFonts w:ascii="Palatino Linotype" w:hAnsi="Palatino Linotype"/>
                <w:b/>
                <w:color w:val="000000" w:themeColor="text1"/>
                <w:sz w:val="20"/>
                <w:szCs w:val="20"/>
              </w:rPr>
              <w:t xml:space="preserve"> compliant with this requirement </w:t>
            </w:r>
            <w:r w:rsidRPr="00BE4685">
              <w:rPr>
                <w:rFonts w:ascii="Palatino Linotype" w:hAnsi="Palatino Linotype"/>
                <w:color w:val="000000" w:themeColor="text1"/>
                <w:sz w:val="20"/>
                <w:szCs w:val="20"/>
              </w:rPr>
              <w:t xml:space="preserve">for the following Initiatives as it did not comprehensively, accurately report or respond to Energy Division feedback and align with Commission policy: </w:t>
            </w:r>
          </w:p>
          <w:p w:rsidRPr="00BE4685" w:rsidR="001E4CE1" w:rsidP="001E4CE1" w:rsidRDefault="001E4CE1" w14:paraId="6AB09AE7" w14:textId="77777777">
            <w:pPr>
              <w:pStyle w:val="ListParagraph"/>
              <w:numPr>
                <w:ilvl w:val="0"/>
                <w:numId w:val="95"/>
              </w:numPr>
              <w:rPr>
                <w:rFonts w:ascii="Palatino Linotype" w:hAnsi="Palatino Linotype"/>
                <w:color w:val="000000" w:themeColor="text1"/>
                <w:sz w:val="20"/>
                <w:szCs w:val="20"/>
                <w:u w:val="single"/>
              </w:rPr>
            </w:pPr>
            <w:r w:rsidRPr="00BE4685">
              <w:rPr>
                <w:rFonts w:ascii="Palatino Linotype" w:hAnsi="Palatino Linotype"/>
                <w:color w:val="000000" w:themeColor="text1"/>
                <w:sz w:val="20"/>
                <w:szCs w:val="20"/>
                <w:u w:val="single"/>
              </w:rPr>
              <w:lastRenderedPageBreak/>
              <w:t>Environment &amp; Safety:</w:t>
            </w:r>
            <w:r w:rsidRPr="00BE4685">
              <w:rPr>
                <w:rFonts w:ascii="Palatino Linotype" w:hAnsi="Palatino Linotype"/>
                <w:color w:val="000000" w:themeColor="text1"/>
                <w:sz w:val="20"/>
                <w:szCs w:val="20"/>
              </w:rPr>
              <w:t xml:space="preserve"> SoCalGas must demonstrate that it will account for the full costs associated with AI/ML applications when assessing impacts, including increased energy consumption, cloud services, data storage, and processing requirements, and that human decision-making authority will be retained.</w:t>
            </w:r>
          </w:p>
          <w:p w:rsidRPr="00743351" w:rsidR="00300E08" w:rsidP="00300E08" w:rsidRDefault="001E4CE1" w14:paraId="7E3609FB" w14:textId="0CEB10F6">
            <w:pPr>
              <w:pStyle w:val="ListParagraph"/>
              <w:numPr>
                <w:ilvl w:val="0"/>
                <w:numId w:val="95"/>
              </w:numPr>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Energy Reliability &amp; Resilience</w:t>
            </w:r>
            <w:r w:rsidRPr="00BE4685">
              <w:rPr>
                <w:rFonts w:ascii="Palatino Linotype" w:hAnsi="Palatino Linotype"/>
                <w:color w:val="000000" w:themeColor="text1"/>
                <w:sz w:val="20"/>
                <w:szCs w:val="20"/>
              </w:rPr>
              <w:t xml:space="preserve">: SoCalGas must </w:t>
            </w:r>
            <w:r w:rsidR="00743351">
              <w:rPr>
                <w:rFonts w:ascii="Palatino Linotype" w:hAnsi="Palatino Linotype"/>
                <w:color w:val="000000" w:themeColor="text1"/>
                <w:sz w:val="20"/>
                <w:szCs w:val="20"/>
              </w:rPr>
              <w:t>provide further detail on the</w:t>
            </w:r>
            <w:r w:rsidRPr="00BE4685">
              <w:rPr>
                <w:rFonts w:ascii="Palatino Linotype" w:hAnsi="Palatino Linotype"/>
                <w:color w:val="000000" w:themeColor="text1"/>
                <w:sz w:val="20"/>
                <w:szCs w:val="20"/>
              </w:rPr>
              <w:t xml:space="preserve"> “Carbon Management Integration” Research Topic</w:t>
            </w:r>
            <w:r w:rsidR="00743351">
              <w:rPr>
                <w:rFonts w:ascii="Palatino Linotype" w:hAnsi="Palatino Linotype"/>
                <w:color w:val="000000" w:themeColor="text1"/>
                <w:sz w:val="20"/>
                <w:szCs w:val="20"/>
              </w:rPr>
              <w:t xml:space="preserve"> as described herein.</w:t>
            </w:r>
          </w:p>
          <w:p w:rsidRPr="00BE4685" w:rsidR="001E4CE1" w:rsidP="001E4CE1" w:rsidRDefault="001E4CE1" w14:paraId="16A8E3E8" w14:textId="77777777">
            <w:pPr>
              <w:pStyle w:val="ListParagraph"/>
              <w:numPr>
                <w:ilvl w:val="0"/>
                <w:numId w:val="95"/>
              </w:numPr>
              <w:rPr>
                <w:rFonts w:ascii="Palatino Linotype" w:hAnsi="Palatino Linotype"/>
                <w:color w:val="000000" w:themeColor="text1"/>
                <w:sz w:val="20"/>
                <w:szCs w:val="20"/>
                <w:u w:val="single"/>
              </w:rPr>
            </w:pPr>
            <w:r w:rsidRPr="00BE4685">
              <w:rPr>
                <w:rFonts w:ascii="Palatino Linotype" w:hAnsi="Palatino Linotype"/>
                <w:color w:val="000000" w:themeColor="text1"/>
                <w:sz w:val="20"/>
                <w:szCs w:val="20"/>
                <w:u w:val="single"/>
              </w:rPr>
              <w:t>Building &amp; Facility Systems</w:t>
            </w:r>
            <w:r w:rsidRPr="00BE4685">
              <w:rPr>
                <w:rFonts w:ascii="Palatino Linotype" w:hAnsi="Palatino Linotype"/>
                <w:color w:val="000000" w:themeColor="text1"/>
                <w:sz w:val="20"/>
                <w:szCs w:val="20"/>
              </w:rPr>
              <w:t>: SoCalGas must demonstrate that this Initiative supports reducing the size of the gas system.</w:t>
            </w:r>
          </w:p>
          <w:p w:rsidRPr="00BE4685" w:rsidR="001E4CE1" w:rsidRDefault="001E4CE1" w14:paraId="683BF0B4" w14:textId="77777777">
            <w:pPr>
              <w:spacing w:before="240"/>
              <w:rPr>
                <w:rFonts w:ascii="Palatino Linotype" w:hAnsi="Palatino Linotype"/>
                <w:color w:val="000000" w:themeColor="text1"/>
                <w:sz w:val="20"/>
                <w:szCs w:val="20"/>
              </w:rPr>
            </w:pPr>
            <w:r w:rsidRPr="00BE4685">
              <w:rPr>
                <w:rFonts w:ascii="Palatino Linotype" w:hAnsi="Palatino Linotype"/>
                <w:color w:val="000000" w:themeColor="text1"/>
                <w:sz w:val="20"/>
                <w:szCs w:val="20"/>
              </w:rPr>
              <w:t>SoCalGas shall also make the following revisions to its 2026 Plan to provide greater clarity to align with requirements:</w:t>
            </w:r>
          </w:p>
          <w:p w:rsidRPr="00BE4685" w:rsidR="001E4CE1" w:rsidP="001E4CE1" w:rsidRDefault="001E4CE1" w14:paraId="5E8E16C9" w14:textId="77777777">
            <w:pPr>
              <w:pStyle w:val="ListParagraph"/>
              <w:numPr>
                <w:ilvl w:val="0"/>
                <w:numId w:val="53"/>
              </w:numPr>
              <w:rPr>
                <w:rFonts w:ascii="Palatino Linotype" w:hAnsi="Palatino Linotype"/>
                <w:color w:val="000000" w:themeColor="text1"/>
                <w:sz w:val="20"/>
                <w:szCs w:val="20"/>
              </w:rPr>
            </w:pPr>
            <w:r w:rsidRPr="00BE4685">
              <w:rPr>
                <w:rFonts w:ascii="Palatino Linotype" w:hAnsi="Palatino Linotype"/>
                <w:color w:val="000000" w:themeColor="text1"/>
                <w:sz w:val="20"/>
                <w:szCs w:val="20"/>
              </w:rPr>
              <w:t xml:space="preserve">Indicate the program area across the product development cycle detailed in Appendix D of this Resolution associated with each listed research topic for further clarity on anticipated outputs from Initiatives. </w:t>
            </w:r>
          </w:p>
          <w:p w:rsidRPr="00BE4685" w:rsidR="001E4CE1" w:rsidP="001E4CE1" w:rsidRDefault="001E4CE1" w14:paraId="0C0CFE5B" w14:textId="77777777">
            <w:pPr>
              <w:pStyle w:val="ListParagraph"/>
              <w:numPr>
                <w:ilvl w:val="0"/>
                <w:numId w:val="53"/>
              </w:numPr>
              <w:rPr>
                <w:rFonts w:ascii="Palatino Linotype" w:hAnsi="Palatino Linotype"/>
                <w:color w:val="000000" w:themeColor="text1"/>
                <w:sz w:val="20"/>
                <w:szCs w:val="20"/>
              </w:rPr>
            </w:pPr>
            <w:r w:rsidRPr="00BE4685">
              <w:rPr>
                <w:rFonts w:ascii="Palatino Linotype" w:hAnsi="Palatino Linotype"/>
                <w:color w:val="000000" w:themeColor="text1"/>
                <w:sz w:val="20"/>
                <w:szCs w:val="20"/>
              </w:rPr>
              <w:t xml:space="preserve">Identify which of the proposed future project areas are </w:t>
            </w:r>
            <w:r w:rsidRPr="00BE4685">
              <w:rPr>
                <w:rFonts w:ascii="Palatino Linotype" w:hAnsi="Palatino Linotype"/>
                <w:color w:val="000000" w:themeColor="text1"/>
                <w:sz w:val="20"/>
                <w:szCs w:val="20"/>
              </w:rPr>
              <w:lastRenderedPageBreak/>
              <w:t xml:space="preserve">anticipated to be funded through consortia. </w:t>
            </w:r>
          </w:p>
          <w:p w:rsidRPr="00BE4685" w:rsidR="001E4CE1" w:rsidP="001E4CE1" w:rsidRDefault="001E4CE1" w14:paraId="69869AA9" w14:textId="77777777">
            <w:pPr>
              <w:pStyle w:val="ListParagraph"/>
              <w:numPr>
                <w:ilvl w:val="0"/>
                <w:numId w:val="53"/>
              </w:numPr>
              <w:spacing w:before="240"/>
              <w:rPr>
                <w:rFonts w:ascii="Palatino Linotype" w:hAnsi="Palatino Linotype"/>
                <w:color w:val="000000" w:themeColor="text1"/>
                <w:sz w:val="20"/>
                <w:szCs w:val="20"/>
              </w:rPr>
            </w:pPr>
            <w:r w:rsidRPr="00BE4685">
              <w:rPr>
                <w:rFonts w:ascii="Palatino Linotype" w:hAnsi="Palatino Linotype" w:eastAsiaTheme="minorEastAsia"/>
                <w:color w:val="000000" w:themeColor="text1"/>
                <w:sz w:val="20"/>
                <w:szCs w:val="20"/>
              </w:rPr>
              <w:t xml:space="preserve">Prioritize zero-emission over low-emission technologies under its </w:t>
            </w:r>
            <w:r w:rsidRPr="00BE4685">
              <w:rPr>
                <w:rFonts w:ascii="Palatino Linotype" w:hAnsi="Palatino Linotype" w:eastAsiaTheme="minorEastAsia"/>
                <w:color w:val="000000" w:themeColor="text1"/>
                <w:sz w:val="20"/>
                <w:szCs w:val="20"/>
                <w:u w:val="single"/>
              </w:rPr>
              <w:t>Low-Carbon Fuel Technologies</w:t>
            </w:r>
            <w:r w:rsidRPr="00BE4685">
              <w:rPr>
                <w:rFonts w:ascii="Palatino Linotype" w:hAnsi="Palatino Linotype" w:eastAsiaTheme="minorEastAsia"/>
                <w:color w:val="000000" w:themeColor="text1"/>
                <w:sz w:val="20"/>
                <w:szCs w:val="20"/>
              </w:rPr>
              <w:t xml:space="preserve"> Initiative</w:t>
            </w:r>
            <w:r w:rsidRPr="00BE4685">
              <w:rPr>
                <w:rStyle w:val="FootnoteReference"/>
                <w:rFonts w:ascii="Palatino Linotype" w:hAnsi="Palatino Linotype" w:eastAsiaTheme="minorEastAsia"/>
                <w:color w:val="000000" w:themeColor="text1"/>
                <w:sz w:val="20"/>
                <w:szCs w:val="20"/>
              </w:rPr>
              <w:footnoteReference w:id="405"/>
            </w:r>
            <w:r w:rsidRPr="00BE4685">
              <w:rPr>
                <w:rFonts w:ascii="Palatino Linotype" w:hAnsi="Palatino Linotype" w:eastAsiaTheme="minorEastAsia"/>
                <w:color w:val="000000" w:themeColor="text1"/>
                <w:sz w:val="20"/>
                <w:szCs w:val="20"/>
              </w:rPr>
              <w:t xml:space="preserve"> and eliminating as opposed to reducing flaring from some biogas production facilities under its </w:t>
            </w:r>
            <w:r w:rsidRPr="00BE4685">
              <w:rPr>
                <w:rFonts w:ascii="Palatino Linotype" w:hAnsi="Palatino Linotype" w:eastAsiaTheme="minorEastAsia"/>
                <w:color w:val="000000" w:themeColor="text1"/>
                <w:sz w:val="20"/>
                <w:szCs w:val="20"/>
                <w:u w:val="single"/>
              </w:rPr>
              <w:t>RNG Infrastructure Optimization</w:t>
            </w:r>
            <w:r w:rsidRPr="00BE4685">
              <w:rPr>
                <w:rFonts w:ascii="Palatino Linotype" w:hAnsi="Palatino Linotype" w:eastAsiaTheme="minorEastAsia"/>
                <w:color w:val="000000" w:themeColor="text1"/>
                <w:sz w:val="20"/>
                <w:szCs w:val="20"/>
              </w:rPr>
              <w:t xml:space="preserve"> Initiative</w:t>
            </w:r>
            <w:r w:rsidRPr="00BE4685">
              <w:rPr>
                <w:rStyle w:val="FootnoteReference"/>
                <w:rFonts w:ascii="Palatino Linotype" w:hAnsi="Palatino Linotype" w:eastAsiaTheme="minorEastAsia"/>
                <w:color w:val="000000" w:themeColor="text1"/>
                <w:sz w:val="20"/>
                <w:szCs w:val="20"/>
              </w:rPr>
              <w:footnoteReference w:id="406"/>
            </w:r>
            <w:r w:rsidRPr="00BE4685">
              <w:rPr>
                <w:rFonts w:ascii="Palatino Linotype" w:hAnsi="Palatino Linotype" w:eastAsiaTheme="minorEastAsia"/>
                <w:color w:val="000000" w:themeColor="text1"/>
                <w:sz w:val="20"/>
                <w:szCs w:val="20"/>
              </w:rPr>
              <w:t xml:space="preserve"> wherever possible.</w:t>
            </w:r>
          </w:p>
          <w:p w:rsidRPr="00BE4685" w:rsidR="001E4CE1" w:rsidRDefault="001E4CE1" w14:paraId="6BE828AC" w14:textId="77777777">
            <w:pPr>
              <w:spacing w:before="240"/>
              <w:rPr>
                <w:rFonts w:ascii="Palatino Linotype" w:hAnsi="Palatino Linotype"/>
                <w:color w:val="000000" w:themeColor="text1"/>
                <w:sz w:val="20"/>
                <w:szCs w:val="20"/>
              </w:rPr>
            </w:pPr>
            <w:r w:rsidRPr="00BE4685">
              <w:rPr>
                <w:rFonts w:ascii="Palatino Linotype" w:hAnsi="Palatino Linotype"/>
                <w:color w:val="000000" w:themeColor="text1"/>
                <w:sz w:val="20"/>
                <w:szCs w:val="20"/>
              </w:rPr>
              <w:t>In the future, SoCalGas shall also present all proposed Initiatives to Energy Division in advance of Plan submittal.</w:t>
            </w:r>
          </w:p>
        </w:tc>
      </w:tr>
      <w:tr w:rsidRPr="00BE4685" w:rsidR="001E4CE1" w14:paraId="07581207" w14:textId="77777777">
        <w:trPr>
          <w:trHeight w:val="638"/>
          <w:tblHeader/>
        </w:trPr>
        <w:tc>
          <w:tcPr>
            <w:tcW w:w="3744" w:type="dxa"/>
          </w:tcPr>
          <w:p w:rsidRPr="00BE4685" w:rsidR="001E4CE1" w:rsidRDefault="001E4CE1" w14:paraId="2E907D35" w14:textId="77777777">
            <w:pPr>
              <w:rPr>
                <w:rFonts w:ascii="Palatino Linotype" w:hAnsi="Palatino Linotype" w:eastAsia="Palatino Linotype" w:cs="Palatino Linotype"/>
                <w:color w:val="0070C0"/>
                <w:sz w:val="20"/>
                <w:szCs w:val="20"/>
              </w:rPr>
            </w:pPr>
            <w:r w:rsidRPr="00BE4685">
              <w:rPr>
                <w:rFonts w:ascii="Palatino Linotype" w:hAnsi="Palatino Linotype"/>
                <w:b/>
                <w:sz w:val="20"/>
                <w:szCs w:val="20"/>
              </w:rPr>
              <w:lastRenderedPageBreak/>
              <w:t xml:space="preserve">[16] </w:t>
            </w:r>
            <w:hyperlink w:tgtFrame="_blank" w:history="1" r:id="rId128">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iCs/>
                <w:sz w:val="20"/>
                <w:szCs w:val="20"/>
              </w:rPr>
              <w:t>In its 2024 Gas [RD&amp;D] Plan and beyond, [</w:t>
            </w:r>
            <w:r w:rsidRPr="00BE4685">
              <w:rPr>
                <w:rFonts w:ascii="Palatino Linotype" w:hAnsi="Palatino Linotype" w:eastAsia="Palatino Linotype" w:cs="Palatino Linotype"/>
                <w:i/>
                <w:iCs/>
                <w:color w:val="000000" w:themeColor="text1"/>
                <w:sz w:val="20"/>
                <w:szCs w:val="20"/>
              </w:rPr>
              <w:t>SoCalGas</w:t>
            </w:r>
            <w:r w:rsidRPr="00BE4685">
              <w:rPr>
                <w:rFonts w:ascii="Palatino Linotype" w:hAnsi="Palatino Linotype"/>
                <w:i/>
                <w:iCs/>
                <w:sz w:val="20"/>
                <w:szCs w:val="20"/>
              </w:rPr>
              <w:t>] shall: Explicitly justify how all consortia dues benefit gas ratepayers.</w:t>
            </w:r>
            <w:r w:rsidRPr="00BE4685">
              <w:rPr>
                <w:rFonts w:ascii="Palatino Linotype" w:hAnsi="Palatino Linotype" w:eastAsia="Palatino Linotype" w:cs="Palatino Linotype"/>
                <w:color w:val="0070C0"/>
                <w:sz w:val="20"/>
                <w:szCs w:val="20"/>
              </w:rPr>
              <w:t xml:space="preserve"> </w:t>
            </w:r>
          </w:p>
          <w:p w:rsidRPr="00BE4685" w:rsidR="001E4CE1" w:rsidRDefault="001E4CE1" w14:paraId="78203151" w14:textId="77777777">
            <w:pPr>
              <w:rPr>
                <w:rFonts w:ascii="Palatino Linotype" w:hAnsi="Palatino Linotype" w:eastAsia="Palatino Linotype" w:cs="Palatino Linotype"/>
                <w:color w:val="000000" w:themeColor="text1"/>
                <w:sz w:val="20"/>
                <w:szCs w:val="20"/>
              </w:rPr>
            </w:pPr>
          </w:p>
          <w:p w:rsidRPr="00BE4685" w:rsidR="001E4CE1" w:rsidRDefault="001E4CE1" w14:paraId="0610F32E" w14:textId="77777777">
            <w:pPr>
              <w:rPr>
                <w:rFonts w:ascii="Palatino Linotype" w:hAnsi="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See also: [13] on consortia dues. </w:t>
            </w:r>
          </w:p>
        </w:tc>
        <w:tc>
          <w:tcPr>
            <w:tcW w:w="6912" w:type="dxa"/>
          </w:tcPr>
          <w:p w:rsidRPr="00BE4685" w:rsidR="001E4CE1" w:rsidRDefault="001E4CE1" w14:paraId="534DDDD6"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provides a detailed explanation of benefits it perceives for California ratepayers from its consortia memberships:</w:t>
            </w:r>
          </w:p>
          <w:p w:rsidRPr="00BE4685" w:rsidR="001E4CE1" w:rsidP="001E4CE1" w:rsidRDefault="001E4CE1" w14:paraId="6D44486F" w14:textId="77777777">
            <w:pPr>
              <w:pStyle w:val="ListParagraph"/>
              <w:numPr>
                <w:ilvl w:val="0"/>
                <w:numId w:val="88"/>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“Providing SMEs with a forum for learning and gaining operational insights regarding differences in pipeline system materials and equipment, operating environments, operational experiences, procedures, and practices. </w:t>
            </w:r>
          </w:p>
          <w:p w:rsidRPr="00BE4685" w:rsidR="001E4CE1" w:rsidP="001E4CE1" w:rsidRDefault="001E4CE1" w14:paraId="6F9BC787" w14:textId="77777777">
            <w:pPr>
              <w:pStyle w:val="ListParagraph"/>
              <w:numPr>
                <w:ilvl w:val="0"/>
                <w:numId w:val="88"/>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Gaining operational knowledge that may only apply to a small subset of system assets or operational conditions. </w:t>
            </w:r>
          </w:p>
          <w:p w:rsidRPr="00BE4685" w:rsidR="001E4CE1" w:rsidP="001E4CE1" w:rsidRDefault="001E4CE1" w14:paraId="464273F6" w14:textId="77777777">
            <w:pPr>
              <w:pStyle w:val="ListParagraph"/>
              <w:numPr>
                <w:ilvl w:val="0"/>
                <w:numId w:val="88"/>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Knowledge-sharing of pipeline incidents, causes, or insights into interactive threats with very low probability of occurrence but high </w:t>
            </w:r>
            <w:proofErr w:type="gramStart"/>
            <w:r w:rsidRPr="00BE4685">
              <w:rPr>
                <w:rFonts w:ascii="Palatino Linotype" w:hAnsi="Palatino Linotype" w:eastAsia="Palatino Linotype" w:cs="Palatino Linotype"/>
                <w:sz w:val="20"/>
                <w:szCs w:val="20"/>
              </w:rPr>
              <w:t>consequence</w:t>
            </w:r>
            <w:proofErr w:type="gramEnd"/>
            <w:r w:rsidRPr="00BE4685">
              <w:rPr>
                <w:rFonts w:ascii="Palatino Linotype" w:hAnsi="Palatino Linotype" w:eastAsia="Palatino Linotype" w:cs="Palatino Linotype"/>
                <w:sz w:val="20"/>
                <w:szCs w:val="20"/>
              </w:rPr>
              <w:t xml:space="preserve">. </w:t>
            </w:r>
          </w:p>
          <w:p w:rsidRPr="00BE4685" w:rsidR="001E4CE1" w:rsidP="001E4CE1" w:rsidRDefault="001E4CE1" w14:paraId="7E67902F" w14:textId="77777777">
            <w:pPr>
              <w:pStyle w:val="ListParagraph"/>
              <w:numPr>
                <w:ilvl w:val="0"/>
                <w:numId w:val="88"/>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Knowledge-sharing between large and small system operators can have a positive effect on the performance of the overall natural gas supply chain. </w:t>
            </w:r>
          </w:p>
          <w:p w:rsidRPr="00BE4685" w:rsidR="001E4CE1" w:rsidP="001E4CE1" w:rsidRDefault="001E4CE1" w14:paraId="661369E3" w14:textId="77777777">
            <w:pPr>
              <w:pStyle w:val="ListParagraph"/>
              <w:numPr>
                <w:ilvl w:val="0"/>
                <w:numId w:val="88"/>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Gaining knowledge of emerging areas of research or technologies that could be utilized by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to support pipeline safety, system reliability, operational efficiency, and environmental improvement.” </w:t>
            </w:r>
          </w:p>
          <w:p w:rsidRPr="00BE4685" w:rsidR="001E4CE1" w:rsidRDefault="001E4CE1" w14:paraId="11D20B66" w14:textId="77777777">
            <w:pPr>
              <w:spacing w:before="240"/>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also promoted the “leveraging” of constrained resources with the contributions of other consortia members.”</w:t>
            </w:r>
            <w:r w:rsidRPr="00BE4685">
              <w:rPr>
                <w:rStyle w:val="FootnoteReference"/>
                <w:rFonts w:ascii="Palatino Linotype" w:hAnsi="Palatino Linotype" w:eastAsia="Palatino Linotype" w:cs="Palatino Linotype"/>
                <w:sz w:val="20"/>
                <w:szCs w:val="20"/>
              </w:rPr>
              <w:footnoteReference w:id="407"/>
            </w:r>
          </w:p>
        </w:tc>
        <w:tc>
          <w:tcPr>
            <w:tcW w:w="3600" w:type="dxa"/>
          </w:tcPr>
          <w:p w:rsidRPr="00BE4685" w:rsidR="001E4CE1" w:rsidRDefault="001E4CE1" w14:paraId="420C0B0A" w14:textId="77777777">
            <w:pPr>
              <w:rPr>
                <w:rFonts w:ascii="Palatino Linotype" w:hAnsi="Palatino Linotype"/>
                <w:b/>
                <w:color w:val="000000" w:themeColor="text1"/>
                <w:sz w:val="20"/>
                <w:szCs w:val="20"/>
              </w:rPr>
            </w:pPr>
            <w:r w:rsidRPr="00BE4685">
              <w:rPr>
                <w:rFonts w:ascii="Palatino Linotype" w:hAnsi="Palatino Linotype" w:eastAsia="Palatino Linotype" w:cs="Palatino Linotype"/>
                <w:color w:val="000000" w:themeColor="text1"/>
                <w:sz w:val="20"/>
                <w:szCs w:val="20"/>
              </w:rPr>
              <w:t>SoCalGas justifies how all consortia dues benefit gas ratepayers.</w:t>
            </w:r>
            <w:r w:rsidRPr="00BE4685">
              <w:rPr>
                <w:rFonts w:ascii="Palatino Linotype" w:hAnsi="Palatino Linotype" w:eastAsia="Palatino Linotype" w:cs="Palatino Linotype"/>
                <w:color w:val="0070C0"/>
                <w:sz w:val="20"/>
                <w:szCs w:val="20"/>
              </w:rPr>
              <w:t xml:space="preserve"> </w:t>
            </w:r>
            <w:r w:rsidRPr="00BE4685">
              <w:rPr>
                <w:rFonts w:ascii="Palatino Linotype" w:hAnsi="Palatino Linotype"/>
                <w:b/>
                <w:color w:val="000000" w:themeColor="text1"/>
                <w:sz w:val="20"/>
                <w:szCs w:val="20"/>
              </w:rPr>
              <w:t>SoCalGas is compliant with this requirement.</w:t>
            </w:r>
          </w:p>
          <w:p w:rsidRPr="00BE4685" w:rsidR="001E4CE1" w:rsidRDefault="001E4CE1" w14:paraId="6310674E" w14:textId="77777777">
            <w:pPr>
              <w:spacing w:before="240"/>
              <w:rPr>
                <w:rFonts w:ascii="Palatino Linotype" w:hAnsi="Palatino Linotype" w:eastAsia="Palatino Linotype" w:cs="Palatino Linotype"/>
                <w:sz w:val="20"/>
                <w:szCs w:val="20"/>
              </w:rPr>
            </w:pPr>
          </w:p>
        </w:tc>
      </w:tr>
      <w:tr w:rsidRPr="00BE4685" w:rsidR="001E4CE1" w14:paraId="169C8A06" w14:textId="77777777">
        <w:trPr>
          <w:trHeight w:val="638"/>
          <w:tblHeader/>
        </w:trPr>
        <w:tc>
          <w:tcPr>
            <w:tcW w:w="3744" w:type="dxa"/>
          </w:tcPr>
          <w:p w:rsidRPr="00BE4685" w:rsidR="001E4CE1" w:rsidRDefault="001E4CE1" w14:paraId="58B83F3A" w14:textId="77777777">
            <w:pPr>
              <w:rPr>
                <w:rFonts w:ascii="Palatino Linotype" w:hAnsi="Palatino Linotype"/>
                <w:i/>
                <w:iCs/>
                <w:sz w:val="20"/>
                <w:szCs w:val="20"/>
              </w:rPr>
            </w:pPr>
            <w:r w:rsidRPr="00BE4685">
              <w:rPr>
                <w:rFonts w:ascii="Palatino Linotype" w:hAnsi="Palatino Linotype"/>
                <w:b/>
                <w:sz w:val="20"/>
                <w:szCs w:val="20"/>
              </w:rPr>
              <w:lastRenderedPageBreak/>
              <w:t xml:space="preserve">[17] </w:t>
            </w:r>
            <w:hyperlink w:tgtFrame="_blank" w:history="1" r:id="rId129">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iCs/>
                <w:sz w:val="20"/>
                <w:szCs w:val="20"/>
              </w:rPr>
              <w:t>In its 2024 Gas [RD&amp;D] Plan and beyond, [</w:t>
            </w:r>
            <w:r w:rsidRPr="00BE4685">
              <w:rPr>
                <w:rFonts w:ascii="Palatino Linotype" w:hAnsi="Palatino Linotype" w:eastAsia="Palatino Linotype" w:cs="Palatino Linotype"/>
                <w:i/>
                <w:iCs/>
                <w:color w:val="000000" w:themeColor="text1"/>
                <w:sz w:val="20"/>
                <w:szCs w:val="20"/>
              </w:rPr>
              <w:t>SoCalGas</w:t>
            </w:r>
            <w:r w:rsidRPr="00BE4685">
              <w:rPr>
                <w:rFonts w:ascii="Palatino Linotype" w:hAnsi="Palatino Linotype"/>
                <w:i/>
                <w:iCs/>
                <w:sz w:val="20"/>
                <w:szCs w:val="20"/>
              </w:rPr>
              <w:t>] shall: Elaborate on the results of its RD&amp;D projects. SoCalGas shall describe how results are used to address the state’s climate goals, how its research project results are scaled/commercialized, and how SoCalGas measures the impacts of its research.</w:t>
            </w:r>
          </w:p>
          <w:p w:rsidRPr="00BE4685" w:rsidR="001E4CE1" w:rsidRDefault="001E4CE1" w14:paraId="2F5E861D" w14:textId="77777777">
            <w:pPr>
              <w:rPr>
                <w:rFonts w:ascii="Palatino Linotype" w:hAnsi="Palatino Linotype"/>
                <w:i/>
                <w:iCs/>
                <w:sz w:val="20"/>
                <w:szCs w:val="20"/>
              </w:rPr>
            </w:pPr>
          </w:p>
          <w:p w:rsidRPr="00BE4685" w:rsidR="001E4CE1" w:rsidRDefault="001E4CE1" w14:paraId="584BCB8B" w14:textId="77777777">
            <w:pPr>
              <w:rPr>
                <w:rFonts w:ascii="Palatino Linotype" w:hAnsi="Palatino Linotype"/>
                <w:i/>
                <w:color w:val="000000" w:themeColor="text1"/>
                <w:sz w:val="20"/>
                <w:szCs w:val="20"/>
              </w:rPr>
            </w:pPr>
            <w:r w:rsidRPr="00BE4685">
              <w:rPr>
                <w:rFonts w:ascii="Palatino Linotype" w:hAnsi="Palatino Linotype" w:eastAsia="Palatino Linotype" w:cs="Palatino Linotype"/>
                <w:color w:val="000000" w:themeColor="text1"/>
                <w:sz w:val="20"/>
                <w:szCs w:val="20"/>
              </w:rPr>
              <w:t>See also: [19].</w:t>
            </w:r>
          </w:p>
          <w:p w:rsidRPr="00BE4685" w:rsidR="001E4CE1" w:rsidRDefault="001E4CE1" w14:paraId="6ECC787F" w14:textId="77777777">
            <w:pPr>
              <w:rPr>
                <w:rFonts w:ascii="Palatino Linotype" w:hAnsi="Palatino Linotype"/>
                <w:sz w:val="20"/>
                <w:szCs w:val="20"/>
              </w:rPr>
            </w:pPr>
          </w:p>
        </w:tc>
        <w:tc>
          <w:tcPr>
            <w:tcW w:w="6912" w:type="dxa"/>
          </w:tcPr>
          <w:p w:rsidRPr="00BE4685" w:rsidR="001E4CE1" w:rsidRDefault="001E4CE1" w14:paraId="35379AA5"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states: “To support alignment of its projects and the state’s climate goals,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RD&amp;D considers a variety of project selection criteria, including: </w:t>
            </w:r>
          </w:p>
          <w:p w:rsidRPr="00BE4685" w:rsidR="001E4CE1" w:rsidP="001E4CE1" w:rsidRDefault="001E4CE1" w14:paraId="3134852F" w14:textId="77777777">
            <w:pPr>
              <w:pStyle w:val="ListParagraph"/>
              <w:numPr>
                <w:ilvl w:val="0"/>
                <w:numId w:val="86"/>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proposed project addresses a California need identified in relevant literature (e.g., the CPUC’s Gas Strategic Planning order instituting rulemaking (OIR) or the CEC’s Electric Program Investment Charge (EPIC) Gap Analysis). </w:t>
            </w:r>
          </w:p>
          <w:p w:rsidRPr="00BE4685" w:rsidR="001E4CE1" w:rsidP="001E4CE1" w:rsidRDefault="001E4CE1" w14:paraId="46E61C5D" w14:textId="77777777">
            <w:pPr>
              <w:pStyle w:val="ListParagraph"/>
              <w:numPr>
                <w:ilvl w:val="0"/>
                <w:numId w:val="86"/>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project offers a reasonable probability of improving access to clean energy technologies for ratepayers, including those in ESJ and tribal communities in California. </w:t>
            </w:r>
          </w:p>
          <w:p w:rsidRPr="00BE4685" w:rsidR="001E4CE1" w:rsidP="001E4CE1" w:rsidRDefault="001E4CE1" w14:paraId="04DAEFC9" w14:textId="77777777">
            <w:pPr>
              <w:pStyle w:val="ListParagraph"/>
              <w:numPr>
                <w:ilvl w:val="0"/>
                <w:numId w:val="86"/>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project supports air quality improvements in California communities, including those already experiencing pollution burdens. </w:t>
            </w:r>
          </w:p>
          <w:p w:rsidRPr="00BE4685" w:rsidR="001E4CE1" w:rsidP="001E4CE1" w:rsidRDefault="001E4CE1" w14:paraId="5E2D96E2" w14:textId="77777777">
            <w:pPr>
              <w:pStyle w:val="ListParagraph"/>
              <w:numPr>
                <w:ilvl w:val="0"/>
                <w:numId w:val="86"/>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project supports energy affordability for all ratepayers, including those in lower income California communities. </w:t>
            </w:r>
          </w:p>
          <w:p w:rsidRPr="00BE4685" w:rsidR="001E4CE1" w:rsidP="001E4CE1" w:rsidRDefault="001E4CE1" w14:paraId="16024408" w14:textId="77777777">
            <w:pPr>
              <w:pStyle w:val="ListParagraph"/>
              <w:numPr>
                <w:ilvl w:val="0"/>
                <w:numId w:val="86"/>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project demonstrates potential for technology scalability, replication, or commercialization in support of long-term climate and clean energy goals. </w:t>
            </w:r>
          </w:p>
          <w:p w:rsidRPr="00BE4685" w:rsidR="001E4CE1" w:rsidP="001E4CE1" w:rsidRDefault="001E4CE1" w14:paraId="6FF897E8" w14:textId="77777777">
            <w:pPr>
              <w:pStyle w:val="ListParagraph"/>
              <w:numPr>
                <w:ilvl w:val="0"/>
                <w:numId w:val="86"/>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project leverages collaboration with academic, public, or private sector partners to maximize statewide impact and knowledge sharing. </w:t>
            </w:r>
          </w:p>
          <w:p w:rsidRPr="00BE4685" w:rsidR="001E4CE1" w:rsidP="001E4CE1" w:rsidRDefault="001E4CE1" w14:paraId="2EE8978B" w14:textId="77777777">
            <w:pPr>
              <w:pStyle w:val="ListParagraph"/>
              <w:numPr>
                <w:ilvl w:val="0"/>
                <w:numId w:val="86"/>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The project enables cross-sectoral innovation or integration, such as linking gas RD&amp;D with electrification, renewable fuels, or carbon management solutions.”</w:t>
            </w:r>
            <w:r w:rsidRPr="00BE4685">
              <w:rPr>
                <w:rStyle w:val="FootnoteReference"/>
                <w:rFonts w:ascii="Palatino Linotype" w:hAnsi="Palatino Linotype"/>
                <w:sz w:val="20"/>
                <w:szCs w:val="20"/>
              </w:rPr>
              <w:footnoteReference w:id="408"/>
            </w:r>
          </w:p>
          <w:p w:rsidRPr="00BE4685" w:rsidR="001E4CE1" w:rsidRDefault="001E4CE1" w14:paraId="2C0A7781" w14:textId="77777777">
            <w:pPr>
              <w:spacing w:before="240"/>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 xml:space="preserve">In Appendix 6, SoCalGas describes its process for the scaling and commercialization of technologies via projects which range from research and development to deployment across technology readiness levels (TRLs). </w:t>
            </w:r>
            <w:r w:rsidRPr="00BE4685">
              <w:rPr>
                <w:rFonts w:ascii="Palatino Linotype" w:hAnsi="Palatino Linotype" w:eastAsia="Palatino Linotype" w:cs="Palatino Linotype"/>
                <w:color w:val="0070C0"/>
                <w:sz w:val="20"/>
                <w:szCs w:val="20"/>
              </w:rPr>
              <w:t> </w:t>
            </w:r>
            <w:r w:rsidRPr="00BE4685">
              <w:rPr>
                <w:rFonts w:ascii="Palatino Linotype" w:hAnsi="Palatino Linotype" w:eastAsia="Palatino Linotype" w:cs="Palatino Linotype"/>
                <w:sz w:val="20"/>
                <w:szCs w:val="20"/>
              </w:rPr>
              <w:t xml:space="preserve">Most projects it undertakes are more limited in that the RD&amp;D program involvement would end with deployment of a demonstration project, not commercial deployment.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states, “If technologies were ready for commercialization; R&amp;D would not be necessary.”</w:t>
            </w:r>
            <w:r w:rsidRPr="00BE4685">
              <w:rPr>
                <w:rStyle w:val="FootnoteReference"/>
                <w:rFonts w:ascii="Palatino Linotype" w:hAnsi="Palatino Linotype" w:eastAsia="Palatino Linotype" w:cs="Palatino Linotype"/>
                <w:sz w:val="20"/>
                <w:szCs w:val="20"/>
              </w:rPr>
              <w:footnoteReference w:id="409"/>
            </w:r>
          </w:p>
        </w:tc>
        <w:tc>
          <w:tcPr>
            <w:tcW w:w="3600" w:type="dxa"/>
          </w:tcPr>
          <w:p w:rsidRPr="00BE4685" w:rsidR="001E4CE1" w:rsidRDefault="001E4CE1" w14:paraId="289758B2" w14:textId="77777777">
            <w:pPr>
              <w:rPr>
                <w:rFonts w:ascii="Palatino Linotype" w:hAnsi="Palatino Linotype" w:eastAsia="Palatino Linotype" w:cs="Palatino Linotype"/>
                <w:b/>
                <w:color w:val="000000" w:themeColor="text1"/>
                <w:sz w:val="20"/>
                <w:szCs w:val="20"/>
              </w:rPr>
            </w:pPr>
            <w:r w:rsidRPr="00BE4685">
              <w:rPr>
                <w:rFonts w:ascii="Palatino Linotype" w:hAnsi="Palatino Linotype" w:eastAsia="Palatino Linotype" w:cs="Palatino Linotype"/>
                <w:color w:val="000000" w:themeColor="text1"/>
                <w:sz w:val="20"/>
                <w:szCs w:val="20"/>
              </w:rPr>
              <w:t>SoCalGas describes how results are used to address the state’s climate goals and how project results are scaled/commercialized</w:t>
            </w:r>
            <w:r w:rsidRPr="00BE4685">
              <w:rPr>
                <w:rFonts w:ascii="Palatino Linotype" w:hAnsi="Palatino Linotype" w:eastAsia="Palatino Linotype" w:cs="Palatino Linotype"/>
                <w:i/>
                <w:color w:val="000000" w:themeColor="text1"/>
                <w:sz w:val="20"/>
                <w:szCs w:val="20"/>
              </w:rPr>
              <w:t xml:space="preserve">. </w:t>
            </w:r>
            <w:r w:rsidRPr="00BE4685">
              <w:rPr>
                <w:rFonts w:ascii="Palatino Linotype" w:hAnsi="Palatino Linotype" w:eastAsia="Palatino Linotype" w:cs="Palatino Linotype"/>
                <w:b/>
                <w:color w:val="000000" w:themeColor="text1"/>
                <w:sz w:val="20"/>
                <w:szCs w:val="20"/>
              </w:rPr>
              <w:t>SoCalGas is compliant with this requirement.</w:t>
            </w:r>
          </w:p>
          <w:p w:rsidRPr="00BE4685" w:rsidR="001E4CE1" w:rsidRDefault="001E4CE1" w14:paraId="51326D6B" w14:textId="77777777">
            <w:pPr>
              <w:spacing w:before="240"/>
              <w:rPr>
                <w:rFonts w:ascii="Palatino Linotype" w:hAnsi="Palatino Linotype" w:eastAsia="Palatino Linotype" w:cs="Palatino Linotype"/>
                <w:color w:val="45B0E1" w:themeColor="accent1" w:themeTint="99"/>
                <w:sz w:val="20"/>
                <w:szCs w:val="20"/>
              </w:rPr>
            </w:pPr>
            <w:r w:rsidRPr="00BE4685">
              <w:rPr>
                <w:rFonts w:ascii="Palatino Linotype" w:hAnsi="Palatino Linotype" w:eastAsia="Palatino Linotype" w:cs="Palatino Linotype"/>
                <w:color w:val="000000" w:themeColor="text1"/>
                <w:sz w:val="20"/>
                <w:szCs w:val="20"/>
              </w:rPr>
              <w:t xml:space="preserve">However, SoCalGas shall provide further detail upon project implementation in project final reports and its Annual Reports to demonstrate how results are measured and utilized in alignment with State goals. </w:t>
            </w:r>
          </w:p>
        </w:tc>
      </w:tr>
      <w:tr w:rsidRPr="00BE4685" w:rsidR="001E4CE1" w14:paraId="33CE638F" w14:textId="77777777">
        <w:trPr>
          <w:trHeight w:val="638"/>
          <w:tblHeader/>
        </w:trPr>
        <w:tc>
          <w:tcPr>
            <w:tcW w:w="3744" w:type="dxa"/>
          </w:tcPr>
          <w:p w:rsidRPr="00BE4685" w:rsidR="001E4CE1" w:rsidRDefault="001E4CE1" w14:paraId="0E67CE17" w14:textId="77777777">
            <w:pPr>
              <w:rPr>
                <w:rFonts w:ascii="Palatino Linotype" w:hAnsi="Palatino Linotype"/>
                <w:i/>
                <w:sz w:val="20"/>
                <w:szCs w:val="20"/>
              </w:rPr>
            </w:pPr>
            <w:r w:rsidRPr="00BE4685">
              <w:rPr>
                <w:rFonts w:ascii="Palatino Linotype" w:hAnsi="Palatino Linotype"/>
                <w:b/>
                <w:sz w:val="20"/>
                <w:szCs w:val="20"/>
              </w:rPr>
              <w:lastRenderedPageBreak/>
              <w:t>[18]</w:t>
            </w:r>
            <w:r w:rsidRPr="00BE4685">
              <w:rPr>
                <w:rFonts w:ascii="Palatino Linotype" w:hAnsi="Palatino Linotype"/>
                <w:sz w:val="20"/>
                <w:szCs w:val="20"/>
              </w:rPr>
              <w:t xml:space="preserve"> </w:t>
            </w:r>
            <w:hyperlink r:id="rId130">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sz w:val="20"/>
                <w:szCs w:val="20"/>
              </w:rPr>
              <w:t xml:space="preserve">In its 2024 </w:t>
            </w:r>
            <w:proofErr w:type="gramStart"/>
            <w:r w:rsidRPr="00BE4685">
              <w:rPr>
                <w:rFonts w:ascii="Palatino Linotype" w:hAnsi="Palatino Linotype"/>
                <w:i/>
                <w:sz w:val="20"/>
                <w:szCs w:val="20"/>
              </w:rPr>
              <w:t>Gas [RD&amp;D]</w:t>
            </w:r>
            <w:proofErr w:type="gramEnd"/>
            <w:r w:rsidRPr="00BE4685">
              <w:rPr>
                <w:rFonts w:ascii="Palatino Linotype" w:hAnsi="Palatino Linotype"/>
                <w:i/>
                <w:sz w:val="20"/>
                <w:szCs w:val="20"/>
              </w:rPr>
              <w:t xml:space="preserve"> Plan and beyond, [</w:t>
            </w:r>
            <w:r w:rsidRPr="00BE4685">
              <w:rPr>
                <w:rFonts w:ascii="Palatino Linotype" w:hAnsi="Palatino Linotype" w:eastAsia="Palatino Linotype" w:cs="Palatino Linotype"/>
                <w:i/>
                <w:color w:val="000000" w:themeColor="text1"/>
                <w:sz w:val="20"/>
                <w:szCs w:val="20"/>
              </w:rPr>
              <w:t>SoCalGas</w:t>
            </w:r>
            <w:r w:rsidRPr="00BE4685">
              <w:rPr>
                <w:rFonts w:ascii="Palatino Linotype" w:hAnsi="Palatino Linotype"/>
                <w:i/>
                <w:sz w:val="20"/>
                <w:szCs w:val="20"/>
              </w:rPr>
              <w:t>] shall: Itemize and include more detail about how it incorporated proposals and feedback on research ideas proposed by stakeholders at its Annual Stakeholder workshop, including disadvantaged communities. SoCalGas should otherwise explain why it did not incorporate stakeholder input.</w:t>
            </w:r>
          </w:p>
          <w:p w:rsidRPr="00BE4685" w:rsidR="001E4CE1" w:rsidRDefault="001E4CE1" w14:paraId="3F5A0DE4" w14:textId="77777777">
            <w:pPr>
              <w:rPr>
                <w:rFonts w:ascii="Palatino Linotype" w:hAnsi="Palatino Linotype"/>
                <w:i/>
                <w:iCs/>
                <w:sz w:val="20"/>
                <w:szCs w:val="20"/>
              </w:rPr>
            </w:pPr>
          </w:p>
          <w:p w:rsidRPr="00BE4685" w:rsidR="001E4CE1" w:rsidRDefault="001E4CE1" w14:paraId="7CD3ACE1"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See also: [15] on integration of Energy Division feedback and [23]</w:t>
            </w:r>
            <w:r w:rsidRPr="00BE4685">
              <w:rPr>
                <w:rFonts w:ascii="Times New Roman" w:hAnsi="Times New Roman" w:eastAsia="Palatino Linotype" w:cs="Times New Roman"/>
                <w:color w:val="000000" w:themeColor="text1"/>
                <w:sz w:val="20"/>
                <w:szCs w:val="20"/>
              </w:rPr>
              <w:t> </w:t>
            </w:r>
            <w:r w:rsidRPr="00BE4685">
              <w:rPr>
                <w:rFonts w:ascii="Palatino Linotype" w:hAnsi="Palatino Linotype" w:eastAsia="Palatino Linotype" w:cs="Palatino Linotype"/>
                <w:color w:val="000000" w:themeColor="text1"/>
                <w:sz w:val="20"/>
                <w:szCs w:val="20"/>
              </w:rPr>
              <w:t>for gas RD&amp;D administrator coordination. </w:t>
            </w:r>
          </w:p>
          <w:p w:rsidRPr="00BE4685" w:rsidR="001E4CE1" w:rsidRDefault="001E4CE1" w14:paraId="5F9C37C3" w14:textId="77777777">
            <w:pPr>
              <w:rPr>
                <w:rFonts w:ascii="Palatino Linotype" w:hAnsi="Palatino Linotype"/>
                <w:i/>
                <w:iCs/>
                <w:sz w:val="20"/>
                <w:szCs w:val="20"/>
              </w:rPr>
            </w:pPr>
          </w:p>
        </w:tc>
        <w:tc>
          <w:tcPr>
            <w:tcW w:w="6912" w:type="dxa"/>
          </w:tcPr>
          <w:p w:rsidRPr="00BE4685" w:rsidR="001E4CE1" w:rsidRDefault="001E4CE1" w14:paraId="07140FC8" w14:textId="77777777">
            <w:r w:rsidRPr="00BE4685">
              <w:rPr>
                <w:rFonts w:ascii="Palatino Linotype" w:hAnsi="Palatino Linotype" w:eastAsia="Palatino Linotype" w:cs="Palatino Linotype"/>
                <w:sz w:val="20"/>
                <w:szCs w:val="20"/>
              </w:rPr>
              <w:t>SoCalGas provides:</w:t>
            </w:r>
          </w:p>
          <w:p w:rsidRPr="00BE4685" w:rsidR="001E4CE1" w:rsidP="001E4CE1" w:rsidRDefault="001E4CE1" w14:paraId="27AE1A43" w14:textId="77777777">
            <w:pPr>
              <w:pStyle w:val="ListParagraph"/>
              <w:numPr>
                <w:ilvl w:val="0"/>
                <w:numId w:val="87"/>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A h</w:t>
            </w:r>
            <w:r w:rsidRPr="00BE4685">
              <w:rPr>
                <w:rFonts w:ascii="Palatino Linotype" w:hAnsi="Palatino Linotype" w:eastAsia="Palatino Linotype" w:cs="Palatino Linotype"/>
                <w:sz w:val="20"/>
                <w:szCs w:val="20"/>
              </w:rPr>
              <w:t>ighly detailed discussion of its stakeholder outreach in</w:t>
            </w:r>
            <w:r w:rsidRPr="00BE4685">
              <w:rPr>
                <w:rFonts w:ascii="Palatino Linotype" w:hAnsi="Palatino Linotype" w:eastAsia="Palatino Linotype" w:cs="Palatino Linotype"/>
                <w:color w:val="000000" w:themeColor="text1"/>
                <w:sz w:val="20"/>
                <w:szCs w:val="20"/>
              </w:rPr>
              <w:t>itiatives and includes discussion of any research ideas promoted during these sessions, including its response to suggestions and recommendations.</w:t>
            </w:r>
            <w:r w:rsidRPr="00BE4685">
              <w:rPr>
                <w:rStyle w:val="FootnoteReference"/>
                <w:rFonts w:ascii="Palatino Linotype" w:hAnsi="Palatino Linotype"/>
                <w:color w:val="000000" w:themeColor="text1"/>
                <w:sz w:val="20"/>
                <w:szCs w:val="20"/>
              </w:rPr>
              <w:footnoteReference w:id="410"/>
            </w:r>
          </w:p>
          <w:p w:rsidRPr="00BE4685" w:rsidR="001E4CE1" w:rsidP="001E4CE1" w:rsidRDefault="001E4CE1" w14:paraId="5D32556E" w14:textId="77777777">
            <w:pPr>
              <w:pStyle w:val="ListParagraph"/>
              <w:numPr>
                <w:ilvl w:val="0"/>
                <w:numId w:val="87"/>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A description of its annual internal and external outreach efforts along with key takeaways and incorporation strategies for general feedback received from public workshop attendees, including the ESJ Advisory Panel, on its proposals.</w:t>
            </w:r>
            <w:r w:rsidRPr="00BE4685">
              <w:rPr>
                <w:rStyle w:val="FootnoteReference"/>
                <w:rFonts w:ascii="Palatino Linotype" w:hAnsi="Palatino Linotype" w:eastAsia="Palatino Linotype" w:cs="Palatino Linotype"/>
                <w:sz w:val="20"/>
                <w:szCs w:val="20"/>
              </w:rPr>
              <w:footnoteReference w:id="411"/>
            </w:r>
          </w:p>
          <w:p w:rsidRPr="00BE4685" w:rsidR="001E4CE1" w:rsidP="001E4CE1" w:rsidRDefault="001E4CE1" w14:paraId="6F0435AC" w14:textId="77777777">
            <w:pPr>
              <w:pStyle w:val="ListParagraph"/>
              <w:numPr>
                <w:ilvl w:val="1"/>
                <w:numId w:val="87"/>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indicated, for example, that “areas of affordability and decarbonization are incorporated throughout the 2026 and 2027 Research Plans.”</w:t>
            </w:r>
            <w:r w:rsidRPr="00BE4685">
              <w:rPr>
                <w:rStyle w:val="FootnoteReference"/>
                <w:rFonts w:ascii="Palatino Linotype" w:hAnsi="Palatino Linotype" w:eastAsia="Palatino Linotype" w:cs="Palatino Linotype"/>
                <w:sz w:val="20"/>
                <w:szCs w:val="20"/>
              </w:rPr>
              <w:footnoteReference w:id="412"/>
            </w:r>
          </w:p>
          <w:p w:rsidRPr="00BE4685" w:rsidR="001E4CE1" w:rsidP="001E4CE1" w:rsidRDefault="001E4CE1" w14:paraId="0F8C0A16" w14:textId="77777777">
            <w:pPr>
              <w:pStyle w:val="ListParagraph"/>
              <w:numPr>
                <w:ilvl w:val="0"/>
                <w:numId w:val="87"/>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Section 5.1: Summary of Research Plan Development &amp; Compliance.</w:t>
            </w:r>
            <w:r w:rsidRPr="00BE4685">
              <w:rPr>
                <w:rStyle w:val="FootnoteReference"/>
                <w:rFonts w:ascii="Palatino Linotype" w:hAnsi="Palatino Linotype" w:eastAsia="Palatino Linotype" w:cs="Palatino Linotype"/>
                <w:sz w:val="20"/>
                <w:szCs w:val="20"/>
              </w:rPr>
              <w:footnoteReference w:id="413"/>
            </w:r>
          </w:p>
          <w:p w:rsidRPr="00BE4685" w:rsidR="001E4CE1" w:rsidP="001E4CE1" w:rsidRDefault="001E4CE1" w14:paraId="0A6BB88D" w14:textId="77777777">
            <w:pPr>
              <w:pStyle w:val="ListParagraph"/>
              <w:numPr>
                <w:ilvl w:val="0"/>
                <w:numId w:val="87"/>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Appendix 2: Research Plan Feedback, Details and Project Selection Process.</w:t>
            </w:r>
            <w:r w:rsidRPr="00BE4685">
              <w:rPr>
                <w:rStyle w:val="FootnoteReference"/>
                <w:rFonts w:ascii="Palatino Linotype" w:hAnsi="Palatino Linotype" w:eastAsia="Palatino Linotype" w:cs="Palatino Linotype"/>
                <w:sz w:val="20"/>
                <w:szCs w:val="20"/>
              </w:rPr>
              <w:footnoteReference w:id="414"/>
            </w:r>
          </w:p>
          <w:p w:rsidRPr="00BE4685" w:rsidR="001E4CE1" w:rsidP="001E4CE1" w:rsidRDefault="001E4CE1" w14:paraId="6193A26E" w14:textId="77777777">
            <w:pPr>
              <w:pStyle w:val="ListParagraph"/>
              <w:numPr>
                <w:ilvl w:val="0"/>
                <w:numId w:val="87"/>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Appendix 3: Summary of February 27, 2026, Workshop Feedback,</w:t>
            </w:r>
            <w:r w:rsidRPr="00BE4685">
              <w:rPr>
                <w:rStyle w:val="FootnoteReference"/>
                <w:rFonts w:ascii="Palatino Linotype" w:hAnsi="Palatino Linotype" w:eastAsia="Palatino Linotype" w:cs="Palatino Linotype"/>
                <w:sz w:val="20"/>
                <w:szCs w:val="20"/>
              </w:rPr>
              <w:footnoteReference w:id="415"/>
            </w:r>
            <w:r w:rsidRPr="00BE4685">
              <w:rPr>
                <w:rFonts w:ascii="Palatino Linotype" w:hAnsi="Palatino Linotype" w:eastAsia="Palatino Linotype" w:cs="Palatino Linotype"/>
                <w:sz w:val="20"/>
                <w:szCs w:val="20"/>
              </w:rPr>
              <w:t xml:space="preserve"> an</w:t>
            </w:r>
            <w:r w:rsidRPr="00BE4685">
              <w:rPr>
                <w:rFonts w:ascii="Palatino Linotype" w:hAnsi="Palatino Linotype" w:eastAsia="Palatino Linotype" w:cs="Palatino Linotype"/>
                <w:color w:val="000000" w:themeColor="text1"/>
                <w:sz w:val="20"/>
                <w:szCs w:val="20"/>
              </w:rPr>
              <w:t>d the list of questions received during and following the workshop, along with responses and/or incorporation strategies.</w:t>
            </w:r>
            <w:r w:rsidRPr="00BE4685">
              <w:rPr>
                <w:rStyle w:val="FootnoteReference"/>
                <w:rFonts w:ascii="Palatino Linotype" w:hAnsi="Palatino Linotype" w:eastAsia="Palatino Linotype" w:cs="Palatino Linotype"/>
                <w:color w:val="000000" w:themeColor="text1"/>
                <w:sz w:val="20"/>
                <w:szCs w:val="20"/>
              </w:rPr>
              <w:footnoteReference w:id="416"/>
            </w:r>
          </w:p>
          <w:p w:rsidRPr="00BE4685" w:rsidR="001E4CE1" w:rsidP="001E4CE1" w:rsidRDefault="001E4CE1" w14:paraId="77CB526A" w14:textId="77777777">
            <w:pPr>
              <w:pStyle w:val="ListParagraph"/>
              <w:numPr>
                <w:ilvl w:val="0"/>
                <w:numId w:val="87"/>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Appendix 5: Summary of Stakeholder Input from Annual Outreach Campaign.</w:t>
            </w:r>
            <w:r w:rsidRPr="00BE4685">
              <w:rPr>
                <w:rStyle w:val="FootnoteReference"/>
                <w:rFonts w:ascii="Palatino Linotype" w:hAnsi="Palatino Linotype" w:eastAsia="Palatino Linotype" w:cs="Palatino Linotype"/>
                <w:sz w:val="20"/>
                <w:szCs w:val="20"/>
              </w:rPr>
              <w:footnoteReference w:id="417"/>
            </w:r>
          </w:p>
          <w:p w:rsidRPr="00BE4685" w:rsidR="001E4CE1" w:rsidP="001E4CE1" w:rsidRDefault="001E4CE1" w14:paraId="4E25A165" w14:textId="77777777">
            <w:pPr>
              <w:pStyle w:val="ListParagraph"/>
              <w:numPr>
                <w:ilvl w:val="0"/>
                <w:numId w:val="87"/>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sz w:val="20"/>
                <w:szCs w:val="20"/>
              </w:rPr>
              <w:t>Appendix 6: Company and SoCalGas RD&amp;D Overview, with a Description of Academic Engageme</w:t>
            </w:r>
            <w:r w:rsidRPr="00BE4685">
              <w:rPr>
                <w:rFonts w:ascii="Palatino Linotype" w:hAnsi="Palatino Linotype" w:eastAsia="Palatino Linotype" w:cs="Palatino Linotype"/>
                <w:color w:val="000000" w:themeColor="text1"/>
                <w:sz w:val="20"/>
                <w:szCs w:val="20"/>
              </w:rPr>
              <w:t>nt.</w:t>
            </w:r>
            <w:r w:rsidRPr="00BE4685">
              <w:rPr>
                <w:rStyle w:val="FootnoteReference"/>
                <w:rFonts w:ascii="Palatino Linotype" w:hAnsi="Palatino Linotype" w:eastAsia="Palatino Linotype" w:cs="Palatino Linotype"/>
                <w:color w:val="000000" w:themeColor="text1"/>
                <w:sz w:val="20"/>
                <w:szCs w:val="20"/>
              </w:rPr>
              <w:footnoteReference w:id="418"/>
            </w:r>
          </w:p>
          <w:p w:rsidRPr="00BE4685" w:rsidR="001E4CE1" w:rsidRDefault="001E4CE1" w14:paraId="14AD8752"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details the following Initiative-level feedback and responses:</w:t>
            </w:r>
            <w:r w:rsidRPr="00BE4685">
              <w:rPr>
                <w:rFonts w:ascii="Times New Roman" w:hAnsi="Times New Roman" w:eastAsia="Palatino Linotype" w:cs="Times New Roman"/>
                <w:color w:val="000000" w:themeColor="text1"/>
                <w:sz w:val="20"/>
                <w:szCs w:val="20"/>
              </w:rPr>
              <w:t>  </w:t>
            </w:r>
            <w:r w:rsidRPr="00BE4685">
              <w:rPr>
                <w:rFonts w:ascii="Palatino Linotype" w:hAnsi="Palatino Linotype" w:eastAsia="Palatino Linotype" w:cs="Palatino Linotype"/>
                <w:color w:val="000000" w:themeColor="text1"/>
                <w:sz w:val="20"/>
                <w:szCs w:val="20"/>
              </w:rPr>
              <w:t> </w:t>
            </w:r>
          </w:p>
          <w:p w:rsidRPr="00BE4685" w:rsidR="001E4CE1" w:rsidP="001E4CE1" w:rsidRDefault="001E4CE1" w14:paraId="602D1048" w14:textId="77777777">
            <w:pPr>
              <w:pStyle w:val="ListParagraph"/>
              <w:numPr>
                <w:ilvl w:val="0"/>
                <w:numId w:val="90"/>
              </w:numPr>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identified priority to advance leak detection and prevention is incorporated in the </w:t>
            </w:r>
            <w:r w:rsidRPr="00BE4685">
              <w:rPr>
                <w:rFonts w:ascii="Palatino Linotype" w:hAnsi="Palatino Linotype" w:eastAsia="Palatino Linotype" w:cs="Palatino Linotype"/>
                <w:sz w:val="20"/>
                <w:szCs w:val="20"/>
                <w:u w:val="single"/>
              </w:rPr>
              <w:t>Environmental &amp; Safety</w:t>
            </w:r>
            <w:r w:rsidRPr="00BE4685">
              <w:rPr>
                <w:rFonts w:ascii="Palatino Linotype" w:hAnsi="Palatino Linotype" w:eastAsia="Palatino Linotype" w:cs="Palatino Linotype"/>
                <w:sz w:val="20"/>
                <w:szCs w:val="20"/>
              </w:rPr>
              <w:t xml:space="preserve"> Initiative. </w:t>
            </w:r>
          </w:p>
          <w:p w:rsidRPr="00BE4685" w:rsidR="001E4CE1" w:rsidP="001E4CE1" w:rsidRDefault="001E4CE1" w14:paraId="3BD67C8A" w14:textId="77777777">
            <w:pPr>
              <w:pStyle w:val="ListParagraph"/>
              <w:numPr>
                <w:ilvl w:val="0"/>
                <w:numId w:val="90"/>
              </w:numPr>
              <w:spacing w:before="24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w:t>
            </w:r>
            <w:r w:rsidRPr="00BE4685">
              <w:rPr>
                <w:rFonts w:ascii="Palatino Linotype" w:hAnsi="Palatino Linotype" w:eastAsia="Palatino Linotype" w:cs="Palatino Linotype"/>
                <w:sz w:val="20"/>
                <w:szCs w:val="20"/>
                <w:u w:val="single"/>
              </w:rPr>
              <w:t>Low-Carbon Fuels Technology</w:t>
            </w:r>
            <w:r w:rsidRPr="00BE4685">
              <w:rPr>
                <w:rFonts w:ascii="Palatino Linotype" w:hAnsi="Palatino Linotype" w:eastAsia="Palatino Linotype" w:cs="Palatino Linotype"/>
                <w:sz w:val="20"/>
                <w:szCs w:val="20"/>
              </w:rPr>
              <w:t xml:space="preserve"> Initiative proposes research areas where alternative decarbonization pathways may be developed, addressing the feedback to not rely on just RNG. </w:t>
            </w:r>
          </w:p>
          <w:p w:rsidRPr="00BE4685" w:rsidR="001E4CE1" w:rsidP="001E4CE1" w:rsidRDefault="001E4CE1" w14:paraId="2E748091" w14:textId="77777777">
            <w:pPr>
              <w:pStyle w:val="ListParagraph"/>
              <w:numPr>
                <w:ilvl w:val="0"/>
                <w:numId w:val="90"/>
              </w:numPr>
              <w:spacing w:before="24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The </w:t>
            </w:r>
            <w:r w:rsidRPr="00BE4685">
              <w:rPr>
                <w:rFonts w:ascii="Palatino Linotype" w:hAnsi="Palatino Linotype" w:eastAsia="Palatino Linotype" w:cs="Palatino Linotype"/>
                <w:sz w:val="20"/>
                <w:szCs w:val="20"/>
                <w:u w:val="single"/>
              </w:rPr>
              <w:t>System Design &amp; Materials</w:t>
            </w:r>
            <w:r w:rsidRPr="00BE4685">
              <w:rPr>
                <w:rFonts w:ascii="Palatino Linotype" w:hAnsi="Palatino Linotype" w:eastAsia="Palatino Linotype" w:cs="Palatino Linotype"/>
                <w:sz w:val="20"/>
                <w:szCs w:val="20"/>
              </w:rPr>
              <w:t xml:space="preserve"> Initiative plans to focus on identifying new repair methods.”</w:t>
            </w:r>
            <w:r w:rsidRPr="00BE4685">
              <w:rPr>
                <w:rStyle w:val="FootnoteReference"/>
                <w:rFonts w:ascii="Palatino Linotype" w:hAnsi="Palatino Linotype" w:eastAsia="Palatino Linotype" w:cs="Palatino Linotype"/>
                <w:sz w:val="20"/>
                <w:szCs w:val="20"/>
              </w:rPr>
              <w:footnoteReference w:id="419"/>
            </w:r>
          </w:p>
          <w:p w:rsidRPr="00BE4685" w:rsidR="001E4CE1" w:rsidRDefault="001E4CE1" w14:paraId="46750AA0" w14:textId="77777777">
            <w:pPr>
              <w:spacing w:before="240"/>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deferred consideration of input was about incorporating “research results for the future workforce,” which </w:t>
            </w: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stated, “will be reviewed as research projects are executed under the plans.”</w:t>
            </w:r>
            <w:r w:rsidRPr="00BE4685">
              <w:rPr>
                <w:rStyle w:val="FootnoteReference"/>
                <w:rFonts w:ascii="Palatino Linotype" w:hAnsi="Palatino Linotype" w:eastAsia="Palatino Linotype" w:cs="Palatino Linotype"/>
                <w:sz w:val="20"/>
                <w:szCs w:val="20"/>
              </w:rPr>
              <w:footnoteReference w:id="420"/>
            </w:r>
          </w:p>
        </w:tc>
        <w:tc>
          <w:tcPr>
            <w:tcW w:w="3600" w:type="dxa"/>
          </w:tcPr>
          <w:p w:rsidRPr="00BE4685" w:rsidR="001E4CE1" w:rsidRDefault="001E4CE1" w14:paraId="13256EB3" w14:textId="77777777">
            <w:pPr>
              <w:rPr>
                <w:rFonts w:ascii="Times New Roman" w:hAnsi="Times New Roman" w:eastAsia="Palatino Linotype" w:cs="Times New Roman"/>
                <w:color w:val="000000" w:themeColor="text1"/>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Times New Roman" w:hAnsi="Times New Roman" w:eastAsia="Palatino Linotype" w:cs="Times New Roman"/>
                <w:color w:val="000000" w:themeColor="text1"/>
                <w:sz w:val="20"/>
                <w:szCs w:val="20"/>
              </w:rPr>
              <w:t> </w:t>
            </w:r>
            <w:r w:rsidRPr="00BE4685">
              <w:rPr>
                <w:rFonts w:ascii="Palatino Linotype" w:hAnsi="Palatino Linotype" w:eastAsia="Palatino Linotype" w:cs="Palatino Linotype"/>
                <w:color w:val="000000" w:themeColor="text1"/>
                <w:sz w:val="20"/>
                <w:szCs w:val="20"/>
              </w:rPr>
              <w:t>describes</w:t>
            </w:r>
            <w:r w:rsidRPr="00BE4685">
              <w:rPr>
                <w:rFonts w:ascii="Times New Roman" w:hAnsi="Times New Roman" w:eastAsia="Palatino Linotype" w:cs="Times New Roman"/>
                <w:color w:val="000000" w:themeColor="text1"/>
                <w:sz w:val="20"/>
                <w:szCs w:val="20"/>
              </w:rPr>
              <w:t> </w:t>
            </w:r>
            <w:r w:rsidRPr="00BE4685">
              <w:rPr>
                <w:rFonts w:ascii="Palatino Linotype" w:hAnsi="Palatino Linotype" w:eastAsia="Palatino Linotype" w:cs="Palatino Linotype"/>
                <w:color w:val="000000" w:themeColor="text1"/>
                <w:sz w:val="20"/>
                <w:szCs w:val="20"/>
              </w:rPr>
              <w:t>feedback from stakeholders</w:t>
            </w:r>
            <w:r w:rsidRPr="00BE4685">
              <w:rPr>
                <w:rFonts w:ascii="Times New Roman" w:hAnsi="Times New Roman" w:eastAsia="Palatino Linotype" w:cs="Times New Roman"/>
                <w:color w:val="000000" w:themeColor="text1"/>
                <w:sz w:val="20"/>
                <w:szCs w:val="20"/>
              </w:rPr>
              <w:t> </w:t>
            </w:r>
            <w:r w:rsidRPr="00BE4685">
              <w:rPr>
                <w:rFonts w:ascii="Palatino Linotype" w:hAnsi="Palatino Linotype" w:eastAsia="Palatino Linotype" w:cs="Palatino Linotype"/>
                <w:color w:val="000000" w:themeColor="text1"/>
                <w:sz w:val="20"/>
                <w:szCs w:val="20"/>
              </w:rPr>
              <w:t>and</w:t>
            </w:r>
            <w:r w:rsidRPr="00BE4685">
              <w:rPr>
                <w:rFonts w:ascii="Times New Roman" w:hAnsi="Times New Roman" w:eastAsia="Palatino Linotype" w:cs="Times New Roman"/>
                <w:color w:val="000000" w:themeColor="text1"/>
                <w:sz w:val="20"/>
                <w:szCs w:val="20"/>
              </w:rPr>
              <w:t> </w:t>
            </w:r>
            <w:proofErr w:type="gramStart"/>
            <w:r w:rsidRPr="00BE4685">
              <w:rPr>
                <w:rFonts w:ascii="Palatino Linotype" w:hAnsi="Palatino Linotype" w:eastAsia="Palatino Linotype" w:cs="Palatino Linotype"/>
                <w:color w:val="000000" w:themeColor="text1"/>
                <w:sz w:val="20"/>
                <w:szCs w:val="20"/>
              </w:rPr>
              <w:t>a number of</w:t>
            </w:r>
            <w:proofErr w:type="gramEnd"/>
            <w:r w:rsidRPr="00BE4685">
              <w:rPr>
                <w:rFonts w:ascii="Times New Roman" w:hAnsi="Times New Roman" w:eastAsia="Palatino Linotype" w:cs="Times New Roman"/>
                <w:color w:val="000000" w:themeColor="text1"/>
                <w:sz w:val="20"/>
                <w:szCs w:val="20"/>
              </w:rPr>
              <w:t> </w:t>
            </w:r>
            <w:r w:rsidRPr="00BE4685">
              <w:rPr>
                <w:rFonts w:ascii="Palatino Linotype" w:hAnsi="Palatino Linotype" w:eastAsia="Palatino Linotype" w:cs="Palatino Linotype"/>
                <w:color w:val="000000" w:themeColor="text1"/>
                <w:sz w:val="20"/>
                <w:szCs w:val="20"/>
              </w:rPr>
              <w:t xml:space="preserve">incorporation strategies. </w:t>
            </w:r>
            <w:r w:rsidRPr="00BE4685">
              <w:rPr>
                <w:rFonts w:ascii="Palatino Linotype" w:hAnsi="Palatino Linotype" w:eastAsia="Palatino Linotype" w:cs="Palatino Linotype"/>
                <w:b/>
                <w:color w:val="000000" w:themeColor="text1"/>
                <w:sz w:val="20"/>
                <w:szCs w:val="20"/>
              </w:rPr>
              <w:t>SoCalGas is</w:t>
            </w:r>
            <w:r w:rsidRPr="00BE4685">
              <w:rPr>
                <w:rFonts w:ascii="Times New Roman" w:hAnsi="Times New Roman" w:eastAsia="Palatino Linotype" w:cs="Times New Roman"/>
                <w:b/>
                <w:color w:val="000000" w:themeColor="text1"/>
                <w:sz w:val="20"/>
                <w:szCs w:val="20"/>
              </w:rPr>
              <w:t> </w:t>
            </w:r>
            <w:r w:rsidRPr="00BE4685">
              <w:rPr>
                <w:rFonts w:ascii="Palatino Linotype" w:hAnsi="Palatino Linotype" w:eastAsia="Palatino Linotype" w:cs="Palatino Linotype"/>
                <w:b/>
                <w:color w:val="000000" w:themeColor="text1"/>
                <w:sz w:val="20"/>
                <w:szCs w:val="20"/>
              </w:rPr>
              <w:t>compliant with this requirement.</w:t>
            </w:r>
            <w:r w:rsidRPr="00BE4685">
              <w:rPr>
                <w:rFonts w:ascii="Times New Roman" w:hAnsi="Times New Roman" w:eastAsia="Palatino Linotype" w:cs="Times New Roman"/>
                <w:color w:val="000000" w:themeColor="text1"/>
                <w:sz w:val="20"/>
                <w:szCs w:val="20"/>
              </w:rPr>
              <w:t> </w:t>
            </w:r>
          </w:p>
          <w:p w:rsidRPr="00BE4685" w:rsidR="001E4CE1" w:rsidRDefault="001E4CE1" w14:paraId="1E1482F3"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However, in its revised 2026 Plan and all </w:t>
            </w:r>
            <w:proofErr w:type="gramStart"/>
            <w:r w:rsidRPr="00BE4685">
              <w:rPr>
                <w:rFonts w:ascii="Palatino Linotype" w:hAnsi="Palatino Linotype" w:eastAsia="Palatino Linotype" w:cs="Palatino Linotype"/>
                <w:color w:val="000000" w:themeColor="text1"/>
                <w:sz w:val="20"/>
                <w:szCs w:val="20"/>
              </w:rPr>
              <w:t>future Plans</w:t>
            </w:r>
            <w:proofErr w:type="gramEnd"/>
            <w:r w:rsidRPr="00BE4685">
              <w:rPr>
                <w:rFonts w:ascii="Palatino Linotype" w:hAnsi="Palatino Linotype" w:eastAsia="Palatino Linotype" w:cs="Palatino Linotype"/>
                <w:color w:val="000000" w:themeColor="text1"/>
                <w:sz w:val="20"/>
                <w:szCs w:val="20"/>
              </w:rPr>
              <w:t>, for transparency, SoCalGas should embed both stakeholder feedback and associated incorporation strategies in the description of each proposed Initiative, or otherwise state that Initiative-level feedback was not received.</w:t>
            </w:r>
          </w:p>
          <w:p w:rsidRPr="00BE4685" w:rsidR="001E4CE1" w:rsidRDefault="001E4CE1" w14:paraId="13F0676B" w14:textId="77777777">
            <w:pPr>
              <w:rPr>
                <w:rFonts w:ascii="Palatino Linotype" w:hAnsi="Palatino Linotype" w:eastAsia="Palatino Linotype" w:cs="Palatino Linotype"/>
                <w:sz w:val="20"/>
                <w:szCs w:val="20"/>
              </w:rPr>
            </w:pPr>
          </w:p>
          <w:p w:rsidRPr="00BE4685" w:rsidR="001E4CE1" w:rsidRDefault="001E4CE1" w14:paraId="08BC1DC2" w14:textId="77777777">
            <w:pPr>
              <w:rPr>
                <w:rStyle w:val="FootnoteReference"/>
                <w:rFonts w:ascii="Palatino Linotype" w:hAnsi="Palatino Linotype" w:eastAsia="Palatino Linotype" w:cs="Palatino Linotype"/>
                <w:sz w:val="20"/>
                <w:szCs w:val="20"/>
              </w:rPr>
            </w:pPr>
          </w:p>
        </w:tc>
      </w:tr>
      <w:tr w:rsidRPr="00BE4685" w:rsidR="001E4CE1" w14:paraId="1FD77E2B" w14:textId="77777777">
        <w:trPr>
          <w:trHeight w:val="638"/>
          <w:tblHeader/>
        </w:trPr>
        <w:tc>
          <w:tcPr>
            <w:tcW w:w="3744" w:type="dxa"/>
          </w:tcPr>
          <w:p w:rsidRPr="00BE4685" w:rsidR="001E4CE1" w:rsidRDefault="001E4CE1" w14:paraId="0FCE34C0" w14:textId="77777777">
            <w:pPr>
              <w:rPr>
                <w:rFonts w:ascii="Palatino Linotype" w:hAnsi="Palatino Linotype"/>
                <w:sz w:val="20"/>
                <w:szCs w:val="20"/>
              </w:rPr>
            </w:pPr>
            <w:r w:rsidRPr="00BE4685">
              <w:rPr>
                <w:rFonts w:ascii="Palatino Linotype" w:hAnsi="Palatino Linotype"/>
                <w:b/>
                <w:sz w:val="20"/>
                <w:szCs w:val="20"/>
              </w:rPr>
              <w:lastRenderedPageBreak/>
              <w:t xml:space="preserve">[19] </w:t>
            </w:r>
            <w:hyperlink r:id="rId131">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iCs/>
                <w:sz w:val="20"/>
                <w:szCs w:val="20"/>
              </w:rPr>
              <w:t>In its 2024 Gas [RD&amp;D] Plan and beyond, [</w:t>
            </w:r>
            <w:r w:rsidRPr="00BE4685">
              <w:rPr>
                <w:rFonts w:ascii="Palatino Linotype" w:hAnsi="Palatino Linotype" w:eastAsia="Palatino Linotype" w:cs="Palatino Linotype"/>
                <w:i/>
                <w:iCs/>
                <w:color w:val="000000" w:themeColor="text1"/>
                <w:sz w:val="20"/>
                <w:szCs w:val="20"/>
              </w:rPr>
              <w:t>SoCalGas</w:t>
            </w:r>
            <w:r w:rsidRPr="00BE4685">
              <w:rPr>
                <w:rFonts w:ascii="Palatino Linotype" w:hAnsi="Palatino Linotype"/>
                <w:i/>
                <w:iCs/>
                <w:sz w:val="20"/>
                <w:szCs w:val="20"/>
              </w:rPr>
              <w:t>] shall:</w:t>
            </w:r>
            <w:r w:rsidRPr="00BE4685">
              <w:rPr>
                <w:rFonts w:ascii="Palatino Linotype" w:hAnsi="Palatino Linotype"/>
              </w:rPr>
              <w:t xml:space="preserve"> </w:t>
            </w:r>
            <w:r w:rsidRPr="00BE4685">
              <w:rPr>
                <w:rFonts w:ascii="Palatino Linotype" w:hAnsi="Palatino Linotype"/>
                <w:i/>
                <w:iCs/>
                <w:sz w:val="20"/>
                <w:szCs w:val="20"/>
              </w:rPr>
              <w:t>Modify the term “benefits analysis framework” to “uniform impact analysis framework” to better explain the Commission’s intent. SoCalGas shall implement the uniform impacts analysis framework approved in Appendix A of Decision (D.) 23-04-042, as relevant for Gas RD&amp;D, to allow for tracking and evaluating the quantitative impacts of all Gas RD&amp;D projects.</w:t>
            </w:r>
            <w:r w:rsidRPr="00BE4685">
              <w:rPr>
                <w:rStyle w:val="FootnoteReference"/>
                <w:rFonts w:ascii="Palatino Linotype" w:hAnsi="Palatino Linotype"/>
                <w:i/>
                <w:iCs/>
                <w:sz w:val="20"/>
                <w:szCs w:val="20"/>
              </w:rPr>
              <w:footnoteReference w:id="421"/>
            </w:r>
          </w:p>
        </w:tc>
        <w:tc>
          <w:tcPr>
            <w:tcW w:w="6912" w:type="dxa"/>
          </w:tcPr>
          <w:p w:rsidRPr="00BE4685" w:rsidR="001E4CE1" w:rsidRDefault="001E4CE1" w14:paraId="74CA6E62" w14:textId="77777777">
            <w:pPr>
              <w:rPr>
                <w:rFonts w:ascii="Palatino Linotype" w:hAnsi="Palatino Linotype" w:eastAsia="Palatino Linotype" w:cs="Palatino Linotype"/>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states </w:t>
            </w:r>
            <w:r w:rsidRPr="00BE4685">
              <w:rPr>
                <w:rFonts w:ascii="Palatino Linotype" w:hAnsi="Palatino Linotype" w:eastAsia="Palatino Linotype" w:cs="Palatino Linotype"/>
                <w:color w:val="000000" w:themeColor="text1"/>
                <w:sz w:val="20"/>
                <w:szCs w:val="20"/>
              </w:rPr>
              <w:t>that it adopted and incorporated in its Plans the EPIC Uniform Impacts Analysis Framework (UIAF) and provides a Comparison of EPIC Metric Categories and Areas of Measurement (“EPIC Metrics”) and Analogous Metrics/Data for the SoCalGas Natural Gas System in Appendix 9. S</w:t>
            </w:r>
            <w:r w:rsidRPr="00BE4685">
              <w:rPr>
                <w:rFonts w:ascii="Palatino Linotype" w:hAnsi="Palatino Linotype" w:eastAsia="Palatino Linotype" w:cs="Palatino Linotype"/>
                <w:sz w:val="20"/>
                <w:szCs w:val="20"/>
              </w:rPr>
              <w:t>oCalGas states that it “tracks and reports program and project-level metrics to demonstrate benefits to ratepayers and communities, including safety, reliability, affordability, emissions reductions, and support for ESJ communities reported in the RD&amp;D Annual Report. In alignment with CPUC direction and the UIAF, these metrics provide a transparent and consistent approach for measuring and reporting community benefits across safety, air quality, GHG reductions, and equity-focused outcomes.”</w:t>
            </w:r>
            <w:r w:rsidRPr="00BE4685">
              <w:rPr>
                <w:rStyle w:val="FootnoteReference"/>
                <w:rFonts w:ascii="Palatino Linotype" w:hAnsi="Palatino Linotype" w:eastAsia="Palatino Linotype" w:cs="Palatino Linotype"/>
                <w:sz w:val="20"/>
                <w:szCs w:val="20"/>
              </w:rPr>
              <w:footnoteReference w:id="422"/>
            </w:r>
          </w:p>
          <w:p w:rsidRPr="00BE4685" w:rsidR="001E4CE1" w:rsidRDefault="001E4CE1" w14:paraId="14F98E21" w14:textId="77777777">
            <w:pPr>
              <w:spacing w:before="240"/>
              <w:rPr>
                <w:rFonts w:ascii="Palatino Linotype" w:hAnsi="Palatino Linotype" w:eastAsia="Palatino Linotype" w:cs="Palatino Linotype"/>
                <w:sz w:val="20"/>
                <w:szCs w:val="20"/>
              </w:rPr>
            </w:pPr>
            <w:r w:rsidRPr="00BE4685">
              <w:rPr>
                <w:rFonts w:ascii="Palatino Linotype" w:hAnsi="Palatino Linotype" w:eastAsia="Palatino Linotype" w:cs="Palatino Linotype"/>
                <w:sz w:val="20"/>
                <w:szCs w:val="20"/>
              </w:rPr>
              <w:t xml:space="preserve">SoCalGas lists anticipated ratepayer benefits for each Initiative, including affordability, improved air quality, reduced GHG emissions, reliability, improved </w:t>
            </w:r>
            <w:r w:rsidRPr="00BE4685">
              <w:rPr>
                <w:rFonts w:ascii="Palatino Linotype" w:hAnsi="Palatino Linotype" w:eastAsia="Palatino Linotype" w:cs="Palatino Linotype"/>
                <w:color w:val="000000" w:themeColor="text1"/>
                <w:sz w:val="20"/>
                <w:szCs w:val="20"/>
              </w:rPr>
              <w:t>safety and operational efficiency.</w:t>
            </w:r>
            <w:r w:rsidRPr="00BE4685">
              <w:rPr>
                <w:rStyle w:val="FootnoteReference"/>
                <w:rFonts w:ascii="Palatino Linotype" w:hAnsi="Palatino Linotype"/>
                <w:color w:val="000000" w:themeColor="text1"/>
                <w:sz w:val="20"/>
                <w:szCs w:val="20"/>
              </w:rPr>
              <w:footnoteReference w:id="423"/>
            </w:r>
            <w:r w:rsidRPr="00BE4685">
              <w:rPr>
                <w:rFonts w:ascii="Palatino Linotype" w:hAnsi="Palatino Linotype" w:eastAsia="Palatino Linotype" w:cs="Palatino Linotype"/>
                <w:color w:val="000000" w:themeColor="text1"/>
                <w:sz w:val="20"/>
                <w:szCs w:val="20"/>
              </w:rPr>
              <w:t xml:space="preserve"> SoCalGas lists potential metrics for tracking and evaluating quantitative impacts for each Initiative, including: </w:t>
            </w:r>
          </w:p>
          <w:p w:rsidRPr="00BE4685" w:rsidR="001E4CE1" w:rsidP="001E4CE1" w:rsidRDefault="001E4CE1" w14:paraId="44CE4A73" w14:textId="77777777">
            <w:pPr>
              <w:pStyle w:val="ListParagraph"/>
              <w:numPr>
                <w:ilvl w:val="0"/>
                <w:numId w:val="89"/>
              </w:numPr>
              <w:rPr>
                <w:rFonts w:ascii="Palatino Linotype" w:hAnsi="Palatino Linotype" w:eastAsia="Palatino Linotype" w:cs="Palatino Linotype"/>
                <w:color w:val="000000" w:themeColor="text1"/>
                <w:sz w:val="20"/>
                <w:szCs w:val="20"/>
                <w:u w:val="single"/>
              </w:rPr>
            </w:pPr>
            <w:r w:rsidRPr="00BE4685">
              <w:rPr>
                <w:rFonts w:ascii="Palatino Linotype" w:hAnsi="Palatino Linotype" w:eastAsia="Palatino Linotype" w:cs="Palatino Linotype"/>
                <w:color w:val="000000" w:themeColor="text1"/>
                <w:sz w:val="20"/>
                <w:szCs w:val="20"/>
                <w:u w:val="single"/>
              </w:rPr>
              <w:t>Environment &amp; Safety</w:t>
            </w:r>
            <w:r w:rsidRPr="00BE4685">
              <w:rPr>
                <w:rFonts w:ascii="Palatino Linotype" w:hAnsi="Palatino Linotype" w:eastAsia="Palatino Linotype" w:cs="Palatino Linotype"/>
                <w:color w:val="000000" w:themeColor="text1"/>
                <w:sz w:val="20"/>
                <w:szCs w:val="20"/>
              </w:rPr>
              <w:t>: Reduced GHG emissions, measured in metric tons of CO2e.</w:t>
            </w:r>
            <w:r w:rsidRPr="00BE4685">
              <w:rPr>
                <w:rStyle w:val="FootnoteReference"/>
                <w:rFonts w:ascii="Palatino Linotype" w:hAnsi="Palatino Linotype" w:eastAsia="Palatino Linotype" w:cs="Palatino Linotype"/>
                <w:color w:val="000000" w:themeColor="text1"/>
                <w:sz w:val="20"/>
                <w:szCs w:val="20"/>
              </w:rPr>
              <w:footnoteReference w:id="424"/>
            </w:r>
          </w:p>
          <w:p w:rsidRPr="00BE4685" w:rsidR="001E4CE1" w:rsidP="001E4CE1" w:rsidRDefault="001E4CE1" w14:paraId="390AFC0A" w14:textId="77777777">
            <w:pPr>
              <w:pStyle w:val="ListParagraph"/>
              <w:numPr>
                <w:ilvl w:val="0"/>
                <w:numId w:val="89"/>
              </w:numPr>
              <w:spacing w:before="240" w:after="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System Inspection &amp; Monitoring</w:t>
            </w:r>
            <w:r w:rsidRPr="00BE4685">
              <w:rPr>
                <w:rFonts w:ascii="Palatino Linotype" w:hAnsi="Palatino Linotype" w:eastAsia="Palatino Linotype" w:cs="Palatino Linotype"/>
                <w:color w:val="000000" w:themeColor="text1"/>
                <w:sz w:val="20"/>
                <w:szCs w:val="20"/>
              </w:rPr>
              <w:t xml:space="preserve">: Reduced inspection, maintenance and repair </w:t>
            </w:r>
            <w:r w:rsidRPr="00BE4685">
              <w:rPr>
                <w:rFonts w:ascii="Palatino Linotype" w:hAnsi="Palatino Linotype" w:eastAsia="Palatino Linotype" w:cs="Palatino Linotype"/>
                <w:sz w:val="20"/>
                <w:szCs w:val="20"/>
              </w:rPr>
              <w:t>costs.</w:t>
            </w:r>
            <w:r w:rsidRPr="00BE4685">
              <w:rPr>
                <w:rStyle w:val="FootnoteReference"/>
                <w:rFonts w:ascii="Palatino Linotype" w:hAnsi="Palatino Linotype" w:eastAsia="Palatino Linotype" w:cs="Palatino Linotype"/>
                <w:sz w:val="20"/>
                <w:szCs w:val="20"/>
              </w:rPr>
              <w:footnoteReference w:id="425"/>
            </w:r>
          </w:p>
          <w:p w:rsidRPr="00BE4685" w:rsidR="001E4CE1" w:rsidP="001E4CE1" w:rsidRDefault="001E4CE1" w14:paraId="7573D270" w14:textId="77777777">
            <w:pPr>
              <w:pStyle w:val="ListParagraph"/>
              <w:numPr>
                <w:ilvl w:val="0"/>
                <w:numId w:val="89"/>
              </w:numPr>
              <w:spacing w:before="240" w:after="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Community Impact &amp; Energy Conservation</w:t>
            </w:r>
            <w:r w:rsidRPr="00BE4685">
              <w:rPr>
                <w:rFonts w:ascii="Palatino Linotype" w:hAnsi="Palatino Linotype" w:eastAsia="Palatino Linotype" w:cs="Palatino Linotype"/>
                <w:color w:val="000000" w:themeColor="text1"/>
                <w:sz w:val="20"/>
                <w:szCs w:val="20"/>
              </w:rPr>
              <w:t>: Reduced energy usage and repair and maintenance costs.</w:t>
            </w:r>
            <w:r w:rsidRPr="00BE4685">
              <w:rPr>
                <w:rStyle w:val="FootnoteReference"/>
                <w:rFonts w:ascii="Palatino Linotype" w:hAnsi="Palatino Linotype" w:eastAsia="Palatino Linotype" w:cs="Palatino Linotype"/>
                <w:color w:val="000000" w:themeColor="text1"/>
                <w:sz w:val="20"/>
                <w:szCs w:val="20"/>
              </w:rPr>
              <w:footnoteReference w:id="426"/>
            </w:r>
          </w:p>
          <w:p w:rsidRPr="00BE4685" w:rsidR="001E4CE1" w:rsidP="001E4CE1" w:rsidRDefault="001E4CE1" w14:paraId="775D0579" w14:textId="77777777">
            <w:pPr>
              <w:pStyle w:val="ListParagraph"/>
              <w:numPr>
                <w:ilvl w:val="0"/>
                <w:numId w:val="89"/>
              </w:numPr>
              <w:spacing w:before="240" w:after="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System Design &amp; Materials</w:t>
            </w:r>
            <w:r w:rsidRPr="00BE4685">
              <w:rPr>
                <w:rFonts w:ascii="Palatino Linotype" w:hAnsi="Palatino Linotype" w:eastAsia="Palatino Linotype" w:cs="Palatino Linotype"/>
                <w:color w:val="000000" w:themeColor="text1"/>
                <w:sz w:val="20"/>
                <w:szCs w:val="20"/>
              </w:rPr>
              <w:t>: Reduced failures caused by material degradation and third-party damage.</w:t>
            </w:r>
            <w:r w:rsidRPr="00BE4685">
              <w:rPr>
                <w:rStyle w:val="FootnoteReference"/>
                <w:rFonts w:ascii="Palatino Linotype" w:hAnsi="Palatino Linotype" w:eastAsia="Palatino Linotype" w:cs="Palatino Linotype"/>
                <w:color w:val="000000" w:themeColor="text1"/>
                <w:sz w:val="20"/>
                <w:szCs w:val="20"/>
              </w:rPr>
              <w:footnoteReference w:id="427"/>
            </w:r>
          </w:p>
          <w:p w:rsidRPr="00BE4685" w:rsidR="001E4CE1" w:rsidP="001E4CE1" w:rsidRDefault="001E4CE1" w14:paraId="46A7FDA6" w14:textId="77777777">
            <w:pPr>
              <w:pStyle w:val="ListParagraph"/>
              <w:numPr>
                <w:ilvl w:val="0"/>
                <w:numId w:val="89"/>
              </w:numPr>
              <w:rPr>
                <w:rFonts w:ascii="Palatino Linotype" w:hAnsi="Palatino Linotype" w:eastAsia="Palatino Linotype" w:cs="Palatino Linotype"/>
                <w:color w:val="000000" w:themeColor="text1"/>
                <w:sz w:val="20"/>
                <w:szCs w:val="20"/>
                <w:u w:val="single"/>
              </w:rPr>
            </w:pPr>
            <w:r w:rsidRPr="00BE4685">
              <w:rPr>
                <w:rFonts w:ascii="Palatino Linotype" w:hAnsi="Palatino Linotype" w:eastAsia="Palatino Linotype" w:cs="Palatino Linotype"/>
                <w:color w:val="000000" w:themeColor="text1"/>
                <w:sz w:val="20"/>
                <w:szCs w:val="20"/>
                <w:u w:val="single"/>
              </w:rPr>
              <w:t>RNG Infrastructure Optimization</w:t>
            </w:r>
            <w:r w:rsidRPr="00BE4685">
              <w:rPr>
                <w:rFonts w:ascii="Palatino Linotype" w:hAnsi="Palatino Linotype" w:eastAsia="Palatino Linotype" w:cs="Palatino Linotype"/>
                <w:color w:val="000000" w:themeColor="text1"/>
                <w:sz w:val="20"/>
                <w:szCs w:val="20"/>
              </w:rPr>
              <w:t>: Reduced</w:t>
            </w:r>
            <w:r w:rsidRPr="00BE4685">
              <w:rPr>
                <w:rFonts w:ascii="Palatino Linotype" w:hAnsi="Palatino Linotype" w:eastAsia="Palatino Linotype" w:cs="Palatino Linotype"/>
                <w:color w:val="000000" w:themeColor="text1"/>
                <w:sz w:val="20"/>
                <w:szCs w:val="20"/>
                <w:u w:val="single"/>
              </w:rPr>
              <w:t xml:space="preserve"> </w:t>
            </w:r>
            <w:r w:rsidRPr="00BE4685">
              <w:rPr>
                <w:rFonts w:ascii="Palatino Linotype" w:hAnsi="Palatino Linotype" w:eastAsia="Palatino Linotype" w:cs="Palatino Linotype"/>
                <w:color w:val="000000" w:themeColor="text1"/>
                <w:sz w:val="20"/>
                <w:szCs w:val="20"/>
              </w:rPr>
              <w:t>fabrication, interconnection and operations and maintenance costs, brought by fewer change orders, shorter schedules and standardization</w:t>
            </w:r>
            <w:r w:rsidRPr="00BE4685">
              <w:rPr>
                <w:rFonts w:ascii="Palatino Linotype" w:hAnsi="Palatino Linotype"/>
                <w:color w:val="000000" w:themeColor="text1"/>
                <w:sz w:val="20"/>
                <w:szCs w:val="20"/>
              </w:rPr>
              <w:t>.</w:t>
            </w:r>
            <w:r w:rsidRPr="00BE4685">
              <w:rPr>
                <w:rStyle w:val="FootnoteReference"/>
                <w:rFonts w:ascii="Palatino Linotype" w:hAnsi="Palatino Linotype"/>
                <w:color w:val="000000" w:themeColor="text1"/>
                <w:sz w:val="20"/>
                <w:szCs w:val="20"/>
              </w:rPr>
              <w:footnoteReference w:id="428"/>
            </w:r>
          </w:p>
          <w:p w:rsidRPr="00BE4685" w:rsidR="001E4CE1" w:rsidP="001E4CE1" w:rsidRDefault="001E4CE1" w14:paraId="35BAAB89" w14:textId="77777777">
            <w:pPr>
              <w:pStyle w:val="ListParagraph"/>
              <w:numPr>
                <w:ilvl w:val="0"/>
                <w:numId w:val="89"/>
              </w:numPr>
              <w:rPr>
                <w:rFonts w:ascii="Palatino Linotype" w:hAnsi="Palatino Linotype"/>
                <w:color w:val="000000" w:themeColor="text1"/>
                <w:sz w:val="20"/>
                <w:szCs w:val="20"/>
                <w:u w:val="single"/>
              </w:rPr>
            </w:pPr>
            <w:r w:rsidRPr="00BE4685">
              <w:rPr>
                <w:rFonts w:ascii="Palatino Linotype" w:hAnsi="Palatino Linotype" w:eastAsia="Palatino Linotype" w:cs="Palatino Linotype"/>
                <w:color w:val="000000" w:themeColor="text1"/>
                <w:sz w:val="20"/>
                <w:szCs w:val="20"/>
                <w:u w:val="single"/>
              </w:rPr>
              <w:t>Low-Carbon Fuel Technologies:</w:t>
            </w:r>
            <w:r w:rsidRPr="00BE4685">
              <w:rPr>
                <w:rFonts w:ascii="Palatino Linotype" w:hAnsi="Palatino Linotype" w:eastAsia="Palatino Linotype" w:cs="Palatino Linotype"/>
                <w:color w:val="000000" w:themeColor="text1"/>
                <w:sz w:val="20"/>
                <w:szCs w:val="20"/>
              </w:rPr>
              <w:t xml:space="preserve"> Reduced capital, operations and maintenance, and fuel costs by improving upgrading efficiency and simplifying system design.</w:t>
            </w:r>
            <w:r w:rsidRPr="00BE4685">
              <w:rPr>
                <w:rStyle w:val="FootnoteReference"/>
                <w:rFonts w:ascii="Palatino Linotype" w:hAnsi="Palatino Linotype" w:eastAsia="Palatino Linotype" w:cs="Palatino Linotype"/>
                <w:color w:val="000000" w:themeColor="text1"/>
                <w:sz w:val="20"/>
                <w:szCs w:val="20"/>
              </w:rPr>
              <w:footnoteReference w:id="429"/>
            </w:r>
          </w:p>
          <w:p w:rsidRPr="00BE4685" w:rsidR="001E4CE1" w:rsidP="001E4CE1" w:rsidRDefault="001E4CE1" w14:paraId="555385A1" w14:textId="77777777">
            <w:pPr>
              <w:pStyle w:val="ListParagraph"/>
              <w:numPr>
                <w:ilvl w:val="0"/>
                <w:numId w:val="89"/>
              </w:numPr>
              <w:rPr>
                <w:rFonts w:ascii="Palatino Linotype" w:hAnsi="Palatino Linotype"/>
                <w:color w:val="000000" w:themeColor="text1"/>
                <w:sz w:val="20"/>
                <w:szCs w:val="20"/>
                <w:u w:val="single"/>
              </w:rPr>
            </w:pPr>
            <w:r w:rsidRPr="00BE4685">
              <w:rPr>
                <w:rFonts w:ascii="Palatino Linotype" w:hAnsi="Palatino Linotype" w:eastAsia="Palatino Linotype" w:cs="Palatino Linotype"/>
                <w:color w:val="000000" w:themeColor="text1"/>
                <w:sz w:val="20"/>
                <w:szCs w:val="20"/>
                <w:u w:val="single"/>
              </w:rPr>
              <w:t>Energy Reliability &amp; Resilience</w:t>
            </w:r>
            <w:r w:rsidRPr="00BE4685">
              <w:rPr>
                <w:rFonts w:ascii="Palatino Linotype" w:hAnsi="Palatino Linotype" w:eastAsia="Palatino Linotype" w:cs="Palatino Linotype"/>
                <w:color w:val="000000" w:themeColor="text1"/>
                <w:sz w:val="20"/>
                <w:szCs w:val="20"/>
              </w:rPr>
              <w:t>: Reduced criteria pollutant emissions.</w:t>
            </w:r>
            <w:r w:rsidRPr="00BE4685">
              <w:rPr>
                <w:rStyle w:val="FootnoteReference"/>
                <w:rFonts w:ascii="Palatino Linotype" w:hAnsi="Palatino Linotype" w:eastAsia="Palatino Linotype" w:cs="Palatino Linotype"/>
                <w:color w:val="000000" w:themeColor="text1"/>
                <w:sz w:val="20"/>
                <w:szCs w:val="20"/>
              </w:rPr>
              <w:footnoteReference w:id="430"/>
            </w:r>
          </w:p>
          <w:p w:rsidRPr="00BE4685" w:rsidR="001E4CE1" w:rsidP="001E4CE1" w:rsidRDefault="001E4CE1" w14:paraId="003A49AF" w14:textId="77777777">
            <w:pPr>
              <w:pStyle w:val="ListParagraph"/>
              <w:numPr>
                <w:ilvl w:val="0"/>
                <w:numId w:val="89"/>
              </w:numPr>
              <w:rPr>
                <w:rFonts w:ascii="Palatino Linotype" w:hAnsi="Palatino Linotype"/>
                <w:color w:val="000000" w:themeColor="text1"/>
                <w:sz w:val="20"/>
                <w:szCs w:val="20"/>
                <w:u w:val="single"/>
              </w:rPr>
            </w:pPr>
            <w:r w:rsidRPr="00BE4685">
              <w:rPr>
                <w:rFonts w:ascii="Palatino Linotype" w:hAnsi="Palatino Linotype" w:eastAsia="Palatino Linotype" w:cs="Palatino Linotype"/>
                <w:color w:val="000000" w:themeColor="text1"/>
                <w:sz w:val="20"/>
                <w:szCs w:val="20"/>
                <w:u w:val="single"/>
              </w:rPr>
              <w:t>Building &amp; Facility Systems</w:t>
            </w:r>
            <w:r w:rsidRPr="00BE4685">
              <w:rPr>
                <w:rFonts w:ascii="Palatino Linotype" w:hAnsi="Palatino Linotype" w:eastAsia="Palatino Linotype" w:cs="Palatino Linotype"/>
                <w:color w:val="000000" w:themeColor="text1"/>
                <w:sz w:val="20"/>
                <w:szCs w:val="20"/>
              </w:rPr>
              <w:t>: Reduced energy consumption, operational expenses, and waste generation.</w:t>
            </w:r>
            <w:r w:rsidRPr="00BE4685">
              <w:rPr>
                <w:rStyle w:val="FootnoteReference"/>
                <w:rFonts w:ascii="Palatino Linotype" w:hAnsi="Palatino Linotype" w:eastAsia="Palatino Linotype" w:cs="Palatino Linotype"/>
                <w:color w:val="000000" w:themeColor="text1"/>
                <w:sz w:val="20"/>
                <w:szCs w:val="20"/>
              </w:rPr>
              <w:footnoteReference w:id="431"/>
            </w:r>
            <w:r w:rsidRPr="00BE4685">
              <w:rPr>
                <w:rFonts w:ascii="Palatino Linotype" w:hAnsi="Palatino Linotype" w:eastAsia="Palatino Linotype" w:cs="Palatino Linotype"/>
                <w:color w:val="000000" w:themeColor="text1"/>
                <w:sz w:val="20"/>
                <w:szCs w:val="20"/>
              </w:rPr>
              <w:t xml:space="preserve"> </w:t>
            </w:r>
          </w:p>
        </w:tc>
        <w:tc>
          <w:tcPr>
            <w:tcW w:w="3600" w:type="dxa"/>
          </w:tcPr>
          <w:p w:rsidRPr="00BE4685" w:rsidR="001E4CE1" w:rsidRDefault="001E4CE1" w14:paraId="57296A08"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describes anticipated ratepayer benefits and defines appropriate metrics for conducting impact analyses attributable to each Initiative. </w:t>
            </w:r>
            <w:r w:rsidRPr="00BE4685">
              <w:rPr>
                <w:rFonts w:ascii="Palatino Linotype" w:hAnsi="Palatino Linotype"/>
                <w:b/>
                <w:color w:val="000000" w:themeColor="text1"/>
                <w:sz w:val="20"/>
                <w:szCs w:val="20"/>
              </w:rPr>
              <w:t>SoCalGas is compliant with this requirement.</w:t>
            </w:r>
          </w:p>
          <w:p w:rsidRPr="00BE4685" w:rsidR="001E4CE1" w:rsidRDefault="001E4CE1" w14:paraId="6AD59C3B" w14:textId="77777777">
            <w:pPr>
              <w:spacing w:before="240"/>
              <w:rPr>
                <w:rFonts w:ascii="Palatino Linotype" w:hAnsi="Palatino Linotype" w:eastAsia="Palatino Linotype" w:cs="Palatino Linotype"/>
                <w:color w:val="4C94D8" w:themeColor="text2" w:themeTint="80"/>
                <w:sz w:val="20"/>
                <w:szCs w:val="20"/>
              </w:rPr>
            </w:pPr>
            <w:r w:rsidRPr="00BE4685">
              <w:rPr>
                <w:rFonts w:ascii="Palatino Linotype" w:hAnsi="Palatino Linotype"/>
                <w:color w:val="000000" w:themeColor="text1"/>
                <w:sz w:val="20"/>
                <w:szCs w:val="20"/>
              </w:rPr>
              <w:t xml:space="preserve">However, SoCalGas </w:t>
            </w:r>
            <w:proofErr w:type="gramStart"/>
            <w:r w:rsidRPr="00BE4685">
              <w:rPr>
                <w:rFonts w:ascii="Palatino Linotype" w:hAnsi="Palatino Linotype"/>
                <w:color w:val="000000" w:themeColor="text1"/>
                <w:sz w:val="20"/>
                <w:szCs w:val="20"/>
              </w:rPr>
              <w:t>shall</w:t>
            </w:r>
            <w:proofErr w:type="gramEnd"/>
            <w:r w:rsidRPr="00BE4685">
              <w:rPr>
                <w:rFonts w:ascii="Palatino Linotype" w:hAnsi="Palatino Linotype"/>
                <w:color w:val="000000" w:themeColor="text1"/>
                <w:sz w:val="20"/>
                <w:szCs w:val="20"/>
              </w:rPr>
              <w:t xml:space="preserve"> clearly articulate impact analyses resulting from the </w:t>
            </w:r>
            <w:proofErr w:type="gramStart"/>
            <w:r w:rsidRPr="00BE4685">
              <w:rPr>
                <w:rFonts w:ascii="Palatino Linotype" w:hAnsi="Palatino Linotype"/>
                <w:color w:val="000000" w:themeColor="text1"/>
                <w:sz w:val="20"/>
                <w:szCs w:val="20"/>
              </w:rPr>
              <w:t>described methods</w:t>
            </w:r>
            <w:proofErr w:type="gramEnd"/>
            <w:r w:rsidRPr="00BE4685">
              <w:rPr>
                <w:rFonts w:ascii="Palatino Linotype" w:hAnsi="Palatino Linotype"/>
                <w:color w:val="000000" w:themeColor="text1"/>
                <w:sz w:val="20"/>
                <w:szCs w:val="20"/>
              </w:rPr>
              <w:t xml:space="preserve"> in addition to lessons learned in project reports and Annual Reports.</w:t>
            </w:r>
            <w:r w:rsidRPr="00BE4685">
              <w:rPr>
                <w:rStyle w:val="FootnoteReference"/>
                <w:rFonts w:ascii="Palatino Linotype" w:hAnsi="Palatino Linotype"/>
                <w:color w:val="000000" w:themeColor="text1"/>
                <w:sz w:val="20"/>
                <w:szCs w:val="20"/>
              </w:rPr>
              <w:footnoteReference w:id="432"/>
            </w:r>
          </w:p>
        </w:tc>
      </w:tr>
      <w:tr w:rsidRPr="00BE4685" w:rsidR="001E4CE1" w14:paraId="2FA4858E" w14:textId="77777777">
        <w:trPr>
          <w:trHeight w:val="638"/>
          <w:tblHeader/>
        </w:trPr>
        <w:tc>
          <w:tcPr>
            <w:tcW w:w="3744" w:type="dxa"/>
          </w:tcPr>
          <w:p w:rsidRPr="00BE4685" w:rsidR="001E4CE1" w:rsidRDefault="001E4CE1" w14:paraId="290FFF7B" w14:textId="77777777">
            <w:pPr>
              <w:rPr>
                <w:rFonts w:ascii="Palatino Linotype" w:hAnsi="Palatino Linotype" w:eastAsia="Palatino Linotype" w:cs="Palatino Linotype"/>
                <w:color w:val="0070C0"/>
                <w:sz w:val="20"/>
                <w:szCs w:val="20"/>
              </w:rPr>
            </w:pPr>
            <w:r w:rsidRPr="00BE4685">
              <w:rPr>
                <w:rFonts w:ascii="Palatino Linotype" w:hAnsi="Palatino Linotype"/>
                <w:b/>
                <w:sz w:val="20"/>
                <w:szCs w:val="20"/>
              </w:rPr>
              <w:lastRenderedPageBreak/>
              <w:t xml:space="preserve">[20] </w:t>
            </w:r>
            <w:hyperlink w:tgtFrame="_blank" w:history="1" r:id="rId132">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iCs/>
                <w:sz w:val="20"/>
                <w:szCs w:val="20"/>
              </w:rPr>
              <w:t>In its 2024 Gas [RD&amp;D] Plan and beyond, [</w:t>
            </w:r>
            <w:r w:rsidRPr="00BE4685">
              <w:rPr>
                <w:rFonts w:ascii="Palatino Linotype" w:hAnsi="Palatino Linotype" w:eastAsia="Palatino Linotype" w:cs="Palatino Linotype"/>
                <w:i/>
                <w:iCs/>
                <w:color w:val="000000" w:themeColor="text1"/>
                <w:sz w:val="20"/>
                <w:szCs w:val="20"/>
              </w:rPr>
              <w:t>SoCalGas</w:t>
            </w:r>
            <w:r w:rsidRPr="00BE4685">
              <w:rPr>
                <w:rFonts w:ascii="Palatino Linotype" w:hAnsi="Palatino Linotype"/>
                <w:i/>
                <w:iCs/>
                <w:sz w:val="20"/>
                <w:szCs w:val="20"/>
              </w:rPr>
              <w:t xml:space="preserve">] shall: Use the Disadvantaged Communities Advisory Group’s (DACAG) Equity Framework for guidance on how to develop research projects that benefit Environmental and Social Justice (ESJ) communities as well as engage with disadvantaged, low-income, and tribal communities. SoCalGas shall demonstrate in its research plan how it applied </w:t>
            </w:r>
            <w:proofErr w:type="gramStart"/>
            <w:r w:rsidRPr="00BE4685">
              <w:rPr>
                <w:rFonts w:ascii="Palatino Linotype" w:hAnsi="Palatino Linotype"/>
                <w:i/>
                <w:iCs/>
                <w:sz w:val="20"/>
                <w:szCs w:val="20"/>
              </w:rPr>
              <w:t>the DACAG’s</w:t>
            </w:r>
            <w:proofErr w:type="gramEnd"/>
            <w:r w:rsidRPr="00BE4685">
              <w:rPr>
                <w:rFonts w:ascii="Palatino Linotype" w:hAnsi="Palatino Linotype"/>
                <w:i/>
                <w:iCs/>
                <w:sz w:val="20"/>
                <w:szCs w:val="20"/>
              </w:rPr>
              <w:t xml:space="preserve"> Equity Framework and offer to brief DACAG members on its annual gas [RD&amp;D] proposals. Further, SoCalGas shall describe the benefits and impacts of its RD&amp;D work in ESJ communities in its annual Plan.</w:t>
            </w:r>
            <w:r w:rsidRPr="00BE4685">
              <w:rPr>
                <w:rFonts w:ascii="Palatino Linotype" w:hAnsi="Palatino Linotype" w:eastAsia="Palatino Linotype" w:cs="Palatino Linotype"/>
                <w:color w:val="0070C0"/>
                <w:sz w:val="20"/>
                <w:szCs w:val="20"/>
              </w:rPr>
              <w:t xml:space="preserve"> </w:t>
            </w:r>
          </w:p>
          <w:p w:rsidRPr="00BE4685" w:rsidR="001E4CE1" w:rsidRDefault="001E4CE1" w14:paraId="65C8CC93" w14:textId="77777777">
            <w:pPr>
              <w:rPr>
                <w:rFonts w:ascii="Palatino Linotype" w:hAnsi="Palatino Linotype" w:eastAsia="Palatino Linotype" w:cs="Palatino Linotype"/>
                <w:color w:val="0070C0"/>
                <w:sz w:val="20"/>
                <w:szCs w:val="20"/>
              </w:rPr>
            </w:pPr>
          </w:p>
          <w:p w:rsidRPr="00BE4685" w:rsidR="001E4CE1" w:rsidRDefault="001E4CE1" w14:paraId="635D1AC3" w14:textId="77777777">
            <w:pPr>
              <w:rPr>
                <w:rFonts w:ascii="Palatino Linotype" w:hAnsi="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See also: [18] on integration of public stakeholder feedback, including an ESJ Advisory Panel. </w:t>
            </w:r>
          </w:p>
        </w:tc>
        <w:tc>
          <w:tcPr>
            <w:tcW w:w="6912" w:type="dxa"/>
          </w:tcPr>
          <w:p w:rsidRPr="00BE4685" w:rsidR="001E4CE1" w:rsidRDefault="001E4CE1" w14:paraId="05D8923F"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w:t>
            </w:r>
            <w:r w:rsidRPr="00BE4685">
              <w:rPr>
                <w:rFonts w:ascii="Palatino Linotype" w:hAnsi="Palatino Linotype" w:eastAsia="Palatino Linotype" w:cs="Palatino Linotype"/>
                <w:sz w:val="20"/>
                <w:szCs w:val="20"/>
              </w:rPr>
              <w:t xml:space="preserve"> states that its 2026 Plan projects “align with the Disadvantaged Communities Advisory Group (DACAG) Equity Framework and benefit ESJ communities...by embedding the framework’s guiding principles into project selection, design, implemen</w:t>
            </w:r>
            <w:r w:rsidRPr="00BE4685">
              <w:rPr>
                <w:rFonts w:ascii="Palatino Linotype" w:hAnsi="Palatino Linotype" w:eastAsia="Palatino Linotype" w:cs="Palatino Linotype"/>
                <w:color w:val="000000" w:themeColor="text1"/>
                <w:sz w:val="20"/>
                <w:szCs w:val="20"/>
              </w:rPr>
              <w:t>tation, and evaluation.”</w:t>
            </w:r>
            <w:r w:rsidRPr="00BE4685">
              <w:rPr>
                <w:rStyle w:val="FootnoteReference"/>
                <w:rFonts w:ascii="Palatino Linotype" w:hAnsi="Palatino Linotype" w:eastAsia="Palatino Linotype" w:cs="Palatino Linotype"/>
                <w:color w:val="000000" w:themeColor="text1"/>
                <w:sz w:val="20"/>
                <w:szCs w:val="20"/>
              </w:rPr>
              <w:footnoteReference w:id="433"/>
            </w:r>
            <w:r w:rsidRPr="00BE4685">
              <w:rPr>
                <w:rFonts w:ascii="Palatino Linotype" w:hAnsi="Palatino Linotype" w:eastAsia="Palatino Linotype" w:cs="Palatino Linotype"/>
                <w:color w:val="000000" w:themeColor="text1"/>
                <w:sz w:val="20"/>
                <w:szCs w:val="20"/>
              </w:rPr>
              <w:t xml:space="preserve"> SoCalGas describes outreach to the DACAG, including briefing them on March 20, 2026, to share its proposed Plan and solicit input.</w:t>
            </w:r>
            <w:r w:rsidRPr="00BE4685">
              <w:rPr>
                <w:rFonts w:ascii="Palatino Linotype" w:hAnsi="Palatino Linotype"/>
                <w:color w:val="000000" w:themeColor="text1"/>
                <w:sz w:val="20"/>
                <w:szCs w:val="20"/>
              </w:rPr>
              <w:t xml:space="preserve"> </w:t>
            </w:r>
            <w:r w:rsidRPr="00BE4685">
              <w:rPr>
                <w:rFonts w:ascii="Palatino Linotype" w:hAnsi="Palatino Linotype" w:eastAsia="Palatino Linotype" w:cs="Palatino Linotype"/>
                <w:color w:val="000000" w:themeColor="text1"/>
                <w:sz w:val="20"/>
                <w:szCs w:val="20"/>
              </w:rPr>
              <w:t>SoCalGas reports that the DACAG members raised several concerns, although not all were related to Initiatives. SoCalGas states that Key Takeaways were:</w:t>
            </w:r>
          </w:p>
          <w:p w:rsidRPr="00BE4685" w:rsidR="001E4CE1" w:rsidP="001E4CE1" w:rsidRDefault="001E4CE1" w14:paraId="606F2179" w14:textId="77777777">
            <w:pPr>
              <w:pStyle w:val="ListParagraph"/>
              <w:numPr>
                <w:ilvl w:val="0"/>
                <w:numId w:val="80"/>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Strong concern about overreliance on RNG.</w:t>
            </w:r>
          </w:p>
          <w:p w:rsidRPr="00BE4685" w:rsidR="001E4CE1" w:rsidP="001E4CE1" w:rsidRDefault="001E4CE1" w14:paraId="22640DB4" w14:textId="77777777">
            <w:pPr>
              <w:pStyle w:val="ListParagraph"/>
              <w:numPr>
                <w:ilvl w:val="0"/>
                <w:numId w:val="80"/>
              </w:num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Electrification should be considered alongside pipeline repair.</w:t>
            </w:r>
          </w:p>
          <w:p w:rsidRPr="00BE4685" w:rsidR="001E4CE1" w:rsidP="001E4CE1" w:rsidRDefault="001E4CE1" w14:paraId="736E77B2" w14:textId="77777777">
            <w:pPr>
              <w:pStyle w:val="ListParagraph"/>
              <w:numPr>
                <w:ilvl w:val="0"/>
                <w:numId w:val="80"/>
              </w:num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Leak detection and transparency are critical.</w:t>
            </w:r>
          </w:p>
          <w:p w:rsidRPr="00BE4685" w:rsidR="001E4CE1" w:rsidP="001E4CE1" w:rsidRDefault="001E4CE1" w14:paraId="6FF2E88A" w14:textId="77777777">
            <w:pPr>
              <w:pStyle w:val="ListParagraph"/>
              <w:numPr>
                <w:ilvl w:val="0"/>
                <w:numId w:val="80"/>
              </w:num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Equity, health, and community </w:t>
            </w:r>
            <w:proofErr w:type="gramStart"/>
            <w:r w:rsidRPr="00BE4685">
              <w:rPr>
                <w:rFonts w:ascii="Palatino Linotype" w:hAnsi="Palatino Linotype" w:eastAsia="Palatino Linotype" w:cs="Palatino Linotype"/>
                <w:color w:val="000000" w:themeColor="text1"/>
                <w:sz w:val="20"/>
                <w:szCs w:val="20"/>
              </w:rPr>
              <w:t>impacts</w:t>
            </w:r>
            <w:proofErr w:type="gramEnd"/>
            <w:r w:rsidRPr="00BE4685">
              <w:rPr>
                <w:rFonts w:ascii="Palatino Linotype" w:hAnsi="Palatino Linotype" w:eastAsia="Palatino Linotype" w:cs="Palatino Linotype"/>
                <w:color w:val="000000" w:themeColor="text1"/>
                <w:sz w:val="20"/>
                <w:szCs w:val="20"/>
              </w:rPr>
              <w:t xml:space="preserve"> must be central.</w:t>
            </w:r>
          </w:p>
          <w:p w:rsidRPr="00BE4685" w:rsidR="001E4CE1" w:rsidP="001E4CE1" w:rsidRDefault="001E4CE1" w14:paraId="54CFE028" w14:textId="77777777">
            <w:pPr>
              <w:pStyle w:val="ListParagraph"/>
              <w:numPr>
                <w:ilvl w:val="0"/>
                <w:numId w:val="80"/>
              </w:num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Need for clarity on prioritization and stakeholder engagement.</w:t>
            </w:r>
            <w:r w:rsidRPr="00BE4685">
              <w:rPr>
                <w:rStyle w:val="FootnoteReference"/>
                <w:rFonts w:ascii="Palatino Linotype" w:hAnsi="Palatino Linotype" w:eastAsia="Palatino Linotype" w:cs="Palatino Linotype"/>
                <w:color w:val="000000" w:themeColor="text1"/>
                <w:sz w:val="20"/>
                <w:szCs w:val="20"/>
              </w:rPr>
              <w:footnoteReference w:id="434"/>
            </w:r>
          </w:p>
          <w:p w:rsidRPr="00BE4685" w:rsidR="001E4CE1" w:rsidRDefault="001E4CE1" w14:paraId="45D73945"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also provides an extensive discussion of benefits to disadvantaged communities in Section 8.6.4.2.</w:t>
            </w:r>
            <w:r w:rsidRPr="00BE4685">
              <w:rPr>
                <w:rStyle w:val="FootnoteReference"/>
                <w:rFonts w:ascii="Palatino Linotype" w:hAnsi="Palatino Linotype" w:eastAsia="Palatino Linotype" w:cs="Palatino Linotype"/>
                <w:color w:val="000000" w:themeColor="text1"/>
                <w:sz w:val="20"/>
                <w:szCs w:val="20"/>
              </w:rPr>
              <w:footnoteReference w:id="435"/>
            </w:r>
          </w:p>
        </w:tc>
        <w:tc>
          <w:tcPr>
            <w:tcW w:w="3600" w:type="dxa"/>
          </w:tcPr>
          <w:p w:rsidRPr="00BE4685" w:rsidR="001E4CE1" w:rsidRDefault="001E4CE1" w14:paraId="6CBCE4A1" w14:textId="77777777">
            <w:pPr>
              <w:rPr>
                <w:rFonts w:ascii="Palatino Linotype" w:hAnsi="Palatino Linotype" w:eastAsia="Palatino Linotype" w:cs="Palatino Linotype"/>
                <w:b/>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discusses its use of the DACAG Equity Framework and engagement of ESJ communities, particularly the DACAG, in the development of its 2026 Plan. </w:t>
            </w:r>
            <w:r w:rsidRPr="00BE4685">
              <w:rPr>
                <w:rFonts w:ascii="Palatino Linotype" w:hAnsi="Palatino Linotype" w:eastAsia="Palatino Linotype" w:cs="Palatino Linotype"/>
                <w:b/>
                <w:color w:val="000000" w:themeColor="text1"/>
                <w:sz w:val="20"/>
                <w:szCs w:val="20"/>
              </w:rPr>
              <w:t xml:space="preserve">SoCalGas is compliant with this requirement. </w:t>
            </w:r>
          </w:p>
          <w:p w:rsidRPr="00BE4685" w:rsidR="001E4CE1" w:rsidRDefault="001E4CE1" w14:paraId="259BE927" w14:textId="77777777">
            <w:pPr>
              <w:rPr>
                <w:rFonts w:ascii="Palatino Linotype" w:hAnsi="Palatino Linotype" w:eastAsia="Palatino Linotype" w:cs="Palatino Linotype"/>
                <w:b/>
                <w:color w:val="000000" w:themeColor="text1"/>
                <w:sz w:val="20"/>
                <w:szCs w:val="20"/>
              </w:rPr>
            </w:pPr>
          </w:p>
          <w:p w:rsidRPr="00BE4685" w:rsidR="001E4CE1" w:rsidRDefault="001E4CE1" w14:paraId="694C4FF6"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The Commission notes concerns voiced by stakeholders during </w:t>
            </w:r>
            <w:proofErr w:type="gramStart"/>
            <w:r w:rsidRPr="00BE4685">
              <w:rPr>
                <w:rFonts w:ascii="Palatino Linotype" w:hAnsi="Palatino Linotype" w:eastAsia="Palatino Linotype" w:cs="Palatino Linotype"/>
                <w:color w:val="000000" w:themeColor="text1"/>
                <w:sz w:val="20"/>
                <w:szCs w:val="20"/>
              </w:rPr>
              <w:t>the February</w:t>
            </w:r>
            <w:proofErr w:type="gramEnd"/>
            <w:r w:rsidRPr="00BE4685">
              <w:rPr>
                <w:rFonts w:ascii="Palatino Linotype" w:hAnsi="Palatino Linotype" w:eastAsia="Palatino Linotype" w:cs="Palatino Linotype"/>
                <w:color w:val="000000" w:themeColor="text1"/>
                <w:sz w:val="20"/>
                <w:szCs w:val="20"/>
              </w:rPr>
              <w:t xml:space="preserve"> 2026 Joint Administrator Workshop related to biomethane and RNG RD&amp;D activities. The Commission requires SoCalGas to seek out and consider input from ESJ communities in its strategic planning as well as in assessing and demonstrating benefits to these communities from RD&amp;D investments. Thus, the Commission directs SoCalGas, and any project contractor, to consult vulnerable communities, such as workers, tenants, &amp; frontline communities near gas facilities, on project siting to prevent exacerbating existing issues and inequities, particularly from projects with unknown impacts. SoCalGas should educate vulnerable communities on technologies as appropriate to address community concerns. Further, SoCalGas should summarize the concerns of communities and describe how these concerns are addressed in Annual </w:t>
            </w:r>
            <w:r w:rsidRPr="00BE4685">
              <w:rPr>
                <w:rFonts w:ascii="Palatino Linotype" w:hAnsi="Palatino Linotype" w:eastAsia="Palatino Linotype" w:cs="Palatino Linotype"/>
                <w:color w:val="000000" w:themeColor="text1"/>
                <w:sz w:val="20"/>
                <w:szCs w:val="20"/>
              </w:rPr>
              <w:lastRenderedPageBreak/>
              <w:t>Plans and correlated Annual Reports. Through this process, the Commission seeks to strategically leverage RD&amp;D funding to balance policy imperatives of innovation with community concerns and benefits, including in the CPUC’s Biomethane Procurement Cost Allocation proceeding.</w:t>
            </w:r>
            <w:r w:rsidRPr="00BE4685">
              <w:rPr>
                <w:rStyle w:val="FootnoteReference"/>
                <w:rFonts w:ascii="Palatino Linotype" w:hAnsi="Palatino Linotype" w:eastAsia="Palatino Linotype" w:cs="Palatino Linotype"/>
                <w:color w:val="000000" w:themeColor="text1"/>
                <w:sz w:val="20"/>
                <w:szCs w:val="20"/>
              </w:rPr>
              <w:footnoteReference w:id="436"/>
            </w:r>
          </w:p>
        </w:tc>
      </w:tr>
      <w:tr w:rsidRPr="00BE4685" w:rsidR="001E4CE1" w14:paraId="7800A91A" w14:textId="77777777">
        <w:trPr>
          <w:trHeight w:val="638"/>
          <w:tblHeader/>
        </w:trPr>
        <w:tc>
          <w:tcPr>
            <w:tcW w:w="3744" w:type="dxa"/>
          </w:tcPr>
          <w:p w:rsidRPr="00BE4685" w:rsidR="001E4CE1" w:rsidRDefault="001E4CE1" w14:paraId="55A475B9" w14:textId="77777777">
            <w:pPr>
              <w:rPr>
                <w:rFonts w:ascii="Palatino Linotype" w:hAnsi="Palatino Linotype"/>
                <w:i/>
                <w:iCs/>
                <w:sz w:val="20"/>
                <w:szCs w:val="20"/>
              </w:rPr>
            </w:pPr>
            <w:r w:rsidRPr="00BE4685">
              <w:rPr>
                <w:rFonts w:ascii="Palatino Linotype" w:hAnsi="Palatino Linotype"/>
                <w:b/>
                <w:sz w:val="20"/>
                <w:szCs w:val="20"/>
              </w:rPr>
              <w:lastRenderedPageBreak/>
              <w:t xml:space="preserve">[21] </w:t>
            </w:r>
            <w:hyperlink r:id="rId133">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iCs/>
                <w:sz w:val="20"/>
                <w:szCs w:val="20"/>
              </w:rPr>
              <w:t>In its 2024 Gas [RD&amp;D] Plan and beyond, [</w:t>
            </w:r>
            <w:r w:rsidRPr="00BE4685">
              <w:rPr>
                <w:rFonts w:ascii="Palatino Linotype" w:hAnsi="Palatino Linotype" w:eastAsia="Palatino Linotype" w:cs="Palatino Linotype"/>
                <w:i/>
                <w:iCs/>
                <w:color w:val="000000" w:themeColor="text1"/>
                <w:sz w:val="20"/>
                <w:szCs w:val="20"/>
              </w:rPr>
              <w:t>SoCalGas</w:t>
            </w:r>
            <w:r w:rsidRPr="00BE4685">
              <w:rPr>
                <w:rFonts w:ascii="Palatino Linotype" w:hAnsi="Palatino Linotype"/>
                <w:i/>
                <w:iCs/>
                <w:sz w:val="20"/>
                <w:szCs w:val="20"/>
              </w:rPr>
              <w:t>] shall: Demonstrate that it has consulted with ESJ communities in advance of developing research projects to ensure projects are effective in realizing benefits for ESJ communities. In its workshop to solicit stakeholder feedback on its future Gas RD&amp;D plans, SoCalGas shall consult with Energy Division in curating an ESJ community advisory workshop panel to be consulted in a public workshop prior to submitting its annual Gas RD&amp;D Plan to the Commission. SoCalGas shall explore compensation strategies for its advisory panel.</w:t>
            </w:r>
          </w:p>
          <w:p w:rsidRPr="00BE4685" w:rsidR="001E4CE1" w:rsidRDefault="001E4CE1" w14:paraId="21450B95" w14:textId="77777777">
            <w:pPr>
              <w:rPr>
                <w:rFonts w:ascii="Palatino Linotype" w:hAnsi="Palatino Linotype"/>
                <w:i/>
                <w:iCs/>
                <w:sz w:val="20"/>
                <w:szCs w:val="20"/>
              </w:rPr>
            </w:pPr>
          </w:p>
          <w:p w:rsidRPr="00BE4685" w:rsidR="001E4CE1" w:rsidRDefault="001E4CE1" w14:paraId="70DA10A4" w14:textId="77777777">
            <w:pPr>
              <w:rPr>
                <w:rFonts w:ascii="Palatino Linotype" w:hAnsi="Palatino Linotype"/>
                <w:i/>
                <w:color w:val="000000" w:themeColor="text1"/>
                <w:sz w:val="20"/>
                <w:szCs w:val="20"/>
              </w:rPr>
            </w:pPr>
            <w:r w:rsidRPr="00BE4685">
              <w:rPr>
                <w:rFonts w:ascii="Palatino Linotype" w:hAnsi="Palatino Linotype" w:eastAsia="Palatino Linotype" w:cs="Palatino Linotype"/>
                <w:color w:val="000000" w:themeColor="text1"/>
                <w:sz w:val="20"/>
                <w:szCs w:val="20"/>
              </w:rPr>
              <w:t>See also: [18] on integration of public stakeholder feedback, including an ESJ Advisory Panel. </w:t>
            </w:r>
          </w:p>
        </w:tc>
        <w:tc>
          <w:tcPr>
            <w:tcW w:w="6912" w:type="dxa"/>
          </w:tcPr>
          <w:p w:rsidRPr="00BE4685" w:rsidR="001E4CE1" w:rsidRDefault="001E4CE1" w14:paraId="78BD68A6"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states that it established an ESJ Advisory Panel for the 2026 Joint Gas R&amp;D Workshop through a coordinated effort with the CEC and PG&amp;E, stating that it “shall explore compensation strategies for its advisory panel.”</w:t>
            </w:r>
            <w:r w:rsidRPr="00BE4685">
              <w:rPr>
                <w:rStyle w:val="FootnoteReference"/>
                <w:rFonts w:ascii="Palatino Linotype" w:hAnsi="Palatino Linotype" w:eastAsia="Palatino Linotype" w:cs="Palatino Linotype"/>
                <w:color w:val="000000" w:themeColor="text1"/>
                <w:sz w:val="20"/>
                <w:szCs w:val="20"/>
              </w:rPr>
              <w:footnoteReference w:id="437"/>
            </w:r>
            <w:r w:rsidRPr="00BE4685">
              <w:rPr>
                <w:rFonts w:ascii="Palatino Linotype" w:hAnsi="Palatino Linotype" w:eastAsia="Palatino Linotype" w:cs="Palatino Linotype"/>
                <w:color w:val="000000" w:themeColor="text1"/>
                <w:sz w:val="20"/>
                <w:szCs w:val="20"/>
              </w:rPr>
              <w:t xml:space="preserve"> Three new workshop panel members were identified, along with a panel chair, to provide feedback and questions for discussion:</w:t>
            </w:r>
            <w:r w:rsidRPr="00BE4685">
              <w:rPr>
                <w:rStyle w:val="FootnoteReference"/>
                <w:rFonts w:ascii="Palatino Linotype" w:hAnsi="Palatino Linotype" w:eastAsia="Palatino Linotype" w:cs="Palatino Linotype"/>
                <w:color w:val="000000" w:themeColor="text1"/>
                <w:sz w:val="20"/>
                <w:szCs w:val="20"/>
              </w:rPr>
              <w:footnoteReference w:id="438"/>
            </w:r>
          </w:p>
          <w:p w:rsidRPr="00BE4685" w:rsidR="001E4CE1" w:rsidP="001E4CE1" w:rsidRDefault="001E4CE1" w14:paraId="156498ED" w14:textId="77777777">
            <w:pPr>
              <w:pStyle w:val="ListParagraph"/>
              <w:numPr>
                <w:ilvl w:val="0"/>
                <w:numId w:val="91"/>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Moderator: Ryan Young, Public Advisor, CEC</w:t>
            </w:r>
          </w:p>
          <w:p w:rsidRPr="00BE4685" w:rsidR="001E4CE1" w:rsidP="001E4CE1" w:rsidRDefault="001E4CE1" w14:paraId="4F4B6FDF" w14:textId="77777777">
            <w:pPr>
              <w:pStyle w:val="ListParagraph"/>
              <w:numPr>
                <w:ilvl w:val="0"/>
                <w:numId w:val="91"/>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Panelists:</w:t>
            </w:r>
          </w:p>
          <w:p w:rsidRPr="00BE4685" w:rsidR="001E4CE1" w:rsidP="001E4CE1" w:rsidRDefault="001E4CE1" w14:paraId="1C0FAB8F" w14:textId="77777777">
            <w:pPr>
              <w:pStyle w:val="ListParagraph"/>
              <w:numPr>
                <w:ilvl w:val="1"/>
                <w:numId w:val="91"/>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Alex Jasset, Director of Energy Justice, Physicians for Social Responsibility-Los Angeles (PSR-LA)</w:t>
            </w:r>
          </w:p>
          <w:p w:rsidRPr="00BE4685" w:rsidR="001E4CE1" w:rsidP="001E4CE1" w:rsidRDefault="001E4CE1" w14:paraId="203555DB" w14:textId="77777777">
            <w:pPr>
              <w:pStyle w:val="ListParagraph"/>
              <w:numPr>
                <w:ilvl w:val="1"/>
                <w:numId w:val="91"/>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Carmelita Kelly Miller, Energy Equity Strategist, The Greenlining Institute</w:t>
            </w:r>
          </w:p>
          <w:p w:rsidRPr="00BE4685" w:rsidR="001E4CE1" w:rsidP="001E4CE1" w:rsidRDefault="001E4CE1" w14:paraId="392B8248" w14:textId="77777777">
            <w:pPr>
              <w:pStyle w:val="ListParagraph"/>
              <w:numPr>
                <w:ilvl w:val="1"/>
                <w:numId w:val="91"/>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Sarah Sharpe, Deputy Executive Director, Central California Asthma Collaborative</w:t>
            </w:r>
          </w:p>
          <w:p w:rsidRPr="00BE4685" w:rsidR="001E4CE1" w:rsidRDefault="001E4CE1" w14:paraId="5531E82F"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provided a detailed discussion of issues raised relating to its 2026 Plan,</w:t>
            </w:r>
            <w:r w:rsidRPr="00BE4685">
              <w:rPr>
                <w:rStyle w:val="FootnoteReference"/>
                <w:rFonts w:ascii="Palatino Linotype" w:hAnsi="Palatino Linotype" w:eastAsia="Palatino Linotype" w:cs="Palatino Linotype"/>
                <w:color w:val="000000" w:themeColor="text1"/>
                <w:sz w:val="20"/>
                <w:szCs w:val="20"/>
              </w:rPr>
              <w:footnoteReference w:id="439"/>
            </w:r>
            <w:r w:rsidRPr="00BE4685">
              <w:rPr>
                <w:rFonts w:ascii="Palatino Linotype" w:hAnsi="Palatino Linotype" w:eastAsia="Palatino Linotype" w:cs="Palatino Linotype"/>
                <w:color w:val="000000" w:themeColor="text1"/>
                <w:sz w:val="20"/>
                <w:szCs w:val="20"/>
              </w:rPr>
              <w:t xml:space="preserve"> including: </w:t>
            </w:r>
          </w:p>
          <w:p w:rsidRPr="00BE4685" w:rsidR="001E4CE1" w:rsidP="001E4CE1" w:rsidRDefault="001E4CE1" w14:paraId="76A53FB8" w14:textId="77777777">
            <w:pPr>
              <w:pStyle w:val="ListParagraph"/>
              <w:numPr>
                <w:ilvl w:val="0"/>
                <w:numId w:val="92"/>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Environmental &amp; Safety</w:t>
            </w:r>
            <w:r w:rsidRPr="00BE4685">
              <w:rPr>
                <w:rFonts w:ascii="Palatino Linotype" w:hAnsi="Palatino Linotype" w:eastAsia="Palatino Linotype" w:cs="Palatino Linotype"/>
                <w:color w:val="000000" w:themeColor="text1"/>
                <w:sz w:val="20"/>
                <w:szCs w:val="20"/>
              </w:rPr>
              <w:t xml:space="preserve"> and </w:t>
            </w:r>
            <w:r w:rsidRPr="00BE4685">
              <w:rPr>
                <w:rFonts w:ascii="Palatino Linotype" w:hAnsi="Palatino Linotype" w:eastAsia="Palatino Linotype" w:cs="Palatino Linotype"/>
                <w:color w:val="000000" w:themeColor="text1"/>
                <w:sz w:val="20"/>
                <w:szCs w:val="20"/>
                <w:u w:val="single"/>
              </w:rPr>
              <w:t>System Design &amp; Materials</w:t>
            </w:r>
            <w:r w:rsidRPr="00BE4685">
              <w:rPr>
                <w:rFonts w:ascii="Palatino Linotype" w:hAnsi="Palatino Linotype" w:eastAsia="Palatino Linotype" w:cs="Palatino Linotype"/>
                <w:color w:val="000000" w:themeColor="text1"/>
                <w:sz w:val="20"/>
                <w:szCs w:val="20"/>
              </w:rPr>
              <w:t>: Need for coordination and collaboration among program administrators.</w:t>
            </w:r>
          </w:p>
          <w:p w:rsidRPr="00BE4685" w:rsidR="001E4CE1" w:rsidP="001E4CE1" w:rsidRDefault="001E4CE1" w14:paraId="3C8A5E38" w14:textId="77777777">
            <w:pPr>
              <w:pStyle w:val="ListParagraph"/>
              <w:numPr>
                <w:ilvl w:val="1"/>
                <w:numId w:val="92"/>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As it had also responded to similar comments from CPUC staff, SoCalGas reiterated its “braided approach” to testing similar technologies as other programs, but it applies them to its own system conditions.</w:t>
            </w:r>
          </w:p>
          <w:p w:rsidRPr="00BE4685" w:rsidR="001E4CE1" w:rsidP="001E4CE1" w:rsidRDefault="001E4CE1" w14:paraId="234D653C" w14:textId="77777777">
            <w:pPr>
              <w:pStyle w:val="ListParagraph"/>
              <w:numPr>
                <w:ilvl w:val="0"/>
                <w:numId w:val="92"/>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RNG Infrastructure Optimization</w:t>
            </w:r>
            <w:r w:rsidRPr="00BE4685">
              <w:rPr>
                <w:rFonts w:ascii="Palatino Linotype" w:hAnsi="Palatino Linotype" w:eastAsia="Palatino Linotype" w:cs="Palatino Linotype"/>
                <w:color w:val="000000" w:themeColor="text1"/>
                <w:sz w:val="20"/>
                <w:szCs w:val="20"/>
              </w:rPr>
              <w:t>: Questions about the role of hydrogen/RNG.</w:t>
            </w:r>
            <w:r w:rsidRPr="00BE4685">
              <w:rPr>
                <w:rStyle w:val="FootnoteReference"/>
                <w:rFonts w:ascii="Palatino Linotype" w:hAnsi="Palatino Linotype" w:eastAsia="Palatino Linotype" w:cs="Palatino Linotype"/>
                <w:color w:val="000000" w:themeColor="text1"/>
                <w:sz w:val="20"/>
                <w:szCs w:val="20"/>
              </w:rPr>
              <w:footnoteReference w:id="440"/>
            </w:r>
          </w:p>
        </w:tc>
        <w:tc>
          <w:tcPr>
            <w:tcW w:w="3600" w:type="dxa"/>
          </w:tcPr>
          <w:p w:rsidRPr="00BE4685" w:rsidR="001E4CE1" w:rsidRDefault="001E4CE1" w14:paraId="6B316EEF"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w:t>
            </w:r>
            <w:proofErr w:type="gramStart"/>
            <w:r w:rsidRPr="00BE4685">
              <w:rPr>
                <w:rFonts w:ascii="Palatino Linotype" w:hAnsi="Palatino Linotype" w:eastAsia="Palatino Linotype" w:cs="Palatino Linotype"/>
                <w:color w:val="000000" w:themeColor="text1"/>
                <w:sz w:val="20"/>
                <w:szCs w:val="20"/>
              </w:rPr>
              <w:t>curated</w:t>
            </w:r>
            <w:proofErr w:type="gramEnd"/>
            <w:r w:rsidRPr="00BE4685">
              <w:rPr>
                <w:rFonts w:ascii="Palatino Linotype" w:hAnsi="Palatino Linotype" w:eastAsia="Palatino Linotype" w:cs="Palatino Linotype"/>
                <w:color w:val="000000" w:themeColor="text1"/>
                <w:sz w:val="20"/>
                <w:szCs w:val="20"/>
              </w:rPr>
              <w:t xml:space="preserve"> an ESJ community advisory panel to seek input prior to submitting its proposed Plan.</w:t>
            </w:r>
            <w:r w:rsidRPr="00BE4685">
              <w:rPr>
                <w:rFonts w:ascii="Palatino Linotype" w:hAnsi="Palatino Linotype" w:eastAsia="Palatino Linotype" w:cs="Palatino Linotype"/>
                <w:b/>
                <w:color w:val="000000" w:themeColor="text1"/>
                <w:sz w:val="20"/>
                <w:szCs w:val="20"/>
              </w:rPr>
              <w:t xml:space="preserve"> </w:t>
            </w:r>
            <w:r w:rsidRPr="00BE4685">
              <w:rPr>
                <w:rFonts w:ascii="Palatino Linotype" w:hAnsi="Palatino Linotype" w:eastAsia="Palatino Linotype" w:cs="Palatino Linotype"/>
                <w:color w:val="000000" w:themeColor="text1"/>
                <w:sz w:val="20"/>
                <w:szCs w:val="20"/>
              </w:rPr>
              <w:t xml:space="preserve">However, SoCalGas should provide further detail in its revised Plan on how it explored compensation strategies for its advisory panel. </w:t>
            </w:r>
            <w:r w:rsidRPr="00BE4685">
              <w:rPr>
                <w:rFonts w:ascii="Palatino Linotype" w:hAnsi="Palatino Linotype" w:eastAsia="Palatino Linotype" w:cs="Palatino Linotype"/>
                <w:b/>
                <w:color w:val="000000" w:themeColor="text1"/>
                <w:sz w:val="20"/>
                <w:szCs w:val="20"/>
              </w:rPr>
              <w:t xml:space="preserve">SoCalGas is </w:t>
            </w:r>
            <w:r w:rsidRPr="00BE4685">
              <w:rPr>
                <w:rFonts w:ascii="Palatino Linotype" w:hAnsi="Palatino Linotype" w:eastAsia="Palatino Linotype" w:cs="Palatino Linotype"/>
                <w:b/>
                <w:i/>
                <w:iCs/>
                <w:color w:val="000000" w:themeColor="text1"/>
                <w:sz w:val="20"/>
                <w:szCs w:val="20"/>
              </w:rPr>
              <w:t xml:space="preserve">not </w:t>
            </w:r>
            <w:r w:rsidRPr="00BE4685">
              <w:rPr>
                <w:rFonts w:ascii="Palatino Linotype" w:hAnsi="Palatino Linotype" w:eastAsia="Palatino Linotype" w:cs="Palatino Linotype"/>
                <w:b/>
                <w:color w:val="000000" w:themeColor="text1"/>
                <w:sz w:val="20"/>
                <w:szCs w:val="20"/>
              </w:rPr>
              <w:t>compliant with this requirement.</w:t>
            </w:r>
            <w:r w:rsidRPr="00BE4685">
              <w:rPr>
                <w:rFonts w:ascii="Palatino Linotype" w:hAnsi="Palatino Linotype" w:eastAsia="Palatino Linotype" w:cs="Palatino Linotype"/>
                <w:color w:val="000000" w:themeColor="text1"/>
                <w:sz w:val="20"/>
                <w:szCs w:val="20"/>
              </w:rPr>
              <w:t>  </w:t>
            </w:r>
          </w:p>
          <w:p w:rsidRPr="00BE4685" w:rsidR="001E4CE1" w:rsidRDefault="001E4CE1" w14:paraId="6279B33E" w14:textId="77777777">
            <w:pPr>
              <w:rPr>
                <w:rFonts w:ascii="Palatino Linotype" w:hAnsi="Palatino Linotype" w:eastAsia="Palatino Linotype" w:cs="Palatino Linotype"/>
                <w:color w:val="000000" w:themeColor="text1"/>
                <w:sz w:val="20"/>
                <w:szCs w:val="20"/>
              </w:rPr>
            </w:pPr>
          </w:p>
          <w:p w:rsidRPr="00BE4685" w:rsidR="001E4CE1" w:rsidRDefault="001E4CE1" w14:paraId="71DE4B6E" w14:textId="77777777">
            <w:pPr>
              <w:rPr>
                <w:rFonts w:ascii="Palatino Linotype" w:hAnsi="Palatino Linotype" w:eastAsia="Palatino Linotype" w:cs="Palatino Linotype"/>
                <w:color w:val="000000" w:themeColor="text1"/>
                <w:sz w:val="20"/>
                <w:szCs w:val="20"/>
              </w:rPr>
            </w:pPr>
          </w:p>
        </w:tc>
      </w:tr>
      <w:tr w:rsidRPr="00BE4685" w:rsidR="001E4CE1" w14:paraId="05EF4C5C" w14:textId="77777777">
        <w:trPr>
          <w:trHeight w:val="638"/>
          <w:tblHeader/>
        </w:trPr>
        <w:tc>
          <w:tcPr>
            <w:tcW w:w="3744" w:type="dxa"/>
          </w:tcPr>
          <w:p w:rsidRPr="00BE4685" w:rsidR="001E4CE1" w:rsidRDefault="001E4CE1" w14:paraId="4C644B3F" w14:textId="77777777">
            <w:pPr>
              <w:rPr>
                <w:rFonts w:ascii="Palatino Linotype" w:hAnsi="Palatino Linotype"/>
                <w:sz w:val="20"/>
                <w:szCs w:val="20"/>
              </w:rPr>
            </w:pPr>
            <w:r w:rsidRPr="00BE4685">
              <w:rPr>
                <w:rFonts w:ascii="Palatino Linotype" w:hAnsi="Palatino Linotype"/>
                <w:b/>
                <w:sz w:val="20"/>
                <w:szCs w:val="20"/>
              </w:rPr>
              <w:lastRenderedPageBreak/>
              <w:t xml:space="preserve">[22] </w:t>
            </w:r>
            <w:hyperlink r:id="rId134">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iCs/>
                <w:sz w:val="20"/>
                <w:szCs w:val="20"/>
              </w:rPr>
              <w:t>In its 2024 Gas [RD&amp;D] Plan and beyond, [</w:t>
            </w:r>
            <w:r w:rsidRPr="00BE4685">
              <w:rPr>
                <w:rFonts w:ascii="Palatino Linotype" w:hAnsi="Palatino Linotype" w:eastAsia="Palatino Linotype" w:cs="Palatino Linotype"/>
                <w:i/>
                <w:iCs/>
                <w:color w:val="000000" w:themeColor="text1"/>
                <w:sz w:val="20"/>
                <w:szCs w:val="20"/>
              </w:rPr>
              <w:t>SoCalGas</w:t>
            </w:r>
            <w:r w:rsidRPr="00BE4685">
              <w:rPr>
                <w:rFonts w:ascii="Palatino Linotype" w:hAnsi="Palatino Linotype"/>
                <w:i/>
                <w:iCs/>
                <w:sz w:val="20"/>
                <w:szCs w:val="20"/>
              </w:rPr>
              <w:t>] shall: Demonstrate that any hydrogen programs and projects utilize clean renewable hydrogen, consistent with the definition given in D.22-12-057, or the Commission’s successor definition for clean hydrogen.</w:t>
            </w:r>
          </w:p>
        </w:tc>
        <w:tc>
          <w:tcPr>
            <w:tcW w:w="6912" w:type="dxa"/>
          </w:tcPr>
          <w:p w:rsidRPr="00BE4685" w:rsidR="001E4CE1" w:rsidRDefault="001E4CE1" w14:paraId="3EA79304"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has previously demonstrated that its hydrogen-related projects approved to date are consistent with the definition of clean renewable hydrogen as defined by D.22-12-057. </w:t>
            </w:r>
          </w:p>
        </w:tc>
        <w:tc>
          <w:tcPr>
            <w:tcW w:w="3600" w:type="dxa"/>
          </w:tcPr>
          <w:p w:rsidR="0082472D" w:rsidP="0082472D" w:rsidRDefault="0082472D" w14:paraId="3C102DF9" w14:textId="77777777">
            <w:pPr>
              <w:rPr>
                <w:rFonts w:ascii="Palatino Linotype" w:hAnsi="Palatino Linotype"/>
                <w:b/>
                <w:color w:val="000000" w:themeColor="text1"/>
                <w:sz w:val="20"/>
                <w:szCs w:val="20"/>
              </w:rPr>
            </w:pPr>
            <w:r w:rsidRPr="00BE4685">
              <w:rPr>
                <w:rFonts w:ascii="Palatino Linotype" w:hAnsi="Palatino Linotype" w:eastAsia="Palatino Linotype" w:cs="Palatino Linotype"/>
                <w:color w:val="000000" w:themeColor="text1"/>
                <w:sz w:val="20"/>
                <w:szCs w:val="20"/>
              </w:rPr>
              <w:t xml:space="preserve">SoCalGas </w:t>
            </w:r>
            <w:r w:rsidRPr="0016671C">
              <w:rPr>
                <w:rFonts w:ascii="Palatino Linotype" w:hAnsi="Palatino Linotype"/>
                <w:color w:val="000000" w:themeColor="text1"/>
                <w:sz w:val="20"/>
                <w:szCs w:val="20"/>
              </w:rPr>
              <w:t>demonstrates</w:t>
            </w:r>
            <w:r w:rsidRPr="00BE4685">
              <w:rPr>
                <w:rFonts w:ascii="Palatino Linotype" w:hAnsi="Palatino Linotype" w:eastAsia="Palatino Linotype" w:cs="Palatino Linotype"/>
                <w:color w:val="000000" w:themeColor="text1"/>
                <w:sz w:val="20"/>
                <w:szCs w:val="20"/>
              </w:rPr>
              <w:t xml:space="preserve"> that previously approved </w:t>
            </w:r>
            <w:r w:rsidRPr="0016671C">
              <w:rPr>
                <w:rFonts w:ascii="Palatino Linotype" w:hAnsi="Palatino Linotype"/>
                <w:color w:val="000000" w:themeColor="text1"/>
                <w:sz w:val="20"/>
                <w:szCs w:val="20"/>
              </w:rPr>
              <w:t xml:space="preserve">hydrogen projects </w:t>
            </w:r>
            <w:r w:rsidRPr="00BE4685">
              <w:rPr>
                <w:rFonts w:ascii="Palatino Linotype" w:hAnsi="Palatino Linotype" w:eastAsia="Palatino Linotype" w:cs="Palatino Linotype"/>
                <w:color w:val="000000" w:themeColor="text1"/>
                <w:sz w:val="20"/>
                <w:szCs w:val="20"/>
              </w:rPr>
              <w:t xml:space="preserve">utilize clean renewable hydrogen. </w:t>
            </w:r>
            <w:r w:rsidRPr="00BE4685">
              <w:rPr>
                <w:rFonts w:ascii="Palatino Linotype" w:hAnsi="Palatino Linotype" w:eastAsia="Palatino Linotype" w:cs="Palatino Linotype"/>
                <w:b/>
                <w:color w:val="000000" w:themeColor="text1"/>
                <w:sz w:val="20"/>
                <w:szCs w:val="20"/>
              </w:rPr>
              <w:t>SoCalGas is compliant with this requirement.</w:t>
            </w:r>
          </w:p>
          <w:p w:rsidRPr="00BE4685" w:rsidR="001E4CE1" w:rsidP="0082472D" w:rsidRDefault="0082472D" w14:paraId="3DBFE635" w14:textId="53C07968">
            <w:pPr>
              <w:spacing w:before="240"/>
              <w:rPr>
                <w:rFonts w:ascii="Palatino Linotype" w:hAnsi="Palatino Linotype"/>
                <w:color w:val="000000" w:themeColor="text1"/>
                <w:sz w:val="20"/>
                <w:szCs w:val="20"/>
              </w:rPr>
            </w:pPr>
            <w:r w:rsidRPr="002E7297">
              <w:rPr>
                <w:rFonts w:ascii="Palatino Linotype" w:hAnsi="Palatino Linotype"/>
                <w:bCs w:val="0"/>
                <w:color w:val="000000" w:themeColor="text1"/>
                <w:sz w:val="20"/>
                <w:szCs w:val="20"/>
              </w:rPr>
              <w:t>However, this Resolution does not approve new or further funding for hydrogen-related projects.</w:t>
            </w:r>
          </w:p>
        </w:tc>
      </w:tr>
      <w:tr w:rsidRPr="00967A8D" w:rsidR="001E4CE1" w14:paraId="6B8B613E" w14:textId="77777777">
        <w:trPr>
          <w:trHeight w:val="638"/>
          <w:tblHeader/>
        </w:trPr>
        <w:tc>
          <w:tcPr>
            <w:tcW w:w="3744" w:type="dxa"/>
          </w:tcPr>
          <w:p w:rsidRPr="00BE4685" w:rsidR="001E4CE1" w:rsidRDefault="001E4CE1" w14:paraId="48511560" w14:textId="77777777">
            <w:pPr>
              <w:rPr>
                <w:rFonts w:ascii="Palatino Linotype" w:hAnsi="Palatino Linotype"/>
                <w:i/>
                <w:sz w:val="20"/>
                <w:szCs w:val="20"/>
              </w:rPr>
            </w:pPr>
            <w:r w:rsidRPr="00BE4685">
              <w:rPr>
                <w:rFonts w:ascii="Palatino Linotype" w:hAnsi="Palatino Linotype"/>
                <w:b/>
                <w:sz w:val="20"/>
                <w:szCs w:val="20"/>
              </w:rPr>
              <w:lastRenderedPageBreak/>
              <w:t xml:space="preserve">[23] </w:t>
            </w:r>
            <w:hyperlink r:id="rId135">
              <w:r w:rsidRPr="00BE4685">
                <w:rPr>
                  <w:rStyle w:val="Hyperlink"/>
                  <w:rFonts w:ascii="Palatino Linotype" w:hAnsi="Palatino Linotype"/>
                  <w:sz w:val="20"/>
                  <w:szCs w:val="20"/>
                </w:rPr>
                <w:t>Resolution G-3601</w:t>
              </w:r>
            </w:hyperlink>
            <w:r w:rsidRPr="00BE4685">
              <w:rPr>
                <w:rFonts w:ascii="Palatino Linotype" w:hAnsi="Palatino Linotype"/>
                <w:sz w:val="20"/>
                <w:szCs w:val="20"/>
              </w:rPr>
              <w:t xml:space="preserve"> (2023) at OP 6. </w:t>
            </w:r>
            <w:r w:rsidRPr="00BE4685">
              <w:rPr>
                <w:rFonts w:ascii="Palatino Linotype" w:hAnsi="Palatino Linotype"/>
                <w:i/>
                <w:sz w:val="20"/>
                <w:szCs w:val="20"/>
              </w:rPr>
              <w:t>In its 2024 Gas [RD&amp;D] Plan and beyond, [</w:t>
            </w:r>
            <w:r w:rsidRPr="00BE4685">
              <w:rPr>
                <w:rFonts w:ascii="Palatino Linotype" w:hAnsi="Palatino Linotype" w:eastAsia="Palatino Linotype" w:cs="Palatino Linotype"/>
                <w:i/>
                <w:color w:val="000000" w:themeColor="text1"/>
                <w:sz w:val="20"/>
                <w:szCs w:val="20"/>
              </w:rPr>
              <w:t>SoCalGas</w:t>
            </w:r>
            <w:r w:rsidRPr="00BE4685">
              <w:rPr>
                <w:rFonts w:ascii="Palatino Linotype" w:hAnsi="Palatino Linotype"/>
                <w:i/>
                <w:sz w:val="20"/>
                <w:szCs w:val="20"/>
              </w:rPr>
              <w:t>] shall: Demonstrate how SoCalGas coordinates in advance with other gas RD&amp;D program administrators to ensure efficiencies, avoid duplication, and optimize research that benefits California ratepayers.</w:t>
            </w:r>
          </w:p>
          <w:p w:rsidRPr="00BE4685" w:rsidR="001E4CE1" w:rsidRDefault="001E4CE1" w14:paraId="69ADE74D" w14:textId="77777777">
            <w:pPr>
              <w:rPr>
                <w:rFonts w:ascii="Palatino Linotype" w:hAnsi="Palatino Linotype"/>
                <w:i/>
                <w:iCs/>
                <w:sz w:val="20"/>
                <w:szCs w:val="20"/>
              </w:rPr>
            </w:pPr>
          </w:p>
          <w:p w:rsidRPr="00BE4685" w:rsidR="001E4CE1" w:rsidRDefault="001E4CE1" w14:paraId="4F8F7699" w14:textId="77777777">
            <w:pPr>
              <w:rPr>
                <w:rFonts w:ascii="Palatino Linotype" w:hAnsi="Palatino Linotype"/>
                <w:color w:val="000000" w:themeColor="text1"/>
                <w:sz w:val="20"/>
                <w:szCs w:val="20"/>
              </w:rPr>
            </w:pPr>
            <w:r w:rsidRPr="00BE4685">
              <w:rPr>
                <w:rFonts w:ascii="Palatino Linotype" w:hAnsi="Palatino Linotype"/>
                <w:color w:val="000000" w:themeColor="text1"/>
                <w:sz w:val="20"/>
                <w:szCs w:val="20"/>
              </w:rPr>
              <w:t>See also: [15] on integration of Energy Division feedback.</w:t>
            </w:r>
          </w:p>
        </w:tc>
        <w:tc>
          <w:tcPr>
            <w:tcW w:w="6912" w:type="dxa"/>
          </w:tcPr>
          <w:p w:rsidRPr="00BE4685" w:rsidR="001E4CE1" w:rsidRDefault="001E4CE1" w14:paraId="4DC5AE90" w14:textId="77777777">
            <w:pPr>
              <w:spacing w:after="16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discusses coordination and collaboration with other Gas RD&amp;D administrators, including: “knowledge-sharing conferences and events, annual stakeholder outreach efforts, and participation in research consortia to avoid duplication of existing or ongoing research.</w:t>
            </w:r>
            <w:r w:rsidRPr="00BE4685">
              <w:rPr>
                <w:rStyle w:val="FootnoteReference"/>
                <w:rFonts w:ascii="Palatino Linotype" w:hAnsi="Palatino Linotype" w:eastAsia="Palatino Linotype" w:cs="Palatino Linotype"/>
                <w:color w:val="000000" w:themeColor="text1"/>
                <w:sz w:val="20"/>
                <w:szCs w:val="20"/>
              </w:rPr>
              <w:footnoteReference w:id="441"/>
            </w:r>
            <w:r w:rsidRPr="00BE4685">
              <w:rPr>
                <w:rFonts w:ascii="Palatino Linotype" w:hAnsi="Palatino Linotype" w:eastAsia="Palatino Linotype" w:cs="Palatino Linotype"/>
                <w:color w:val="000000" w:themeColor="text1"/>
                <w:sz w:val="20"/>
                <w:szCs w:val="20"/>
              </w:rPr>
              <w:t xml:space="preserve"> SoCalGas additionally states that its collaboration uses a “braided approach” in which foundational research is jointly developed and then tailored to individual utility needs.”</w:t>
            </w:r>
            <w:r w:rsidRPr="00BE4685">
              <w:rPr>
                <w:rStyle w:val="FootnoteReference"/>
                <w:rFonts w:ascii="Palatino Linotype" w:hAnsi="Palatino Linotype" w:eastAsia="Palatino Linotype" w:cs="Palatino Linotype"/>
                <w:color w:val="000000" w:themeColor="text1"/>
                <w:sz w:val="20"/>
                <w:szCs w:val="20"/>
              </w:rPr>
              <w:footnoteReference w:id="442"/>
            </w:r>
            <w:r w:rsidRPr="00BE4685">
              <w:rPr>
                <w:rFonts w:ascii="Palatino Linotype" w:hAnsi="Palatino Linotype" w:eastAsia="Palatino Linotype" w:cs="Palatino Linotype"/>
                <w:color w:val="000000" w:themeColor="text1"/>
                <w:sz w:val="20"/>
                <w:szCs w:val="20"/>
              </w:rPr>
              <w:t xml:space="preserve"> SoCalGas notes that the 2026 workshop was held jointly to replace individual workshops by Gas RD&amp;D administrators to reduce potential duplication.</w:t>
            </w:r>
            <w:r w:rsidRPr="00BE4685">
              <w:rPr>
                <w:rStyle w:val="FootnoteReference"/>
                <w:rFonts w:ascii="Palatino Linotype" w:hAnsi="Palatino Linotype" w:eastAsia="Palatino Linotype" w:cs="Palatino Linotype"/>
                <w:color w:val="000000" w:themeColor="text1"/>
                <w:sz w:val="20"/>
                <w:szCs w:val="20"/>
              </w:rPr>
              <w:footnoteReference w:id="443"/>
            </w:r>
          </w:p>
          <w:p w:rsidRPr="00BE4685" w:rsidR="001E4CE1" w:rsidRDefault="001E4CE1" w14:paraId="33C6A221"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also provides a detailed description of its coordination efforts:</w:t>
            </w:r>
          </w:p>
          <w:p w:rsidRPr="00BE4685" w:rsidR="001E4CE1" w:rsidP="001E4CE1" w:rsidRDefault="001E4CE1" w14:paraId="6646A154"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Bi-Weekly Administrator Coordination meetings</w:t>
            </w:r>
          </w:p>
          <w:p w:rsidRPr="00BE4685" w:rsidR="001E4CE1" w:rsidP="001E4CE1" w:rsidRDefault="001E4CE1" w14:paraId="3EA80F73"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Monthly Renewable Gas Quality Collaboration meetings</w:t>
            </w:r>
          </w:p>
          <w:p w:rsidRPr="00BE4685" w:rsidR="001E4CE1" w:rsidP="001E4CE1" w:rsidRDefault="001E4CE1" w14:paraId="506572E3"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Annual Stakeholder Outreach Campaign</w:t>
            </w:r>
          </w:p>
          <w:p w:rsidRPr="00BE4685" w:rsidR="001E4CE1" w:rsidP="001E4CE1" w:rsidRDefault="001E4CE1" w14:paraId="5EF54C93"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Gas RD&amp;D 2026 Joint Research Plan Workshop, held on February 27, 2026.</w:t>
            </w:r>
            <w:r w:rsidRPr="00BE4685">
              <w:rPr>
                <w:rStyle w:val="FootnoteReference"/>
                <w:rFonts w:ascii="Palatino Linotype" w:hAnsi="Palatino Linotype" w:eastAsia="Palatino Linotype" w:cs="Palatino Linotype"/>
                <w:color w:val="000000" w:themeColor="text1"/>
                <w:sz w:val="20"/>
                <w:szCs w:val="20"/>
              </w:rPr>
              <w:footnoteReference w:id="444"/>
            </w:r>
          </w:p>
          <w:p w:rsidRPr="00BE4685" w:rsidR="001E4CE1" w:rsidRDefault="001E4CE1" w14:paraId="038782A4"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color w:val="000000" w:themeColor="text1"/>
                <w:sz w:val="20"/>
                <w:szCs w:val="20"/>
              </w:rPr>
              <w:t>During consultation prior to Plan submittal, CPUC staff flagged the following potentially duplicative research areas and programs:</w:t>
            </w:r>
          </w:p>
          <w:p w:rsidRPr="00BE4685" w:rsidR="001E4CE1" w:rsidP="001E4CE1" w:rsidRDefault="001E4CE1" w14:paraId="00AB7BE3" w14:textId="77777777">
            <w:pPr>
              <w:pStyle w:val="ListParagraph"/>
              <w:numPr>
                <w:ilvl w:val="0"/>
                <w:numId w:val="94"/>
              </w:numPr>
              <w:rPr>
                <w:rFonts w:ascii="Palatino Linotype" w:hAnsi="Palatino Linotype"/>
                <w:color w:val="000000" w:themeColor="text1"/>
                <w:sz w:val="20"/>
                <w:szCs w:val="20"/>
              </w:rPr>
            </w:pPr>
            <w:r w:rsidRPr="00BE4685">
              <w:rPr>
                <w:rFonts w:ascii="Palatino Linotype" w:hAnsi="Palatino Linotype"/>
                <w:color w:val="000000" w:themeColor="text1"/>
                <w:sz w:val="20"/>
                <w:szCs w:val="20"/>
                <w:u w:val="single"/>
              </w:rPr>
              <w:t>Environmental &amp; Safety</w:t>
            </w:r>
            <w:r w:rsidRPr="00BE4685">
              <w:rPr>
                <w:rFonts w:ascii="Palatino Linotype" w:hAnsi="Palatino Linotype"/>
                <w:color w:val="000000" w:themeColor="text1"/>
                <w:sz w:val="20"/>
                <w:szCs w:val="20"/>
              </w:rPr>
              <w:t xml:space="preserve">: </w:t>
            </w:r>
            <w:r w:rsidRPr="00BE4685">
              <w:rPr>
                <w:rFonts w:ascii="Palatino Linotype" w:hAnsi="Palatino Linotype" w:eastAsia="Palatino Linotype" w:cs="Palatino Linotype"/>
                <w:color w:val="000000" w:themeColor="text1"/>
                <w:sz w:val="20"/>
                <w:szCs w:val="20"/>
              </w:rPr>
              <w:t>PG&amp;E RD&amp;D involving AI/ML and LiDAR and Natural Gas Leak Abatement (NGLA).</w:t>
            </w:r>
            <w:r w:rsidRPr="00BE4685">
              <w:rPr>
                <w:color w:val="000000" w:themeColor="text1"/>
              </w:rPr>
              <w:t xml:space="preserve"> </w:t>
            </w:r>
          </w:p>
          <w:p w:rsidRPr="00BE4685" w:rsidR="001E4CE1" w:rsidP="001E4CE1" w:rsidRDefault="001E4CE1" w14:paraId="4DBC70AE" w14:textId="77777777">
            <w:pPr>
              <w:pStyle w:val="ListParagraph"/>
              <w:numPr>
                <w:ilvl w:val="1"/>
                <w:numId w:val="94"/>
              </w:numPr>
              <w:rPr>
                <w:color w:val="000000" w:themeColor="text1"/>
              </w:rPr>
            </w:pPr>
            <w:r w:rsidRPr="00BE4685">
              <w:rPr>
                <w:rFonts w:ascii="Palatino Linotype" w:hAnsi="Palatino Linotype" w:eastAsia="Palatino Linotype" w:cs="Palatino Linotype"/>
                <w:color w:val="000000" w:themeColor="text1"/>
                <w:sz w:val="20"/>
                <w:szCs w:val="20"/>
              </w:rPr>
              <w:t>SoCalGas states that these efforts could go further than NGLA by supporting deeper system-wide reductions</w:t>
            </w:r>
            <w:r w:rsidRPr="00BE4685">
              <w:rPr>
                <w:rStyle w:val="FootnoteReference"/>
                <w:rFonts w:ascii="Palatino Linotype" w:hAnsi="Palatino Linotype" w:eastAsia="Palatino Linotype" w:cs="Palatino Linotype"/>
                <w:color w:val="000000" w:themeColor="text1"/>
                <w:sz w:val="20"/>
                <w:szCs w:val="20"/>
              </w:rPr>
              <w:footnoteReference w:id="445"/>
            </w:r>
            <w:r w:rsidRPr="00BE4685">
              <w:rPr>
                <w:rFonts w:ascii="Palatino Linotype" w:hAnsi="Palatino Linotype" w:eastAsia="Palatino Linotype" w:cs="Palatino Linotype"/>
                <w:color w:val="000000" w:themeColor="text1"/>
                <w:sz w:val="20"/>
                <w:szCs w:val="20"/>
              </w:rPr>
              <w:t xml:space="preserve"> and that it may test similar foundational technologies but apply them to its own system conditions.</w:t>
            </w:r>
            <w:r w:rsidRPr="00BE4685">
              <w:rPr>
                <w:rStyle w:val="FootnoteReference"/>
                <w:color w:val="000000" w:themeColor="text1"/>
              </w:rPr>
              <w:footnoteReference w:id="446"/>
            </w:r>
          </w:p>
          <w:p w:rsidRPr="00BE4685" w:rsidR="001E4CE1" w:rsidP="001E4CE1" w:rsidRDefault="001E4CE1" w14:paraId="513BAC69" w14:textId="77777777">
            <w:pPr>
              <w:pStyle w:val="ListParagraph"/>
              <w:numPr>
                <w:ilvl w:val="0"/>
                <w:numId w:val="94"/>
              </w:numPr>
              <w:rPr>
                <w:color w:val="000000" w:themeColor="text1"/>
              </w:rPr>
            </w:pPr>
            <w:r w:rsidRPr="00BE4685">
              <w:rPr>
                <w:rFonts w:ascii="Palatino Linotype" w:hAnsi="Palatino Linotype"/>
                <w:color w:val="000000" w:themeColor="text1"/>
                <w:sz w:val="20"/>
                <w:szCs w:val="20"/>
                <w:u w:val="single"/>
              </w:rPr>
              <w:t>Community Impact &amp; Energy Conservation</w:t>
            </w:r>
            <w:r w:rsidRPr="00BE4685">
              <w:rPr>
                <w:rFonts w:ascii="Palatino Linotype" w:hAnsi="Palatino Linotype"/>
                <w:color w:val="000000" w:themeColor="text1"/>
                <w:sz w:val="20"/>
                <w:szCs w:val="20"/>
              </w:rPr>
              <w:t xml:space="preserve">: </w:t>
            </w:r>
            <w:r w:rsidRPr="00BE4685">
              <w:rPr>
                <w:rFonts w:ascii="Palatino Linotype" w:hAnsi="Palatino Linotype" w:eastAsia="Palatino Linotype" w:cs="Palatino Linotype"/>
                <w:color w:val="000000" w:themeColor="text1"/>
                <w:sz w:val="20"/>
                <w:szCs w:val="20"/>
              </w:rPr>
              <w:t>PG&amp;E RD&amp;D involving AI/ML and LiDAR; NGLA; and PG&amp;E and CEC RD&amp;D involving methane monitoring.</w:t>
            </w:r>
          </w:p>
          <w:p w:rsidRPr="00BE4685" w:rsidR="001E4CE1" w:rsidP="001E4CE1" w:rsidRDefault="001E4CE1" w14:paraId="79521E58" w14:textId="77777777">
            <w:pPr>
              <w:pStyle w:val="ListParagraph"/>
              <w:numPr>
                <w:ilvl w:val="1"/>
                <w:numId w:val="94"/>
              </w:numPr>
              <w:rPr>
                <w:rFonts w:ascii="Palatino Linotype" w:hAnsi="Palatino Linotype"/>
                <w:color w:val="000000" w:themeColor="text1"/>
                <w:sz w:val="20"/>
                <w:szCs w:val="20"/>
              </w:rPr>
            </w:pPr>
            <w:r w:rsidRPr="00BE4685">
              <w:rPr>
                <w:rFonts w:ascii="Palatino Linotype" w:hAnsi="Palatino Linotype"/>
                <w:color w:val="000000" w:themeColor="text1"/>
                <w:sz w:val="20"/>
                <w:szCs w:val="20"/>
              </w:rPr>
              <w:t>SoCalGas states that it intends to focus on leveraging and integrating existing technologies and data sources across platforms to improve affordability and produce direct ratepayer savings, including by utilizing “Aerial Methane Mapping and Advanced Meter data to identify unintentional gas use, such as appliances with incomplete combustion.”</w:t>
            </w:r>
            <w:r w:rsidRPr="00BE4685">
              <w:rPr>
                <w:rStyle w:val="FootnoteReference"/>
                <w:rFonts w:ascii="Palatino Linotype" w:hAnsi="Palatino Linotype"/>
                <w:color w:val="000000" w:themeColor="text1"/>
                <w:sz w:val="20"/>
                <w:szCs w:val="20"/>
              </w:rPr>
              <w:footnoteReference w:id="447"/>
            </w:r>
          </w:p>
          <w:p w:rsidRPr="00BE4685" w:rsidR="001E4CE1" w:rsidP="001E4CE1" w:rsidRDefault="001E4CE1" w14:paraId="5E630CE1" w14:textId="77777777">
            <w:pPr>
              <w:pStyle w:val="ListParagraph"/>
              <w:numPr>
                <w:ilvl w:val="0"/>
                <w:numId w:val="94"/>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lastRenderedPageBreak/>
              <w:t>Low-Carbon Fuel Technologies</w:t>
            </w:r>
            <w:r w:rsidRPr="00BE4685">
              <w:rPr>
                <w:rFonts w:ascii="Palatino Linotype" w:hAnsi="Palatino Linotype" w:eastAsia="Palatino Linotype" w:cs="Palatino Linotype"/>
                <w:color w:val="000000" w:themeColor="text1"/>
                <w:sz w:val="20"/>
                <w:szCs w:val="20"/>
              </w:rPr>
              <w:t>: PG&amp;E’s Clean Fuels Integration Initiative.</w:t>
            </w:r>
          </w:p>
          <w:p w:rsidRPr="00BE4685" w:rsidR="001E4CE1" w:rsidP="001E4CE1" w:rsidRDefault="001E4CE1" w14:paraId="18F1F7C5" w14:textId="77777777">
            <w:pPr>
              <w:pStyle w:val="ListParagraph"/>
              <w:numPr>
                <w:ilvl w:val="0"/>
                <w:numId w:val="94"/>
              </w:numPr>
              <w:rPr>
                <w:color w:val="000000" w:themeColor="text1"/>
              </w:rPr>
            </w:pPr>
            <w:r w:rsidRPr="00BE4685">
              <w:rPr>
                <w:rFonts w:ascii="Palatino Linotype" w:hAnsi="Palatino Linotype"/>
                <w:color w:val="000000" w:themeColor="text1"/>
                <w:sz w:val="20"/>
                <w:szCs w:val="20"/>
                <w:u w:val="single"/>
              </w:rPr>
              <w:t>Energy Reliability &amp; Resilience</w:t>
            </w:r>
            <w:r w:rsidRPr="00BE4685">
              <w:rPr>
                <w:rFonts w:ascii="Palatino Linotype" w:hAnsi="Palatino Linotype"/>
                <w:color w:val="000000" w:themeColor="text1"/>
                <w:sz w:val="20"/>
                <w:szCs w:val="20"/>
              </w:rPr>
              <w:t xml:space="preserve">: </w:t>
            </w:r>
            <w:r w:rsidRPr="00BE4685">
              <w:rPr>
                <w:rFonts w:ascii="Palatino Linotype" w:hAnsi="Palatino Linotype" w:eastAsia="Palatino Linotype" w:cs="Palatino Linotype"/>
                <w:color w:val="000000" w:themeColor="text1"/>
                <w:sz w:val="20"/>
                <w:szCs w:val="20"/>
              </w:rPr>
              <w:t>Differentiate from CEC’s RD&amp;D involving cost-effective industrial decarbonization and its Fuel-Flexible Distributed Power Generation Initiative in its proposed FY2024-25 Gas RD&amp;D Plan.</w:t>
            </w:r>
          </w:p>
          <w:p w:rsidRPr="00BE4685" w:rsidR="001E4CE1" w:rsidP="001E4CE1" w:rsidRDefault="001E4CE1" w14:paraId="15BB06DA" w14:textId="77777777">
            <w:pPr>
              <w:pStyle w:val="ListParagraph"/>
              <w:numPr>
                <w:ilvl w:val="0"/>
                <w:numId w:val="94"/>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Building &amp; Facility Systems</w:t>
            </w:r>
            <w:r w:rsidRPr="00BE4685">
              <w:rPr>
                <w:rFonts w:ascii="Palatino Linotype" w:hAnsi="Palatino Linotype" w:eastAsia="Palatino Linotype" w:cs="Palatino Linotype"/>
                <w:color w:val="000000" w:themeColor="text1"/>
                <w:sz w:val="20"/>
                <w:szCs w:val="20"/>
              </w:rPr>
              <w:t>: Building decarbonization and energy efficiency efforts and RD&amp;D activities involving thermal energy storage across Gas RD&amp;D, EPIC, and other programs.</w:t>
            </w:r>
          </w:p>
          <w:p w:rsidRPr="00BE4685" w:rsidR="001E4CE1" w:rsidRDefault="001E4CE1" w14:paraId="43029B35" w14:textId="77777777">
            <w:p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t>SoCalGas includes charts for each Initiative with Research Topics, Completed Projects, Active Projects, and Future Project Areas in the 2026 Research Plan to “[illustrate] how project focus areas in [each] initiative evolve over time to advance technologies from early research through deployment. While the overarching initiative remains consistent, specific projects and research areas of focus are refined each year to reflect emerging needs, stakeholder input, and progress toward delivering ratepayer benefits.”</w:t>
            </w:r>
            <w:r w:rsidRPr="00BE4685">
              <w:rPr>
                <w:rStyle w:val="FootnoteReference"/>
                <w:rFonts w:ascii="Palatino Linotype" w:hAnsi="Palatino Linotype" w:eastAsia="Palatino Linotype" w:cs="Palatino Linotype"/>
                <w:color w:val="000000" w:themeColor="text1"/>
                <w:sz w:val="20"/>
                <w:szCs w:val="20"/>
              </w:rPr>
              <w:footnoteReference w:id="448"/>
            </w:r>
          </w:p>
        </w:tc>
        <w:tc>
          <w:tcPr>
            <w:tcW w:w="3600" w:type="dxa"/>
          </w:tcPr>
          <w:p w:rsidRPr="00BE4685" w:rsidR="001E4CE1" w:rsidRDefault="001E4CE1" w14:paraId="56091B11" w14:textId="77777777">
            <w:p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rPr>
              <w:lastRenderedPageBreak/>
              <w:t xml:space="preserve">SoCalGas demonstrates that its 2026 Plan is differentiated from its 2027 Plan to avoid duplication via varying project areas. SoCalGas also discusses how it coordinates in advance with other Gas RD&amp;D administrators for each Initiative. However, SoCalGas does not differentiate its proposals from potentially duplicative research areas and programs flagged by CPUC staff, particularly: </w:t>
            </w:r>
          </w:p>
          <w:p w:rsidRPr="00BE4685" w:rsidR="001E4CE1" w:rsidP="001E4CE1" w:rsidRDefault="001E4CE1" w14:paraId="36603AB6" w14:textId="77777777">
            <w:pPr>
              <w:pStyle w:val="ListParagraph"/>
              <w:numPr>
                <w:ilvl w:val="0"/>
                <w:numId w:val="79"/>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Environmental &amp; Safety</w:t>
            </w:r>
            <w:r w:rsidRPr="00BE4685">
              <w:rPr>
                <w:rFonts w:ascii="Palatino Linotype" w:hAnsi="Palatino Linotype" w:eastAsia="Palatino Linotype" w:cs="Palatino Linotype"/>
                <w:color w:val="000000" w:themeColor="text1"/>
                <w:sz w:val="20"/>
                <w:szCs w:val="20"/>
              </w:rPr>
              <w:t xml:space="preserve"> from PG&amp;E RD&amp;D involving AI/ML and LiDAR, including specific examples of how system conditions differ to justify parallel validation.</w:t>
            </w:r>
          </w:p>
          <w:p w:rsidRPr="00BE4685" w:rsidR="001E4CE1" w:rsidP="001E4CE1" w:rsidRDefault="001E4CE1" w14:paraId="24B9224C" w14:textId="77777777">
            <w:pPr>
              <w:pStyle w:val="ListParagraph"/>
              <w:numPr>
                <w:ilvl w:val="0"/>
                <w:numId w:val="79"/>
              </w:numPr>
              <w:rPr>
                <w:rFonts w:ascii="Palatino Linotype" w:hAnsi="Palatino Linotype" w:eastAsia="Palatino Linotype" w:cs="Palatino Linotype"/>
                <w:color w:val="000000" w:themeColor="text1"/>
                <w:sz w:val="20"/>
                <w:szCs w:val="20"/>
              </w:rPr>
            </w:pPr>
            <w:r w:rsidRPr="00BE4685">
              <w:rPr>
                <w:rFonts w:ascii="Palatino Linotype" w:hAnsi="Palatino Linotype"/>
                <w:color w:val="000000" w:themeColor="text1"/>
                <w:sz w:val="20"/>
                <w:szCs w:val="20"/>
                <w:u w:val="single"/>
              </w:rPr>
              <w:t xml:space="preserve">Community Impact &amp; Energy Conservation </w:t>
            </w:r>
            <w:r w:rsidRPr="00BE4685">
              <w:rPr>
                <w:rFonts w:ascii="Palatino Linotype" w:hAnsi="Palatino Linotype"/>
                <w:color w:val="000000" w:themeColor="text1"/>
                <w:sz w:val="20"/>
                <w:szCs w:val="20"/>
              </w:rPr>
              <w:t xml:space="preserve">from </w:t>
            </w:r>
            <w:r w:rsidRPr="00BE4685">
              <w:rPr>
                <w:rFonts w:ascii="Palatino Linotype" w:hAnsi="Palatino Linotype" w:eastAsia="Palatino Linotype" w:cs="Palatino Linotype"/>
                <w:color w:val="000000" w:themeColor="text1"/>
                <w:sz w:val="20"/>
                <w:szCs w:val="20"/>
              </w:rPr>
              <w:t>PG&amp;E RD&amp;D involving AI/ML and LiDAR in addition to PG&amp;E and CEC RD&amp;D involving methane monitoring.</w:t>
            </w:r>
          </w:p>
          <w:p w:rsidRPr="00BE4685" w:rsidR="001E4CE1" w:rsidP="001E4CE1" w:rsidRDefault="001E4CE1" w14:paraId="6D6590B4" w14:textId="77777777">
            <w:pPr>
              <w:pStyle w:val="ListParagraph"/>
              <w:numPr>
                <w:ilvl w:val="0"/>
                <w:numId w:val="79"/>
              </w:numPr>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t>Low-Carbon Fuel Technologies</w:t>
            </w:r>
            <w:r w:rsidRPr="00BE4685">
              <w:rPr>
                <w:rFonts w:ascii="Palatino Linotype" w:hAnsi="Palatino Linotype" w:eastAsia="Palatino Linotype" w:cs="Palatino Linotype"/>
                <w:color w:val="000000" w:themeColor="text1"/>
                <w:sz w:val="20"/>
                <w:szCs w:val="20"/>
              </w:rPr>
              <w:t xml:space="preserve"> from PG&amp;E’s Clean Fuels Integration Initiative.  </w:t>
            </w:r>
          </w:p>
          <w:p w:rsidRPr="00BE4685" w:rsidR="001E4CE1" w:rsidP="001E4CE1" w:rsidRDefault="001E4CE1" w14:paraId="6C6D3416" w14:textId="77777777">
            <w:pPr>
              <w:pStyle w:val="ListParagraph"/>
              <w:numPr>
                <w:ilvl w:val="0"/>
                <w:numId w:val="79"/>
              </w:numPr>
              <w:rPr>
                <w:rFonts w:ascii="Palatino Linotype" w:hAnsi="Palatino Linotype" w:eastAsia="Palatino Linotype" w:cs="Palatino Linotype"/>
                <w:color w:val="000000" w:themeColor="text1"/>
                <w:sz w:val="20"/>
                <w:szCs w:val="20"/>
              </w:rPr>
            </w:pPr>
            <w:r w:rsidRPr="00BE4685">
              <w:rPr>
                <w:rFonts w:ascii="Palatino Linotype" w:hAnsi="Palatino Linotype"/>
                <w:color w:val="000000" w:themeColor="text1"/>
                <w:sz w:val="20"/>
                <w:szCs w:val="20"/>
                <w:u w:val="single"/>
              </w:rPr>
              <w:t>Energy Reliability &amp; Resilience</w:t>
            </w:r>
            <w:r w:rsidRPr="00BE4685">
              <w:rPr>
                <w:rFonts w:ascii="Palatino Linotype" w:hAnsi="Palatino Linotype" w:eastAsia="Palatino Linotype" w:cs="Palatino Linotype"/>
                <w:color w:val="000000" w:themeColor="text1"/>
                <w:sz w:val="20"/>
                <w:szCs w:val="20"/>
              </w:rPr>
              <w:t xml:space="preserve"> from CEC’s RD&amp;D involving cost-effective industrial decarbonization and its Fuel-Flexible Distributed Power Generation Initiative in its proposed FY2024-25 Gas RD&amp;D Plan.</w:t>
            </w:r>
          </w:p>
          <w:p w:rsidRPr="00BE4685" w:rsidR="001E4CE1" w:rsidP="001E4CE1" w:rsidRDefault="001E4CE1" w14:paraId="34742302" w14:textId="77777777">
            <w:pPr>
              <w:pStyle w:val="ListParagraph"/>
              <w:numPr>
                <w:ilvl w:val="0"/>
                <w:numId w:val="79"/>
              </w:numPr>
              <w:spacing w:before="240"/>
              <w:rPr>
                <w:rFonts w:ascii="Palatino Linotype" w:hAnsi="Palatino Linotype" w:eastAsia="Palatino Linotype" w:cs="Palatino Linotype"/>
                <w:color w:val="000000" w:themeColor="text1"/>
                <w:sz w:val="20"/>
                <w:szCs w:val="20"/>
              </w:rPr>
            </w:pPr>
            <w:r w:rsidRPr="00BE4685">
              <w:rPr>
                <w:rFonts w:ascii="Palatino Linotype" w:hAnsi="Palatino Linotype" w:eastAsia="Palatino Linotype" w:cs="Palatino Linotype"/>
                <w:color w:val="000000" w:themeColor="text1"/>
                <w:sz w:val="20"/>
                <w:szCs w:val="20"/>
                <w:u w:val="single"/>
              </w:rPr>
              <w:lastRenderedPageBreak/>
              <w:t>Building &amp; Facility Systems</w:t>
            </w:r>
            <w:r w:rsidRPr="00BE4685">
              <w:rPr>
                <w:rFonts w:ascii="Palatino Linotype" w:hAnsi="Palatino Linotype" w:eastAsia="Palatino Linotype" w:cs="Palatino Linotype"/>
                <w:color w:val="000000" w:themeColor="text1"/>
                <w:sz w:val="20"/>
                <w:szCs w:val="20"/>
              </w:rPr>
              <w:t xml:space="preserve"> from building decarbonization and energy efficiency efforts and RD&amp;D activities involving thermal energy storage across Gas RD&amp;D, EPIC, and other programs.</w:t>
            </w:r>
          </w:p>
          <w:p w:rsidRPr="00F64F88" w:rsidR="001E4CE1" w:rsidRDefault="001E4CE1" w14:paraId="666FD6AC" w14:textId="77777777">
            <w:pPr>
              <w:spacing w:before="240"/>
              <w:rPr>
                <w:color w:val="000000" w:themeColor="text1"/>
              </w:rPr>
            </w:pPr>
            <w:r w:rsidRPr="00BE4685">
              <w:rPr>
                <w:rFonts w:ascii="Palatino Linotype" w:hAnsi="Palatino Linotype" w:eastAsia="Palatino Linotype" w:cs="Palatino Linotype"/>
                <w:b/>
                <w:color w:val="000000" w:themeColor="text1"/>
                <w:sz w:val="20"/>
                <w:szCs w:val="20"/>
              </w:rPr>
              <w:t xml:space="preserve">SoCalGas is </w:t>
            </w:r>
            <w:r w:rsidRPr="00BE4685">
              <w:rPr>
                <w:rFonts w:ascii="Palatino Linotype" w:hAnsi="Palatino Linotype" w:eastAsia="Palatino Linotype" w:cs="Palatino Linotype"/>
                <w:b/>
                <w:i/>
                <w:iCs/>
                <w:color w:val="000000" w:themeColor="text1"/>
                <w:sz w:val="20"/>
                <w:szCs w:val="20"/>
              </w:rPr>
              <w:t>not</w:t>
            </w:r>
            <w:r w:rsidRPr="00BE4685">
              <w:rPr>
                <w:rFonts w:ascii="Palatino Linotype" w:hAnsi="Palatino Linotype" w:eastAsia="Palatino Linotype" w:cs="Palatino Linotype"/>
                <w:b/>
                <w:color w:val="000000" w:themeColor="text1"/>
                <w:sz w:val="20"/>
                <w:szCs w:val="20"/>
              </w:rPr>
              <w:t xml:space="preserve"> compliant with this requirement. </w:t>
            </w:r>
            <w:r w:rsidRPr="00BE4685">
              <w:rPr>
                <w:rFonts w:ascii="Palatino Linotype" w:hAnsi="Palatino Linotype" w:eastAsia="Palatino Linotype" w:cs="Palatino Linotype"/>
                <w:color w:val="000000" w:themeColor="text1"/>
                <w:sz w:val="20"/>
                <w:szCs w:val="20"/>
              </w:rPr>
              <w:t>For transparency, SoCalGas shall embed in the descriptions of each proposed Initiative detail differentiating similar RD&amp;D led by other Gas RD&amp;D administrators and conducted in other programs.</w:t>
            </w:r>
          </w:p>
        </w:tc>
      </w:tr>
    </w:tbl>
    <w:p w:rsidR="001E4CE1" w:rsidP="00E851DF" w:rsidRDefault="001E4CE1" w14:paraId="4285C917" w14:textId="77777777">
      <w:pPr>
        <w:keepNext/>
        <w:spacing w:after="0" w:line="240" w:lineRule="auto"/>
      </w:pPr>
    </w:p>
    <w:p w:rsidR="007B5857" w:rsidRDefault="007B5857" w14:paraId="35A479DB" w14:textId="77777777">
      <w:pPr>
        <w:sectPr w:rsidR="007B5857" w:rsidSect="0062004F">
          <w:pgSz w:w="15840" w:h="12240" w:orient="landscape"/>
          <w:pgMar w:top="720" w:right="720" w:bottom="720" w:left="720" w:header="720" w:footer="666" w:gutter="0"/>
          <w:cols w:space="720"/>
          <w:titlePg/>
          <w:docGrid w:linePitch="360"/>
        </w:sectPr>
      </w:pPr>
    </w:p>
    <w:p w:rsidR="001E4CE1" w:rsidRDefault="001E4CE1" w14:paraId="20096A48" w14:textId="50144B95"/>
    <w:p w:rsidR="0023749D" w:rsidP="002E2821" w:rsidRDefault="0023749D" w14:paraId="75AE98BC" w14:textId="77777777">
      <w:pPr>
        <w:spacing w:line="240" w:lineRule="auto"/>
        <w:rPr>
          <w:rFonts w:ascii="Palatino Linotype" w:hAnsi="Palatino Linotype"/>
          <w:b/>
          <w:bCs/>
          <w:sz w:val="36"/>
          <w:szCs w:val="36"/>
        </w:rPr>
      </w:pPr>
    </w:p>
    <w:p w:rsidR="0023749D" w:rsidP="002E2821" w:rsidRDefault="0023749D" w14:paraId="48CAE12E" w14:textId="77777777">
      <w:pPr>
        <w:spacing w:line="240" w:lineRule="auto"/>
        <w:rPr>
          <w:rFonts w:ascii="Palatino Linotype" w:hAnsi="Palatino Linotype"/>
          <w:b/>
          <w:bCs/>
          <w:sz w:val="36"/>
          <w:szCs w:val="36"/>
        </w:rPr>
      </w:pPr>
    </w:p>
    <w:p w:rsidR="0023749D" w:rsidP="002E2821" w:rsidRDefault="0023749D" w14:paraId="2D6847B7" w14:textId="77777777">
      <w:pPr>
        <w:spacing w:line="240" w:lineRule="auto"/>
        <w:rPr>
          <w:rFonts w:ascii="Palatino Linotype" w:hAnsi="Palatino Linotype"/>
          <w:b/>
          <w:bCs/>
          <w:sz w:val="36"/>
          <w:szCs w:val="36"/>
        </w:rPr>
      </w:pPr>
    </w:p>
    <w:p w:rsidR="00106A18" w:rsidP="002E2821" w:rsidRDefault="002C02FF" w14:paraId="2E9AC4A5" w14:textId="14940A81">
      <w:pPr>
        <w:spacing w:line="240" w:lineRule="auto"/>
        <w:rPr>
          <w:rFonts w:ascii="Palatino Linotype" w:hAnsi="Palatino Linotype"/>
          <w:b/>
          <w:bCs/>
          <w:sz w:val="36"/>
          <w:szCs w:val="36"/>
        </w:rPr>
      </w:pPr>
      <w:r w:rsidRPr="0023749D">
        <w:rPr>
          <w:rFonts w:ascii="Palatino Linotype" w:hAnsi="Palatino Linotype"/>
          <w:b/>
          <w:bCs/>
          <w:sz w:val="36"/>
          <w:szCs w:val="36"/>
        </w:rPr>
        <w:t>Appendix J: Compliance Assessment of Advice Letter 6646-G – 2027 Plan</w:t>
      </w:r>
    </w:p>
    <w:p w:rsidR="007B5857" w:rsidP="002E2821" w:rsidRDefault="007B5857" w14:paraId="14B858CA" w14:textId="77777777">
      <w:pPr>
        <w:spacing w:line="240" w:lineRule="auto"/>
        <w:rPr>
          <w:rFonts w:ascii="Palatino Linotype" w:hAnsi="Palatino Linotype"/>
          <w:b/>
          <w:bCs/>
          <w:sz w:val="36"/>
          <w:szCs w:val="36"/>
        </w:rPr>
      </w:pPr>
    </w:p>
    <w:p w:rsidR="007B5857" w:rsidP="002E2821" w:rsidRDefault="007B5857" w14:paraId="74E0EA7C" w14:textId="77777777">
      <w:pPr>
        <w:spacing w:line="240" w:lineRule="auto"/>
        <w:rPr>
          <w:rFonts w:ascii="Palatino Linotype" w:hAnsi="Palatino Linotype"/>
          <w:b/>
          <w:bCs/>
          <w:sz w:val="36"/>
          <w:szCs w:val="36"/>
        </w:rPr>
      </w:pPr>
    </w:p>
    <w:p w:rsidRPr="007B5857" w:rsidR="007B5857" w:rsidP="007B5857" w:rsidRDefault="007B5857" w14:paraId="3B7857A0" w14:textId="568E6F69">
      <w:pPr>
        <w:tabs>
          <w:tab w:val="left" w:pos="6636"/>
        </w:tabs>
        <w:rPr>
          <w:rFonts w:ascii="Palatino Linotype" w:hAnsi="Palatino Linotype"/>
          <w:sz w:val="36"/>
          <w:szCs w:val="36"/>
        </w:rPr>
      </w:pPr>
      <w:r>
        <w:rPr>
          <w:rFonts w:ascii="Palatino Linotype" w:hAnsi="Palatino Linotype"/>
          <w:sz w:val="36"/>
          <w:szCs w:val="36"/>
        </w:rPr>
        <w:tab/>
      </w:r>
    </w:p>
    <w:p w:rsidR="007B5857" w:rsidP="007B5857" w:rsidRDefault="007B5857" w14:paraId="5FCD0039" w14:textId="77777777">
      <w:pPr>
        <w:rPr>
          <w:rFonts w:ascii="Palatino Linotype" w:hAnsi="Palatino Linotype"/>
          <w:b/>
          <w:bCs/>
          <w:sz w:val="36"/>
          <w:szCs w:val="36"/>
        </w:rPr>
      </w:pPr>
    </w:p>
    <w:p w:rsidRPr="007B5857" w:rsidR="007B5857" w:rsidP="007B5857" w:rsidRDefault="007B5857" w14:paraId="775262F3" w14:textId="77777777">
      <w:pPr>
        <w:rPr>
          <w:rFonts w:ascii="Palatino Linotype" w:hAnsi="Palatino Linotype"/>
          <w:sz w:val="36"/>
          <w:szCs w:val="36"/>
        </w:rPr>
        <w:sectPr w:rsidRPr="007B5857" w:rsidR="007B5857" w:rsidSect="00644758">
          <w:footerReference w:type="default" r:id="rId136"/>
          <w:footerReference w:type="first" r:id="rId137"/>
          <w:pgSz w:w="15840" w:h="12240" w:orient="landscape"/>
          <w:pgMar w:top="720" w:right="720" w:bottom="720" w:left="720" w:header="720" w:footer="666" w:gutter="0"/>
          <w:pgNumType w:start="1"/>
          <w:cols w:space="720"/>
          <w:titlePg/>
          <w:docGrid w:linePitch="360"/>
        </w:sectPr>
      </w:pPr>
    </w:p>
    <w:tbl>
      <w:tblPr>
        <w:tblStyle w:val="TableGrid"/>
        <w:tblW w:w="14256" w:type="dxa"/>
        <w:tblLook w:val="04A0" w:firstRow="1" w:lastRow="0" w:firstColumn="1" w:lastColumn="0" w:noHBand="0" w:noVBand="1"/>
      </w:tblPr>
      <w:tblGrid>
        <w:gridCol w:w="3744"/>
        <w:gridCol w:w="6912"/>
        <w:gridCol w:w="3600"/>
      </w:tblGrid>
      <w:tr w:rsidRPr="00045BDB" w:rsidR="002A6629" w14:paraId="08D90E3C" w14:textId="77777777">
        <w:trPr>
          <w:trHeight w:val="330"/>
          <w:tblHeader/>
        </w:trPr>
        <w:tc>
          <w:tcPr>
            <w:tcW w:w="3744" w:type="dxa"/>
            <w:vAlign w:val="center"/>
          </w:tcPr>
          <w:p w:rsidRPr="00045BDB" w:rsidR="002A6629" w:rsidRDefault="002A6629" w14:paraId="78838965" w14:textId="77777777">
            <w:pPr>
              <w:rPr>
                <w:rFonts w:ascii="Palatino Linotype" w:hAnsi="Palatino Linotype"/>
                <w:b/>
                <w:bCs w:val="0"/>
                <w:sz w:val="20"/>
                <w:szCs w:val="20"/>
              </w:rPr>
            </w:pPr>
            <w:r w:rsidRPr="00045BDB">
              <w:rPr>
                <w:rFonts w:ascii="Palatino Linotype" w:hAnsi="Palatino Linotype"/>
                <w:b/>
                <w:sz w:val="20"/>
                <w:szCs w:val="20"/>
              </w:rPr>
              <w:lastRenderedPageBreak/>
              <w:t>CPUC Requirement</w:t>
            </w:r>
          </w:p>
        </w:tc>
        <w:tc>
          <w:tcPr>
            <w:tcW w:w="6912" w:type="dxa"/>
            <w:vAlign w:val="center"/>
          </w:tcPr>
          <w:p w:rsidRPr="00045BDB" w:rsidR="002A6629" w:rsidRDefault="002A6629" w14:paraId="693AE3FF" w14:textId="77777777">
            <w:pPr>
              <w:rPr>
                <w:rFonts w:ascii="Palatino Linotype" w:hAnsi="Palatino Linotype"/>
                <w:b/>
                <w:bCs w:val="0"/>
                <w:sz w:val="20"/>
                <w:szCs w:val="20"/>
              </w:rPr>
            </w:pPr>
            <w:r w:rsidRPr="00045BDB">
              <w:rPr>
                <w:rFonts w:ascii="Palatino Linotype" w:hAnsi="Palatino Linotype"/>
                <w:b/>
                <w:sz w:val="20"/>
                <w:szCs w:val="20"/>
              </w:rPr>
              <w:t>SoCalGas Response in AL 6646-G</w:t>
            </w:r>
          </w:p>
        </w:tc>
        <w:tc>
          <w:tcPr>
            <w:tcW w:w="3600" w:type="dxa"/>
            <w:vAlign w:val="center"/>
          </w:tcPr>
          <w:p w:rsidRPr="00045BDB" w:rsidR="002A6629" w:rsidRDefault="002A6629" w14:paraId="134994AB" w14:textId="77777777">
            <w:pPr>
              <w:rPr>
                <w:rFonts w:ascii="Palatino Linotype" w:hAnsi="Palatino Linotype"/>
                <w:b/>
                <w:bCs w:val="0"/>
                <w:sz w:val="20"/>
                <w:szCs w:val="20"/>
              </w:rPr>
            </w:pPr>
            <w:r w:rsidRPr="00045BDB">
              <w:rPr>
                <w:rFonts w:ascii="Palatino Linotype" w:hAnsi="Palatino Linotype"/>
                <w:b/>
                <w:sz w:val="20"/>
                <w:szCs w:val="20"/>
              </w:rPr>
              <w:t>Compliance Assessment</w:t>
            </w:r>
          </w:p>
        </w:tc>
      </w:tr>
      <w:tr w:rsidRPr="00045BDB" w:rsidR="002A6629" w14:paraId="7CA5EEB2" w14:textId="77777777">
        <w:trPr>
          <w:trHeight w:val="638"/>
          <w:tblHeader/>
        </w:trPr>
        <w:tc>
          <w:tcPr>
            <w:tcW w:w="3744" w:type="dxa"/>
          </w:tcPr>
          <w:p w:rsidRPr="00045BDB" w:rsidR="002A6629" w:rsidRDefault="002A6629" w14:paraId="0A03CA6C" w14:textId="77777777">
            <w:pPr>
              <w:rPr>
                <w:rFonts w:ascii="Palatino Linotype" w:hAnsi="Palatino Linotype"/>
                <w:i/>
                <w:iCs/>
                <w:sz w:val="20"/>
                <w:szCs w:val="20"/>
              </w:rPr>
            </w:pPr>
            <w:r w:rsidRPr="00045BDB">
              <w:rPr>
                <w:rFonts w:ascii="Palatino Linotype" w:hAnsi="Palatino Linotype"/>
                <w:b/>
                <w:sz w:val="20"/>
                <w:szCs w:val="20"/>
              </w:rPr>
              <w:t xml:space="preserve">[1] </w:t>
            </w:r>
            <w:hyperlink r:id="rId138">
              <w:r w:rsidRPr="00045BDB">
                <w:rPr>
                  <w:rStyle w:val="Hyperlink"/>
                  <w:rFonts w:ascii="Palatino Linotype" w:hAnsi="Palatino Linotype"/>
                  <w:sz w:val="20"/>
                  <w:szCs w:val="20"/>
                </w:rPr>
                <w:t>D.19-09-051</w:t>
              </w:r>
            </w:hyperlink>
            <w:r w:rsidRPr="00045BDB">
              <w:rPr>
                <w:rFonts w:ascii="Palatino Linotype" w:hAnsi="Palatino Linotype"/>
                <w:sz w:val="20"/>
                <w:szCs w:val="20"/>
              </w:rPr>
              <w:t xml:space="preserve"> at p. 378-379 &amp; OP 30. </w:t>
            </w:r>
            <w:r w:rsidRPr="00045BDB">
              <w:rPr>
                <w:rFonts w:ascii="Palatino Linotype" w:hAnsi="Palatino Linotype"/>
                <w:i/>
                <w:iCs/>
                <w:sz w:val="20"/>
                <w:szCs w:val="20"/>
              </w:rPr>
              <w:t>[SoCalGas shall] provide Energy Division staff with the workshop presentation materials as well as documentation of stakeholders consulted in the development of RD&amp;D projects… [and host an annual workshop to] present the result of the previous year’s RD&amp;D program and obtain input regarding its intended spending for the following calendar year.</w:t>
            </w:r>
            <w:r w:rsidRPr="00045BDB">
              <w:rPr>
                <w:rStyle w:val="FootnoteReference"/>
                <w:rFonts w:ascii="Palatino Linotype" w:hAnsi="Palatino Linotype"/>
                <w:i/>
                <w:iCs/>
                <w:sz w:val="20"/>
                <w:szCs w:val="20"/>
              </w:rPr>
              <w:footnoteReference w:id="449"/>
            </w:r>
          </w:p>
          <w:p w:rsidRPr="00045BDB" w:rsidR="002A6629" w:rsidRDefault="002A6629" w14:paraId="4E7954AB" w14:textId="77777777">
            <w:pPr>
              <w:rPr>
                <w:rFonts w:ascii="Palatino Linotype" w:hAnsi="Palatino Linotype"/>
                <w:i/>
                <w:iCs/>
                <w:sz w:val="20"/>
                <w:szCs w:val="20"/>
              </w:rPr>
            </w:pPr>
            <w:r w:rsidRPr="00045BDB">
              <w:rPr>
                <w:rFonts w:ascii="Palatino Linotype" w:hAnsi="Palatino Linotype"/>
                <w:i/>
                <w:iCs/>
                <w:sz w:val="20"/>
                <w:szCs w:val="20"/>
              </w:rPr>
              <w:t> </w:t>
            </w:r>
          </w:p>
          <w:p w:rsidRPr="00045BDB" w:rsidR="002A6629" w:rsidRDefault="002A6629" w14:paraId="1FB2103F" w14:textId="77777777">
            <w:pPr>
              <w:rPr>
                <w:rFonts w:ascii="Palatino Linotype" w:hAnsi="Palatino Linotype"/>
                <w:sz w:val="20"/>
                <w:szCs w:val="20"/>
              </w:rPr>
            </w:pPr>
            <w:r w:rsidRPr="00045BDB">
              <w:rPr>
                <w:rFonts w:ascii="Palatino Linotype" w:hAnsi="Palatino Linotype"/>
                <w:sz w:val="20"/>
                <w:szCs w:val="20"/>
              </w:rPr>
              <w:t>See also: [18] on integration of public stakeholder feedback.</w:t>
            </w:r>
            <w:r w:rsidRPr="00045BDB">
              <w:rPr>
                <w:rFonts w:ascii="Times New Roman" w:hAnsi="Times New Roman" w:cs="Times New Roman"/>
                <w:sz w:val="20"/>
                <w:szCs w:val="20"/>
              </w:rPr>
              <w:t> </w:t>
            </w:r>
            <w:r w:rsidRPr="00045BDB">
              <w:rPr>
                <w:rFonts w:ascii="Palatino Linotype" w:hAnsi="Palatino Linotype" w:cs="Palatino Linotype"/>
                <w:sz w:val="20"/>
                <w:szCs w:val="20"/>
              </w:rPr>
              <w:t> </w:t>
            </w:r>
          </w:p>
          <w:p w:rsidRPr="00045BDB" w:rsidR="002A6629" w:rsidRDefault="002A6629" w14:paraId="0D25F87D" w14:textId="77777777">
            <w:pPr>
              <w:rPr>
                <w:rFonts w:ascii="Palatino Linotype" w:hAnsi="Palatino Linotype"/>
                <w:i/>
                <w:iCs/>
                <w:sz w:val="20"/>
                <w:szCs w:val="20"/>
              </w:rPr>
            </w:pPr>
          </w:p>
        </w:tc>
        <w:tc>
          <w:tcPr>
            <w:tcW w:w="6912" w:type="dxa"/>
          </w:tcPr>
          <w:p w:rsidRPr="00045BDB" w:rsidR="002A6629" w:rsidRDefault="002A6629" w14:paraId="04BA7E59"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 xml:space="preserve">SoCalGas states the following: </w:t>
            </w:r>
          </w:p>
          <w:p w:rsidRPr="00045BDB" w:rsidR="002A6629" w:rsidP="002A6629" w:rsidRDefault="002A6629" w14:paraId="018DD2E2" w14:textId="77777777">
            <w:pPr>
              <w:pStyle w:val="ListParagraph"/>
              <w:numPr>
                <w:ilvl w:val="0"/>
                <w:numId w:val="85"/>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 xml:space="preserve">“On February 19, 2026, SoCalGas submitted its workshop presentation materials to the CPUC’s Energy Division for final review. The ESJ Advisory Panel for </w:t>
            </w:r>
            <w:proofErr w:type="gramStart"/>
            <w:r w:rsidRPr="00045BDB">
              <w:rPr>
                <w:rFonts w:ascii="Palatino Linotype" w:hAnsi="Palatino Linotype" w:eastAsia="Palatino Linotype" w:cs="Palatino Linotype"/>
                <w:color w:val="000000" w:themeColor="text1"/>
                <w:sz w:val="20"/>
                <w:szCs w:val="20"/>
              </w:rPr>
              <w:t>the Joint</w:t>
            </w:r>
            <w:proofErr w:type="gramEnd"/>
            <w:r w:rsidRPr="00045BDB">
              <w:rPr>
                <w:rFonts w:ascii="Palatino Linotype" w:hAnsi="Palatino Linotype" w:eastAsia="Palatino Linotype" w:cs="Palatino Linotype"/>
                <w:color w:val="000000" w:themeColor="text1"/>
                <w:sz w:val="20"/>
                <w:szCs w:val="20"/>
              </w:rPr>
              <w:t xml:space="preserve"> Gas R&amp;D Workshop was established through a coordinated effort among the CEC, PG&amp;E, and SoCalGas. The Energy Division staff was consulted for the panel selection process and identification of relevant stakeholders that were invited to attend.”</w:t>
            </w:r>
            <w:r w:rsidRPr="00045BDB">
              <w:rPr>
                <w:rStyle w:val="FootnoteReference"/>
                <w:rFonts w:ascii="Palatino Linotype" w:hAnsi="Palatino Linotype" w:eastAsia="Palatino Linotype" w:cs="Palatino Linotype"/>
                <w:color w:val="000000" w:themeColor="text1"/>
                <w:sz w:val="20"/>
                <w:szCs w:val="20"/>
              </w:rPr>
              <w:footnoteReference w:id="450"/>
            </w:r>
          </w:p>
          <w:p w:rsidRPr="00045BDB" w:rsidR="002A6629" w:rsidP="002A6629" w:rsidRDefault="002A6629" w14:paraId="38DFE492" w14:textId="77777777">
            <w:pPr>
              <w:pStyle w:val="ListParagraph"/>
              <w:numPr>
                <w:ilvl w:val="0"/>
                <w:numId w:val="85"/>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“On February 27, 2026, SoCalGas presented its 2026 and 2027 Research Plans at the joint Gas RD&amp;D Public Workshop. In consultation with Energy Division staff, CEC, and PG&amp;E, SoCalGas extended invitations to and encouraged virtual participation from approximately 340 stakeholders. SoCalGas also sent notifications of the workshop to several relevant service lists. Approximately 240 individuals attended the workshop, including representatives from multiple research organizations…”</w:t>
            </w:r>
            <w:r w:rsidRPr="00045BDB">
              <w:rPr>
                <w:rStyle w:val="FootnoteReference"/>
                <w:rFonts w:ascii="Palatino Linotype" w:hAnsi="Palatino Linotype" w:eastAsia="Palatino Linotype" w:cs="Palatino Linotype"/>
                <w:color w:val="000000" w:themeColor="text1"/>
                <w:sz w:val="20"/>
                <w:szCs w:val="20"/>
              </w:rPr>
              <w:footnoteReference w:id="451"/>
            </w:r>
          </w:p>
          <w:p w:rsidRPr="00045BDB" w:rsidR="002A6629" w:rsidP="002A6629" w:rsidRDefault="002A6629" w14:paraId="00507EEC" w14:textId="77777777">
            <w:pPr>
              <w:pStyle w:val="ListParagraph"/>
              <w:numPr>
                <w:ilvl w:val="0"/>
                <w:numId w:val="85"/>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“During the two-hour workshop, the RD&amp;D team presented 2025 program results along with proposed spending and activities for the 2026 and 2027 Research Plans.”</w:t>
            </w:r>
            <w:r w:rsidRPr="00045BDB">
              <w:rPr>
                <w:rStyle w:val="FootnoteReference"/>
                <w:rFonts w:ascii="Palatino Linotype" w:hAnsi="Palatino Linotype" w:eastAsia="Palatino Linotype" w:cs="Palatino Linotype"/>
                <w:color w:val="000000" w:themeColor="text1"/>
                <w:sz w:val="20"/>
                <w:szCs w:val="20"/>
              </w:rPr>
              <w:footnoteReference w:id="452"/>
            </w:r>
          </w:p>
          <w:p w:rsidRPr="00045BDB" w:rsidR="002A6629" w:rsidRDefault="002A6629" w14:paraId="2B21E66C" w14:textId="77777777">
            <w:pPr>
              <w:spacing w:before="240"/>
              <w:rPr>
                <w:rStyle w:val="FootnoteReference"/>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In its 2027 Plan, SoCalGas discussed the feedback it received from public workshop attendees.</w:t>
            </w:r>
            <w:r w:rsidRPr="00045BDB">
              <w:rPr>
                <w:rStyle w:val="FootnoteReference"/>
                <w:rFonts w:ascii="Palatino Linotype" w:hAnsi="Palatino Linotype" w:eastAsia="Palatino Linotype" w:cs="Palatino Linotype"/>
                <w:color w:val="000000" w:themeColor="text1"/>
                <w:sz w:val="20"/>
                <w:szCs w:val="20"/>
              </w:rPr>
              <w:footnoteReference w:id="453"/>
            </w:r>
          </w:p>
        </w:tc>
        <w:tc>
          <w:tcPr>
            <w:tcW w:w="3600" w:type="dxa"/>
          </w:tcPr>
          <w:p w:rsidRPr="00045BDB" w:rsidR="002A6629" w:rsidRDefault="002A6629" w14:paraId="4E918A09" w14:textId="77777777">
            <w:r w:rsidRPr="00045BDB">
              <w:rPr>
                <w:rFonts w:ascii="Palatino Linotype" w:hAnsi="Palatino Linotype" w:eastAsia="Palatino Linotype" w:cs="Palatino Linotype"/>
                <w:color w:val="000000" w:themeColor="text1"/>
                <w:sz w:val="20"/>
                <w:szCs w:val="20"/>
              </w:rPr>
              <w:t xml:space="preserve">SoCalGas provided Energy Division staff with workshop materials in advance of hosting an annual public workshop to seek input on proposed Plans. </w:t>
            </w:r>
            <w:r w:rsidRPr="00045BDB">
              <w:rPr>
                <w:rFonts w:ascii="Palatino Linotype" w:hAnsi="Palatino Linotype" w:eastAsia="Palatino Linotype" w:cs="Palatino Linotype"/>
                <w:b/>
                <w:color w:val="000000" w:themeColor="text1"/>
                <w:sz w:val="20"/>
                <w:szCs w:val="20"/>
              </w:rPr>
              <w:t>SoCalGas is compliant with this requirement.</w:t>
            </w:r>
          </w:p>
          <w:p w:rsidRPr="00045BDB" w:rsidR="002A6629" w:rsidRDefault="002A6629" w14:paraId="40696A77" w14:textId="77777777">
            <w:pPr>
              <w:rPr>
                <w:rFonts w:ascii="Palatino Linotype" w:hAnsi="Palatino Linotype"/>
                <w:b/>
                <w:bCs w:val="0"/>
                <w:color w:val="000000" w:themeColor="text1"/>
                <w:sz w:val="20"/>
                <w:szCs w:val="20"/>
              </w:rPr>
            </w:pPr>
          </w:p>
          <w:p w:rsidRPr="00045BDB" w:rsidR="002A6629" w:rsidRDefault="002A6629" w14:paraId="27261FFD" w14:textId="77777777">
            <w:pPr>
              <w:rPr>
                <w:rFonts w:ascii="Palatino Linotype" w:hAnsi="Palatino Linotype" w:eastAsia="Palatino Linotype" w:cs="Palatino Linotype"/>
                <w:sz w:val="20"/>
                <w:szCs w:val="20"/>
              </w:rPr>
            </w:pPr>
          </w:p>
        </w:tc>
      </w:tr>
      <w:tr w:rsidRPr="00045BDB" w:rsidR="002A6629" w14:paraId="41979FFD" w14:textId="77777777">
        <w:trPr>
          <w:trHeight w:val="638"/>
          <w:tblHeader/>
        </w:trPr>
        <w:tc>
          <w:tcPr>
            <w:tcW w:w="3744" w:type="dxa"/>
          </w:tcPr>
          <w:p w:rsidRPr="00045BDB" w:rsidR="002A6629" w:rsidRDefault="002A6629" w14:paraId="04C30EF0" w14:textId="77777777">
            <w:pPr>
              <w:rPr>
                <w:rFonts w:ascii="Palatino Linotype" w:hAnsi="Palatino Linotype"/>
                <w:i/>
                <w:iCs/>
                <w:sz w:val="20"/>
                <w:szCs w:val="20"/>
              </w:rPr>
            </w:pPr>
            <w:r w:rsidRPr="00045BDB">
              <w:rPr>
                <w:rFonts w:ascii="Palatino Linotype" w:hAnsi="Palatino Linotype"/>
                <w:b/>
                <w:sz w:val="20"/>
                <w:szCs w:val="20"/>
              </w:rPr>
              <w:t xml:space="preserve">[2] </w:t>
            </w:r>
            <w:hyperlink r:id="rId139">
              <w:r w:rsidRPr="00045BDB">
                <w:rPr>
                  <w:rStyle w:val="Hyperlink"/>
                  <w:rFonts w:ascii="Palatino Linotype" w:hAnsi="Palatino Linotype"/>
                  <w:sz w:val="20"/>
                  <w:szCs w:val="20"/>
                </w:rPr>
                <w:t>D.19-09-051</w:t>
              </w:r>
            </w:hyperlink>
            <w:r w:rsidRPr="00045BDB">
              <w:rPr>
                <w:rFonts w:ascii="Palatino Linotype" w:hAnsi="Palatino Linotype"/>
                <w:sz w:val="20"/>
                <w:szCs w:val="20"/>
              </w:rPr>
              <w:t xml:space="preserve"> at p. 378 &amp; OP 30. </w:t>
            </w:r>
            <w:r w:rsidRPr="00045BDB">
              <w:rPr>
                <w:rFonts w:ascii="Palatino Linotype" w:hAnsi="Palatino Linotype"/>
                <w:i/>
                <w:iCs/>
                <w:sz w:val="20"/>
                <w:szCs w:val="20"/>
              </w:rPr>
              <w:t>[SoCalGas shall] submit a report to Energy Division staff describing prior years’ RD&amp;D program. This should include a summary of ongoing and completed projects; funds expended, funding recipients, and leveraged funding; and an explanation of the process used for selecting RD&amp;D project areas as well as the structure of SoCalGas’ RD&amp;D portfolio.</w:t>
            </w:r>
            <w:r w:rsidRPr="00045BDB">
              <w:rPr>
                <w:rStyle w:val="FootnoteReference"/>
                <w:rFonts w:ascii="Palatino Linotype" w:hAnsi="Palatino Linotype"/>
                <w:i/>
                <w:iCs/>
                <w:sz w:val="20"/>
                <w:szCs w:val="20"/>
              </w:rPr>
              <w:footnoteReference w:id="454"/>
            </w:r>
          </w:p>
        </w:tc>
        <w:tc>
          <w:tcPr>
            <w:tcW w:w="6912" w:type="dxa"/>
          </w:tcPr>
          <w:p w:rsidRPr="00045BDB" w:rsidR="002A6629" w:rsidRDefault="002A6629" w14:paraId="4A20D2CC" w14:textId="77777777">
            <w:pPr>
              <w:rPr>
                <w:rStyle w:val="FootnoteReference"/>
                <w:rFonts w:ascii="Palatino Linotype" w:hAnsi="Palatino Linotype" w:eastAsia="Palatino Linotype" w:cs="Palatino Linotype"/>
                <w:color w:val="000000" w:themeColor="text1"/>
                <w:sz w:val="20"/>
                <w:szCs w:val="20"/>
              </w:rPr>
            </w:pPr>
            <w:r w:rsidRPr="00045BDB">
              <w:rPr>
                <w:rFonts w:ascii="Palatino Linotype" w:hAnsi="Palatino Linotype"/>
                <w:color w:val="000000" w:themeColor="text1"/>
                <w:sz w:val="20"/>
                <w:szCs w:val="20"/>
              </w:rPr>
              <w:t>SoCalGas’ 2026 Annual Report is anticipated in Spring 2027.</w:t>
            </w:r>
          </w:p>
          <w:p w:rsidRPr="00045BDB" w:rsidR="002A6629" w:rsidRDefault="002A6629" w14:paraId="6843AC21" w14:textId="77777777">
            <w:pPr>
              <w:rPr>
                <w:rFonts w:ascii="Palatino Linotype" w:hAnsi="Palatino Linotype"/>
                <w:color w:val="000000" w:themeColor="text1"/>
                <w:sz w:val="20"/>
                <w:szCs w:val="20"/>
              </w:rPr>
            </w:pPr>
          </w:p>
        </w:tc>
        <w:tc>
          <w:tcPr>
            <w:tcW w:w="3600" w:type="dxa"/>
          </w:tcPr>
          <w:p w:rsidRPr="00045BDB" w:rsidR="002A6629" w:rsidRDefault="002A6629" w14:paraId="072F6DE5" w14:textId="77777777">
            <w:pPr>
              <w:rPr>
                <w:rFonts w:ascii="Palatino Linotype" w:hAnsi="Palatino Linotype" w:eastAsia="Palatino Linotype" w:cs="Palatino Linotype"/>
                <w:color w:val="000000" w:themeColor="text1"/>
                <w:sz w:val="20"/>
                <w:szCs w:val="20"/>
                <w:vertAlign w:val="superscript"/>
              </w:rPr>
            </w:pPr>
            <w:r w:rsidRPr="00045BDB">
              <w:rPr>
                <w:rFonts w:ascii="Palatino Linotype" w:hAnsi="Palatino Linotype"/>
                <w:color w:val="000000" w:themeColor="text1"/>
                <w:sz w:val="20"/>
                <w:szCs w:val="20"/>
              </w:rPr>
              <w:t xml:space="preserve">Given SoCalGas’ 2026 Annual Report is anticipated in Spring 2027, </w:t>
            </w:r>
            <w:r w:rsidRPr="00045BDB">
              <w:rPr>
                <w:rFonts w:ascii="Palatino Linotype" w:hAnsi="Palatino Linotype"/>
                <w:b/>
                <w:color w:val="000000" w:themeColor="text1"/>
                <w:sz w:val="20"/>
                <w:szCs w:val="20"/>
              </w:rPr>
              <w:t>SoCalGas is anticipated to be compliant with this requirement</w:t>
            </w:r>
            <w:r w:rsidRPr="00045BDB">
              <w:rPr>
                <w:rFonts w:ascii="Palatino Linotype" w:hAnsi="Palatino Linotype"/>
                <w:color w:val="000000" w:themeColor="text1"/>
                <w:sz w:val="20"/>
                <w:szCs w:val="20"/>
              </w:rPr>
              <w:t>.</w:t>
            </w:r>
          </w:p>
        </w:tc>
      </w:tr>
      <w:tr w:rsidRPr="00045BDB" w:rsidR="002A6629" w14:paraId="0DE5E8BF" w14:textId="77777777">
        <w:trPr>
          <w:trHeight w:val="638"/>
          <w:tblHeader/>
        </w:trPr>
        <w:tc>
          <w:tcPr>
            <w:tcW w:w="3744" w:type="dxa"/>
          </w:tcPr>
          <w:p w:rsidRPr="00045BDB" w:rsidR="002A6629" w:rsidRDefault="002A6629" w14:paraId="70E196C8" w14:textId="77777777">
            <w:pPr>
              <w:rPr>
                <w:rFonts w:ascii="Palatino Linotype" w:hAnsi="Palatino Linotype"/>
                <w:i/>
                <w:iCs/>
                <w:sz w:val="20"/>
                <w:szCs w:val="20"/>
              </w:rPr>
            </w:pPr>
            <w:r w:rsidRPr="00045BDB">
              <w:rPr>
                <w:rFonts w:ascii="Palatino Linotype" w:hAnsi="Palatino Linotype"/>
                <w:b/>
                <w:sz w:val="20"/>
                <w:szCs w:val="20"/>
              </w:rPr>
              <w:lastRenderedPageBreak/>
              <w:t>[3]</w:t>
            </w:r>
            <w:r w:rsidRPr="00045BDB">
              <w:rPr>
                <w:rFonts w:ascii="Palatino Linotype" w:hAnsi="Palatino Linotype"/>
                <w:sz w:val="20"/>
                <w:szCs w:val="20"/>
              </w:rPr>
              <w:t xml:space="preserve"> </w:t>
            </w:r>
            <w:hyperlink r:id="rId140">
              <w:r w:rsidRPr="00045BDB">
                <w:rPr>
                  <w:rStyle w:val="Hyperlink"/>
                  <w:rFonts w:ascii="Palatino Linotype" w:hAnsi="Palatino Linotype"/>
                  <w:sz w:val="20"/>
                  <w:szCs w:val="20"/>
                </w:rPr>
                <w:t>D.19-09-051</w:t>
              </w:r>
            </w:hyperlink>
            <w:r w:rsidRPr="00045BDB">
              <w:rPr>
                <w:rFonts w:ascii="Palatino Linotype" w:hAnsi="Palatino Linotype"/>
                <w:sz w:val="20"/>
                <w:szCs w:val="20"/>
              </w:rPr>
              <w:t xml:space="preserve"> at p. 379 &amp; OP 30. </w:t>
            </w:r>
            <w:r w:rsidRPr="00045BDB">
              <w:rPr>
                <w:rFonts w:ascii="Palatino Linotype" w:hAnsi="Palatino Linotype"/>
                <w:i/>
                <w:iCs/>
                <w:sz w:val="20"/>
                <w:szCs w:val="20"/>
              </w:rPr>
              <w:t>After considering stakeholder comments during the workshop, SoCalGas shall file a Tier 3 Advice Letter with its research plan for the following calendar year.</w:t>
            </w:r>
            <w:r w:rsidRPr="00045BDB">
              <w:rPr>
                <w:rStyle w:val="FootnoteReference"/>
                <w:rFonts w:ascii="Palatino Linotype" w:hAnsi="Palatino Linotype"/>
                <w:i/>
                <w:iCs/>
                <w:sz w:val="20"/>
                <w:szCs w:val="20"/>
              </w:rPr>
              <w:footnoteReference w:id="455"/>
            </w:r>
          </w:p>
        </w:tc>
        <w:tc>
          <w:tcPr>
            <w:tcW w:w="6912" w:type="dxa"/>
          </w:tcPr>
          <w:p w:rsidRPr="00045BDB" w:rsidR="002A6629" w:rsidRDefault="002A6629" w14:paraId="196269C0" w14:textId="77777777">
            <w:pPr>
              <w:spacing w:after="160"/>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submitted its proposed 2027 Plan via Tier 3 AL 6646-G on June 1, 2026, for advance consideration given the approaching end of D.24-12-074 GRC funding cycle in 2027.</w:t>
            </w:r>
          </w:p>
        </w:tc>
        <w:tc>
          <w:tcPr>
            <w:tcW w:w="3600" w:type="dxa"/>
          </w:tcPr>
          <w:p w:rsidRPr="00045BDB" w:rsidR="002A6629" w:rsidRDefault="002A6629" w14:paraId="6F7F9E39" w14:textId="77777777">
            <w:pPr>
              <w:rPr>
                <w:rFonts w:ascii="Palatino Linotype" w:hAnsi="Palatino Linotype" w:eastAsia="Palatino Linotype" w:cs="Palatino Linotype"/>
                <w:b/>
                <w:bCs w:val="0"/>
                <w:color w:val="000000" w:themeColor="text1"/>
                <w:sz w:val="20"/>
                <w:szCs w:val="20"/>
              </w:rPr>
            </w:pPr>
            <w:r w:rsidRPr="00045BDB">
              <w:rPr>
                <w:rFonts w:ascii="Palatino Linotype" w:hAnsi="Palatino Linotype" w:eastAsia="Palatino Linotype" w:cs="Palatino Linotype"/>
                <w:color w:val="000000" w:themeColor="text1"/>
                <w:sz w:val="20"/>
                <w:szCs w:val="20"/>
              </w:rPr>
              <w:t xml:space="preserve">SoCalGas filed a Tier 3 AL with its proposed 2027 Plan. </w:t>
            </w:r>
            <w:r w:rsidRPr="00045BDB">
              <w:rPr>
                <w:rFonts w:ascii="Palatino Linotype" w:hAnsi="Palatino Linotype" w:eastAsia="Palatino Linotype" w:cs="Palatino Linotype"/>
                <w:b/>
                <w:color w:val="000000" w:themeColor="text1"/>
                <w:sz w:val="20"/>
                <w:szCs w:val="20"/>
              </w:rPr>
              <w:t>SoCalGas is compliant with this requirement.</w:t>
            </w:r>
          </w:p>
        </w:tc>
      </w:tr>
      <w:tr w:rsidRPr="00045BDB" w:rsidR="002A6629" w14:paraId="0DC97AED" w14:textId="77777777">
        <w:trPr>
          <w:trHeight w:val="638"/>
          <w:tblHeader/>
        </w:trPr>
        <w:tc>
          <w:tcPr>
            <w:tcW w:w="3744" w:type="dxa"/>
          </w:tcPr>
          <w:p w:rsidRPr="00045BDB" w:rsidR="002A6629" w:rsidRDefault="002A6629" w14:paraId="481E9A90" w14:textId="77777777">
            <w:pPr>
              <w:rPr>
                <w:rFonts w:ascii="Palatino Linotype" w:hAnsi="Palatino Linotype"/>
                <w:i/>
                <w:iCs/>
                <w:sz w:val="20"/>
                <w:szCs w:val="20"/>
              </w:rPr>
            </w:pPr>
            <w:r w:rsidRPr="00045BDB">
              <w:rPr>
                <w:rFonts w:ascii="Palatino Linotype" w:hAnsi="Palatino Linotype"/>
                <w:b/>
                <w:sz w:val="20"/>
                <w:szCs w:val="20"/>
              </w:rPr>
              <w:t xml:space="preserve">[4] </w:t>
            </w:r>
            <w:hyperlink r:id="rId141">
              <w:r w:rsidRPr="00045BDB">
                <w:rPr>
                  <w:rStyle w:val="Hyperlink"/>
                  <w:rFonts w:ascii="Palatino Linotype" w:hAnsi="Palatino Linotype"/>
                  <w:sz w:val="20"/>
                  <w:szCs w:val="20"/>
                </w:rPr>
                <w:t>D.19-09-051</w:t>
              </w:r>
            </w:hyperlink>
            <w:r w:rsidRPr="00045BDB">
              <w:rPr>
                <w:rFonts w:ascii="Palatino Linotype" w:hAnsi="Palatino Linotype"/>
                <w:sz w:val="20"/>
                <w:szCs w:val="20"/>
              </w:rPr>
              <w:t xml:space="preserve"> at p. 379 &amp; OP 30. </w:t>
            </w:r>
            <w:r w:rsidRPr="00045BDB">
              <w:rPr>
                <w:rFonts w:ascii="Palatino Linotype" w:hAnsi="Palatino Linotype"/>
                <w:i/>
                <w:iCs/>
                <w:sz w:val="20"/>
                <w:szCs w:val="20"/>
              </w:rPr>
              <w:t xml:space="preserve">SoCalGas must also present its budget broken down by research projects, </w:t>
            </w:r>
          </w:p>
          <w:p w:rsidRPr="00045BDB" w:rsidR="002A6629" w:rsidRDefault="002A6629" w14:paraId="591C6279" w14:textId="77777777">
            <w:pPr>
              <w:rPr>
                <w:rFonts w:ascii="Palatino Linotype" w:hAnsi="Palatino Linotype"/>
                <w:sz w:val="20"/>
                <w:szCs w:val="20"/>
              </w:rPr>
            </w:pPr>
            <w:r w:rsidRPr="00045BDB">
              <w:rPr>
                <w:rFonts w:ascii="Palatino Linotype" w:hAnsi="Palatino Linotype"/>
                <w:i/>
                <w:iCs/>
                <w:sz w:val="20"/>
                <w:szCs w:val="20"/>
              </w:rPr>
              <w:t>request for proposals, and funding amounts… [and] detail budgets broken down by research sub-program area.</w:t>
            </w:r>
          </w:p>
        </w:tc>
        <w:tc>
          <w:tcPr>
            <w:tcW w:w="6912" w:type="dxa"/>
          </w:tcPr>
          <w:p w:rsidRPr="00045BDB" w:rsidR="002A6629" w:rsidRDefault="002A6629" w14:paraId="30FAA5D5" w14:textId="77777777">
            <w:pPr>
              <w:rPr>
                <w:rFonts w:ascii="Palatino Linotype" w:hAnsi="Palatino Linotype"/>
                <w:vertAlign w:val="superscript"/>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proposes budget allocations to several Initiatives within two themes:</w:t>
            </w:r>
          </w:p>
          <w:p w:rsidRPr="00045BDB" w:rsidR="002A6629" w:rsidP="002A6629" w:rsidRDefault="002A6629" w14:paraId="1AB8A91C" w14:textId="77777777">
            <w:pPr>
              <w:pStyle w:val="ListParagraph"/>
              <w:numPr>
                <w:ilvl w:val="0"/>
                <w:numId w:val="83"/>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Gas System Integrity Investment Theme:</w:t>
            </w:r>
          </w:p>
          <w:p w:rsidRPr="00045BDB" w:rsidR="002A6629" w:rsidP="002A6629" w:rsidRDefault="002A6629" w14:paraId="393C4AA6"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Environment &amp; Safety</w:t>
            </w:r>
          </w:p>
          <w:p w:rsidRPr="00045BDB" w:rsidR="002A6629" w:rsidP="002A6629" w:rsidRDefault="002A6629" w14:paraId="590893FA"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System Inspection &amp; Monitoring</w:t>
            </w:r>
          </w:p>
          <w:p w:rsidRPr="00045BDB" w:rsidR="002A6629" w:rsidP="002A6629" w:rsidRDefault="002A6629" w14:paraId="3921B736"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Community Impact &amp; Energy Conservation</w:t>
            </w:r>
          </w:p>
          <w:p w:rsidRPr="00045BDB" w:rsidR="002A6629" w:rsidP="002A6629" w:rsidRDefault="002A6629" w14:paraId="5D7E60D7"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System Design &amp; Materials</w:t>
            </w:r>
          </w:p>
          <w:p w:rsidRPr="00045BDB" w:rsidR="002A6629" w:rsidP="002A6629" w:rsidRDefault="002A6629" w14:paraId="54560A38"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RNG Infrastructure Optimization</w:t>
            </w:r>
          </w:p>
          <w:p w:rsidRPr="00045BDB" w:rsidR="002A6629" w:rsidP="002A6629" w:rsidRDefault="002A6629" w14:paraId="03D2F8B0" w14:textId="77777777">
            <w:pPr>
              <w:pStyle w:val="ListParagraph"/>
              <w:numPr>
                <w:ilvl w:val="0"/>
                <w:numId w:val="83"/>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Decarbonization Investment Theme</w:t>
            </w:r>
          </w:p>
          <w:p w:rsidRPr="00045BDB" w:rsidR="002A6629" w:rsidP="002A6629" w:rsidRDefault="002A6629" w14:paraId="4F9B3275"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Low-Carbon Fuel Technologies</w:t>
            </w:r>
          </w:p>
          <w:p w:rsidRPr="00045BDB" w:rsidR="002A6629" w:rsidP="002A6629" w:rsidRDefault="002A6629" w14:paraId="0FEB8707"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Energy Reliability &amp; Resilience</w:t>
            </w:r>
          </w:p>
          <w:p w:rsidRPr="00045BDB" w:rsidR="002A6629" w:rsidP="002A6629" w:rsidRDefault="002A6629" w14:paraId="59A7C6D2" w14:textId="77777777">
            <w:pPr>
              <w:pStyle w:val="ListParagraph"/>
              <w:numPr>
                <w:ilvl w:val="1"/>
                <w:numId w:val="83"/>
              </w:numPr>
              <w:ind w:left="108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Building &amp; Facility Systems</w:t>
            </w:r>
          </w:p>
        </w:tc>
        <w:tc>
          <w:tcPr>
            <w:tcW w:w="3600" w:type="dxa"/>
          </w:tcPr>
          <w:p w:rsidRPr="00045BDB" w:rsidR="002A6629" w:rsidRDefault="002A6629" w14:paraId="148357BC"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 xml:space="preserve">SoCalGas details budgets broken down by research sub-program area. </w:t>
            </w:r>
            <w:r w:rsidRPr="00045BDB">
              <w:rPr>
                <w:rFonts w:ascii="Palatino Linotype" w:hAnsi="Palatino Linotype"/>
                <w:b/>
                <w:color w:val="000000" w:themeColor="text1"/>
                <w:sz w:val="20"/>
                <w:szCs w:val="20"/>
              </w:rPr>
              <w:t>SoCalGas is compliant with this requirement.</w:t>
            </w:r>
          </w:p>
        </w:tc>
      </w:tr>
      <w:tr w:rsidRPr="00045BDB" w:rsidR="002A6629" w14:paraId="4B38E315" w14:textId="77777777">
        <w:trPr>
          <w:trHeight w:val="638"/>
          <w:tblHeader/>
        </w:trPr>
        <w:tc>
          <w:tcPr>
            <w:tcW w:w="3744" w:type="dxa"/>
          </w:tcPr>
          <w:p w:rsidRPr="00045BDB" w:rsidR="002A6629" w:rsidRDefault="002A6629" w14:paraId="057D8F59" w14:textId="77777777">
            <w:pPr>
              <w:rPr>
                <w:rFonts w:ascii="Palatino Linotype" w:hAnsi="Palatino Linotype"/>
                <w:sz w:val="20"/>
                <w:szCs w:val="20"/>
              </w:rPr>
            </w:pPr>
            <w:r w:rsidRPr="00045BDB">
              <w:rPr>
                <w:rFonts w:ascii="Palatino Linotype" w:hAnsi="Palatino Linotype"/>
                <w:b/>
                <w:sz w:val="20"/>
                <w:szCs w:val="20"/>
              </w:rPr>
              <w:t>[5]</w:t>
            </w:r>
            <w:r w:rsidRPr="00045BDB">
              <w:rPr>
                <w:rFonts w:ascii="Palatino Linotype" w:hAnsi="Palatino Linotype"/>
                <w:sz w:val="20"/>
                <w:szCs w:val="20"/>
              </w:rPr>
              <w:t xml:space="preserve"> </w:t>
            </w:r>
            <w:hyperlink r:id="rId142">
              <w:r w:rsidRPr="00045BDB">
                <w:rPr>
                  <w:rStyle w:val="Hyperlink"/>
                  <w:rFonts w:ascii="Palatino Linotype" w:hAnsi="Palatino Linotype"/>
                  <w:sz w:val="20"/>
                  <w:szCs w:val="20"/>
                </w:rPr>
                <w:t>D.24-12-074</w:t>
              </w:r>
            </w:hyperlink>
            <w:r w:rsidRPr="00045BDB">
              <w:rPr>
                <w:rFonts w:ascii="Palatino Linotype" w:hAnsi="Palatino Linotype"/>
              </w:rPr>
              <w:t xml:space="preserve"> </w:t>
            </w:r>
            <w:r w:rsidRPr="00045BDB">
              <w:rPr>
                <w:rFonts w:ascii="Palatino Linotype" w:hAnsi="Palatino Linotype"/>
                <w:sz w:val="20"/>
                <w:szCs w:val="20"/>
              </w:rPr>
              <w:t>authorized a $19.508M budget for SoCalGas’ 2026 Gas RD&amp;D Plan.</w:t>
            </w:r>
            <w:r w:rsidRPr="00045BDB">
              <w:rPr>
                <w:rStyle w:val="FootnoteReference"/>
                <w:rFonts w:ascii="Palatino Linotype" w:hAnsi="Palatino Linotype"/>
                <w:sz w:val="20"/>
                <w:szCs w:val="20"/>
              </w:rPr>
              <w:footnoteReference w:id="456"/>
            </w:r>
          </w:p>
        </w:tc>
        <w:tc>
          <w:tcPr>
            <w:tcW w:w="6912" w:type="dxa"/>
          </w:tcPr>
          <w:p w:rsidRPr="00045BDB" w:rsidR="002A6629" w:rsidRDefault="002A6629" w14:paraId="3CF0F41E" w14:textId="77777777">
            <w:pPr>
              <w:rPr>
                <w:rStyle w:val="FootnoteReference"/>
                <w:rFonts w:ascii="Palatino Linotype" w:hAnsi="Palatino Linotype" w:eastAsia="Aptos" w:cs="Aptos"/>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requests an annual budget of $19.508M for its 2027 Gas RD&amp;D Plan.</w:t>
            </w:r>
            <w:r w:rsidRPr="00045BDB">
              <w:rPr>
                <w:rStyle w:val="FootnoteReference"/>
                <w:rFonts w:ascii="Palatino Linotype" w:hAnsi="Palatino Linotype" w:eastAsia="Aptos" w:cs="Aptos"/>
              </w:rPr>
              <w:footnoteReference w:id="457"/>
            </w:r>
          </w:p>
        </w:tc>
        <w:tc>
          <w:tcPr>
            <w:tcW w:w="3600" w:type="dxa"/>
          </w:tcPr>
          <w:p w:rsidRPr="00045BDB" w:rsidR="002A6629" w:rsidRDefault="002A6629" w14:paraId="02D1F1E0" w14:textId="77777777">
            <w:pPr>
              <w:rPr>
                <w:rFonts w:ascii="Palatino Linotype" w:hAnsi="Palatino Linotype"/>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request for $19.508M for its 2027 Gas RD&amp;D Plan is consistent with the authorized budget. </w:t>
            </w:r>
            <w:r w:rsidRPr="00045BDB">
              <w:rPr>
                <w:rFonts w:ascii="Palatino Linotype" w:hAnsi="Palatino Linotype"/>
                <w:b/>
                <w:color w:val="000000" w:themeColor="text1"/>
                <w:sz w:val="20"/>
                <w:szCs w:val="20"/>
              </w:rPr>
              <w:t>SoCalGas is compliant with this requirement.</w:t>
            </w:r>
          </w:p>
        </w:tc>
      </w:tr>
      <w:tr w:rsidRPr="00045BDB" w:rsidR="002A6629" w14:paraId="7363407C" w14:textId="77777777">
        <w:trPr>
          <w:trHeight w:val="1115"/>
          <w:tblHeader/>
        </w:trPr>
        <w:tc>
          <w:tcPr>
            <w:tcW w:w="3744" w:type="dxa"/>
          </w:tcPr>
          <w:p w:rsidRPr="00045BDB" w:rsidR="002A6629" w:rsidRDefault="002A6629" w14:paraId="606C8C1F" w14:textId="77777777">
            <w:pPr>
              <w:rPr>
                <w:rFonts w:ascii="Palatino Linotype" w:hAnsi="Palatino Linotype"/>
                <w:sz w:val="20"/>
                <w:szCs w:val="20"/>
              </w:rPr>
            </w:pPr>
            <w:r w:rsidRPr="00045BDB">
              <w:rPr>
                <w:rFonts w:ascii="Palatino Linotype" w:hAnsi="Palatino Linotype"/>
                <w:b/>
                <w:sz w:val="20"/>
                <w:szCs w:val="20"/>
              </w:rPr>
              <w:lastRenderedPageBreak/>
              <w:t>[6]</w:t>
            </w:r>
            <w:r w:rsidRPr="00045BDB">
              <w:rPr>
                <w:rFonts w:ascii="Palatino Linotype" w:hAnsi="Palatino Linotype"/>
                <w:sz w:val="20"/>
                <w:szCs w:val="20"/>
              </w:rPr>
              <w:t xml:space="preserve"> California Public Utilities Code Section 740.1 at:</w:t>
            </w:r>
          </w:p>
          <w:p w:rsidRPr="00045BDB" w:rsidR="002A6629" w:rsidRDefault="002A6629" w14:paraId="3F487CE5" w14:textId="77777777">
            <w:pPr>
              <w:rPr>
                <w:rFonts w:ascii="Palatino Linotype" w:hAnsi="Palatino Linotype" w:eastAsia="Palatino Linotype" w:cs="Times New Roman"/>
                <w:i/>
                <w:iCs/>
                <w:color w:val="000000" w:themeColor="text1"/>
                <w:sz w:val="20"/>
                <w:szCs w:val="20"/>
              </w:rPr>
            </w:pPr>
            <w:r w:rsidRPr="00045BDB">
              <w:rPr>
                <w:rFonts w:ascii="Palatino Linotype" w:hAnsi="Palatino Linotype" w:eastAsia="Palatino Linotype" w:cs="Times New Roman"/>
                <w:color w:val="000000" w:themeColor="text1"/>
                <w:sz w:val="20"/>
                <w:szCs w:val="20"/>
              </w:rPr>
              <w:t>(a)</w:t>
            </w:r>
            <w:r w:rsidRPr="00045BDB">
              <w:rPr>
                <w:rFonts w:ascii="Palatino Linotype" w:hAnsi="Palatino Linotype" w:eastAsia="Palatino Linotype" w:cs="Times New Roman"/>
                <w:i/>
                <w:iCs/>
                <w:color w:val="000000" w:themeColor="text1"/>
                <w:sz w:val="20"/>
                <w:szCs w:val="20"/>
              </w:rPr>
              <w:t xml:space="preserve"> Projects should offer a reasonable probability of providing benefits to ratepayers.</w:t>
            </w:r>
          </w:p>
          <w:p w:rsidRPr="00045BDB" w:rsidR="002A6629" w:rsidRDefault="002A6629" w14:paraId="5AEC2BCA" w14:textId="77777777">
            <w:pPr>
              <w:rPr>
                <w:rFonts w:ascii="Palatino Linotype" w:hAnsi="Palatino Linotype" w:eastAsia="Palatino Linotype" w:cs="Times New Roman"/>
                <w:i/>
                <w:iCs/>
                <w:color w:val="000000" w:themeColor="text1"/>
                <w:sz w:val="20"/>
                <w:szCs w:val="20"/>
              </w:rPr>
            </w:pPr>
            <w:r w:rsidRPr="00045BDB">
              <w:rPr>
                <w:rFonts w:ascii="Palatino Linotype" w:hAnsi="Palatino Linotype" w:eastAsia="Palatino Linotype" w:cs="Times New Roman"/>
                <w:color w:val="000000" w:themeColor="text1"/>
                <w:sz w:val="20"/>
                <w:szCs w:val="20"/>
              </w:rPr>
              <w:t>(b)</w:t>
            </w:r>
            <w:r w:rsidRPr="00045BDB">
              <w:rPr>
                <w:rFonts w:ascii="Palatino Linotype" w:hAnsi="Palatino Linotype" w:eastAsia="Palatino Linotype" w:cs="Times New Roman"/>
                <w:i/>
                <w:iCs/>
                <w:color w:val="000000" w:themeColor="text1"/>
                <w:sz w:val="20"/>
                <w:szCs w:val="20"/>
              </w:rPr>
              <w:t xml:space="preserve"> Expenditures on projects which have a low probability for success should be minimized.</w:t>
            </w:r>
          </w:p>
          <w:p w:rsidRPr="00045BDB" w:rsidR="002A6629" w:rsidRDefault="002A6629" w14:paraId="3158D2FA" w14:textId="77777777">
            <w:pPr>
              <w:rPr>
                <w:rFonts w:ascii="Palatino Linotype" w:hAnsi="Palatino Linotype" w:eastAsia="Palatino Linotype" w:cs="Times New Roman"/>
                <w:i/>
                <w:iCs/>
                <w:color w:val="000000" w:themeColor="text1"/>
                <w:sz w:val="20"/>
                <w:szCs w:val="20"/>
              </w:rPr>
            </w:pPr>
          </w:p>
          <w:p w:rsidRPr="00045BDB" w:rsidR="002A6629" w:rsidRDefault="002A6629" w14:paraId="37A29E8E" w14:textId="77777777">
            <w:pPr>
              <w:rPr>
                <w:rFonts w:ascii="Palatino Linotype" w:hAnsi="Palatino Linotype" w:eastAsia="Palatino Linotype" w:cs="Times New Roman"/>
                <w:color w:val="000000" w:themeColor="text1"/>
                <w:sz w:val="20"/>
                <w:szCs w:val="20"/>
              </w:rPr>
            </w:pPr>
            <w:r w:rsidRPr="00045BDB">
              <w:rPr>
                <w:rFonts w:ascii="Palatino Linotype" w:hAnsi="Palatino Linotype" w:eastAsia="Palatino Linotype" w:cs="Times New Roman"/>
                <w:color w:val="000000" w:themeColor="text1"/>
                <w:sz w:val="20"/>
                <w:szCs w:val="20"/>
              </w:rPr>
              <w:t>See also: [19].</w:t>
            </w:r>
          </w:p>
        </w:tc>
        <w:tc>
          <w:tcPr>
            <w:tcW w:w="6912" w:type="dxa"/>
          </w:tcPr>
          <w:p w:rsidRPr="00045BDB" w:rsidR="002A6629" w:rsidRDefault="002A6629" w14:paraId="74A99057"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details anticipated ratepayer benefits, including air quality, reduced GHG emissions, reliability, and improved safety. It provides justification for the use of ratepayer funds for each initiative.</w:t>
            </w:r>
            <w:r w:rsidRPr="00045BDB">
              <w:rPr>
                <w:rStyle w:val="FootnoteReference"/>
                <w:rFonts w:ascii="Palatino Linotype" w:hAnsi="Palatino Linotype" w:eastAsia="Palatino Linotype" w:cs="Palatino Linotype"/>
                <w:color w:val="000000" w:themeColor="text1"/>
                <w:sz w:val="20"/>
                <w:szCs w:val="20"/>
              </w:rPr>
              <w:footnoteReference w:id="458"/>
            </w:r>
          </w:p>
          <w:p w:rsidRPr="00045BDB" w:rsidR="002A6629" w:rsidRDefault="002A6629" w14:paraId="281342E2" w14:textId="77777777">
            <w:pPr>
              <w:spacing w:before="240"/>
              <w:rPr>
                <w:rFonts w:ascii="Palatino Linotype" w:hAnsi="Palatino Linotype"/>
                <w:color w:val="000000" w:themeColor="text1"/>
                <w:sz w:val="20"/>
                <w:szCs w:val="20"/>
              </w:rPr>
            </w:pPr>
            <w:r w:rsidRPr="00045BDB">
              <w:rPr>
                <w:rFonts w:ascii="Palatino Linotype" w:hAnsi="Palatino Linotype"/>
                <w:color w:val="000000" w:themeColor="text1"/>
                <w:sz w:val="20"/>
                <w:szCs w:val="20"/>
              </w:rPr>
              <w:t xml:space="preserve">SoCalGas requests funding for carbon capture activities under the “Carbon Management Integration” Research Topic for its </w:t>
            </w:r>
            <w:r w:rsidRPr="00045BDB">
              <w:rPr>
                <w:rFonts w:ascii="Palatino Linotype" w:hAnsi="Palatino Linotype"/>
                <w:color w:val="000000" w:themeColor="text1"/>
                <w:sz w:val="20"/>
                <w:szCs w:val="20"/>
                <w:u w:val="single"/>
              </w:rPr>
              <w:t>Energy Reliability &amp; Resilience</w:t>
            </w:r>
            <w:r w:rsidRPr="00045BDB">
              <w:rPr>
                <w:rFonts w:ascii="Palatino Linotype" w:hAnsi="Palatino Linotype"/>
                <w:color w:val="000000" w:themeColor="text1"/>
                <w:sz w:val="20"/>
                <w:szCs w:val="20"/>
              </w:rPr>
              <w:t xml:space="preserve"> Initiative.</w:t>
            </w:r>
            <w:r w:rsidRPr="00045BDB">
              <w:rPr>
                <w:rStyle w:val="FootnoteReference"/>
                <w:rFonts w:ascii="Palatino Linotype" w:hAnsi="Palatino Linotype"/>
                <w:color w:val="000000" w:themeColor="text1"/>
                <w:sz w:val="20"/>
                <w:szCs w:val="20"/>
              </w:rPr>
              <w:footnoteReference w:id="459"/>
            </w:r>
            <w:r w:rsidRPr="00045BDB">
              <w:rPr>
                <w:rFonts w:ascii="Palatino Linotype" w:hAnsi="Palatino Linotype"/>
                <w:color w:val="000000" w:themeColor="text1"/>
                <w:sz w:val="20"/>
                <w:szCs w:val="20"/>
              </w:rPr>
              <w:t xml:space="preserve"> SoCalGas also requests funding for the “Optimized H2S Removal Strategies for Low-Cost Operations and Materials Preservation” project under the </w:t>
            </w:r>
            <w:r w:rsidRPr="00045BDB">
              <w:rPr>
                <w:rFonts w:ascii="Palatino Linotype" w:hAnsi="Palatino Linotype"/>
                <w:color w:val="000000" w:themeColor="text1"/>
                <w:sz w:val="20"/>
                <w:szCs w:val="20"/>
                <w:u w:val="single"/>
              </w:rPr>
              <w:t>RNG Infrastructure Optimization</w:t>
            </w:r>
            <w:r w:rsidRPr="00045BDB">
              <w:rPr>
                <w:rFonts w:ascii="Palatino Linotype" w:hAnsi="Palatino Linotype"/>
                <w:color w:val="000000" w:themeColor="text1"/>
                <w:sz w:val="20"/>
                <w:szCs w:val="20"/>
              </w:rPr>
              <w:t xml:space="preserve"> Initiative.</w:t>
            </w:r>
            <w:r w:rsidRPr="00045BDB">
              <w:rPr>
                <w:rStyle w:val="FootnoteReference"/>
                <w:rFonts w:ascii="Palatino Linotype" w:hAnsi="Palatino Linotype"/>
                <w:color w:val="000000" w:themeColor="text1"/>
                <w:sz w:val="20"/>
                <w:szCs w:val="20"/>
              </w:rPr>
              <w:footnoteReference w:id="460"/>
            </w:r>
          </w:p>
        </w:tc>
        <w:tc>
          <w:tcPr>
            <w:tcW w:w="3600" w:type="dxa"/>
          </w:tcPr>
          <w:p w:rsidRPr="00045BDB" w:rsidR="002A6629" w:rsidRDefault="002A6629" w14:paraId="05F99386" w14:textId="77777777">
            <w:pPr>
              <w:rPr>
                <w:rFonts w:ascii="Palatino Linotype" w:hAnsi="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 xml:space="preserve">SoCalGas demonstrates that many projects offer a reasonable probability of providing benefits to ratepayers. </w:t>
            </w:r>
            <w:r w:rsidRPr="00045BDB">
              <w:rPr>
                <w:rFonts w:ascii="Palatino Linotype" w:hAnsi="Palatino Linotype" w:eastAsia="Palatino Linotype" w:cs="Palatino Linotype"/>
                <w:b/>
                <w:color w:val="000000" w:themeColor="text1"/>
                <w:sz w:val="20"/>
                <w:szCs w:val="20"/>
              </w:rPr>
              <w:t>SoCalGas is compliant with this requirement</w:t>
            </w:r>
            <w:r w:rsidRPr="00045BDB">
              <w:rPr>
                <w:rFonts w:ascii="Palatino Linotype" w:hAnsi="Palatino Linotype" w:eastAsia="Palatino Linotype" w:cs="Palatino Linotype"/>
                <w:color w:val="000000" w:themeColor="text1"/>
                <w:sz w:val="20"/>
                <w:szCs w:val="20"/>
              </w:rPr>
              <w:t xml:space="preserve">, </w:t>
            </w:r>
            <w:proofErr w:type="gramStart"/>
            <w:r w:rsidRPr="00045BDB">
              <w:rPr>
                <w:rFonts w:ascii="Palatino Linotype" w:hAnsi="Palatino Linotype" w:eastAsia="Palatino Linotype" w:cs="Palatino Linotype"/>
                <w:color w:val="000000" w:themeColor="text1"/>
                <w:sz w:val="20"/>
                <w:szCs w:val="20"/>
              </w:rPr>
              <w:t>with the exception of</w:t>
            </w:r>
            <w:proofErr w:type="gramEnd"/>
            <w:r w:rsidRPr="00045BDB">
              <w:rPr>
                <w:rFonts w:ascii="Palatino Linotype" w:hAnsi="Palatino Linotype" w:eastAsia="Palatino Linotype" w:cs="Palatino Linotype"/>
                <w:color w:val="000000" w:themeColor="text1"/>
                <w:sz w:val="20"/>
                <w:szCs w:val="20"/>
              </w:rPr>
              <w:t xml:space="preserve"> the </w:t>
            </w:r>
            <w:r w:rsidRPr="00045BDB">
              <w:rPr>
                <w:rFonts w:ascii="Palatino Linotype" w:hAnsi="Palatino Linotype"/>
                <w:color w:val="000000" w:themeColor="text1"/>
                <w:sz w:val="20"/>
                <w:szCs w:val="20"/>
              </w:rPr>
              <w:t>Energy Reliability &amp; Resilience and RNG Infrastructure Optimization Initiative</w:t>
            </w:r>
          </w:p>
          <w:p w:rsidRPr="00347B5B" w:rsidR="002A6629" w:rsidRDefault="00F728D5" w14:paraId="529D30BA" w14:textId="7BD45439">
            <w:pPr>
              <w:spacing w:before="240"/>
              <w:rPr>
                <w:rFonts w:ascii="Palatino Linotype" w:hAnsi="Palatino Linotype"/>
                <w:color w:val="000000" w:themeColor="text1"/>
                <w:sz w:val="20"/>
              </w:rPr>
            </w:pPr>
            <w:r w:rsidRPr="00F728D5">
              <w:rPr>
                <w:rFonts w:ascii="Palatino Linotype" w:hAnsi="Palatino Linotype"/>
                <w:color w:val="000000" w:themeColor="text1"/>
                <w:sz w:val="20"/>
                <w:szCs w:val="20"/>
              </w:rPr>
              <w:t xml:space="preserve">However, as described in this Resolution, SoCalGas’ requests for hydrogen-related RD&amp;D projects </w:t>
            </w:r>
            <w:proofErr w:type="gramStart"/>
            <w:r w:rsidRPr="00F728D5">
              <w:rPr>
                <w:rFonts w:ascii="Palatino Linotype" w:hAnsi="Palatino Linotype"/>
                <w:color w:val="000000" w:themeColor="text1"/>
                <w:sz w:val="20"/>
                <w:szCs w:val="20"/>
              </w:rPr>
              <w:t>are</w:t>
            </w:r>
            <w:proofErr w:type="gramEnd"/>
            <w:r w:rsidRPr="00F728D5">
              <w:rPr>
                <w:rFonts w:ascii="Palatino Linotype" w:hAnsi="Palatino Linotype"/>
                <w:color w:val="000000" w:themeColor="text1"/>
                <w:sz w:val="20"/>
                <w:szCs w:val="20"/>
              </w:rPr>
              <w:t xml:space="preserve"> not complaint </w:t>
            </w:r>
            <w:proofErr w:type="gramStart"/>
            <w:r w:rsidRPr="00F728D5">
              <w:rPr>
                <w:rFonts w:ascii="Palatino Linotype" w:hAnsi="Palatino Linotype"/>
                <w:color w:val="000000" w:themeColor="text1"/>
                <w:sz w:val="20"/>
                <w:szCs w:val="20"/>
              </w:rPr>
              <w:t>with</w:t>
            </w:r>
            <w:proofErr w:type="gramEnd"/>
            <w:r w:rsidRPr="00F728D5">
              <w:rPr>
                <w:rFonts w:ascii="Palatino Linotype" w:hAnsi="Palatino Linotype"/>
                <w:color w:val="000000" w:themeColor="text1"/>
                <w:sz w:val="20"/>
                <w:szCs w:val="20"/>
              </w:rPr>
              <w:t xml:space="preserve"> this requirement to demonstrate clear ratepayer benefit.</w:t>
            </w:r>
            <w:r w:rsidRPr="00F728D5">
              <w:rPr>
                <w:rStyle w:val="FootnoteReference"/>
                <w:rFonts w:ascii="Palatino Linotype" w:hAnsi="Palatino Linotype"/>
                <w:color w:val="000000" w:themeColor="text1"/>
                <w:sz w:val="20"/>
                <w:szCs w:val="20"/>
              </w:rPr>
              <w:footnoteReference w:id="461"/>
            </w:r>
            <w:r w:rsidRPr="00F728D5">
              <w:rPr>
                <w:rFonts w:ascii="Palatino Linotype" w:hAnsi="Palatino Linotype"/>
                <w:color w:val="000000" w:themeColor="text1"/>
                <w:sz w:val="20"/>
                <w:szCs w:val="20"/>
              </w:rPr>
              <w:t xml:space="preserve"> </w:t>
            </w:r>
            <w:r w:rsidRPr="00045BDB" w:rsidR="002A6629">
              <w:rPr>
                <w:rFonts w:ascii="Palatino Linotype" w:hAnsi="Palatino Linotype" w:eastAsia="Palatino Linotype" w:cs="Palatino Linotype"/>
                <w:color w:val="000000" w:themeColor="text1"/>
                <w:sz w:val="20"/>
                <w:szCs w:val="20"/>
              </w:rPr>
              <w:t xml:space="preserve">The Commission does not authorize additional funding for hydrogen-related RD&amp;D projects. SoCalGas must reallocate funds proposed for hydrogen projects for eligible purposes. </w:t>
            </w:r>
            <w:r w:rsidR="005572AF">
              <w:rPr>
                <w:rFonts w:ascii="Palatino Linotype" w:hAnsi="Palatino Linotype" w:eastAsia="Palatino Linotype" w:cs="Palatino Linotype"/>
                <w:color w:val="000000" w:themeColor="text1"/>
                <w:sz w:val="20"/>
                <w:szCs w:val="20"/>
              </w:rPr>
              <w:t>F</w:t>
            </w:r>
            <w:r w:rsidR="00630EEF">
              <w:rPr>
                <w:rFonts w:ascii="Palatino Linotype" w:hAnsi="Palatino Linotype" w:eastAsia="Palatino Linotype" w:cs="Palatino Linotype"/>
                <w:color w:val="000000" w:themeColor="text1"/>
                <w:sz w:val="20"/>
                <w:szCs w:val="20"/>
              </w:rPr>
              <w:t>urther, f</w:t>
            </w:r>
            <w:r w:rsidR="005572AF">
              <w:rPr>
                <w:rFonts w:ascii="Palatino Linotype" w:hAnsi="Palatino Linotype" w:eastAsia="Palatino Linotype" w:cs="Palatino Linotype"/>
                <w:color w:val="000000" w:themeColor="text1"/>
                <w:sz w:val="20"/>
                <w:szCs w:val="20"/>
              </w:rPr>
              <w:t xml:space="preserve">or the </w:t>
            </w:r>
            <w:r w:rsidRPr="005572AF" w:rsidR="005572AF">
              <w:rPr>
                <w:rFonts w:ascii="Palatino Linotype" w:hAnsi="Palatino Linotype"/>
                <w:color w:val="000000" w:themeColor="text1"/>
                <w:sz w:val="20"/>
                <w:szCs w:val="20"/>
              </w:rPr>
              <w:t>Energy Reliability &amp; Resilience Initiative,</w:t>
            </w:r>
            <w:r w:rsidR="00C9605B">
              <w:rPr>
                <w:rFonts w:ascii="Palatino Linotype" w:hAnsi="Palatino Linotype"/>
                <w:color w:val="000000" w:themeColor="text1"/>
                <w:sz w:val="20"/>
                <w:szCs w:val="20"/>
              </w:rPr>
              <w:t xml:space="preserve"> </w:t>
            </w:r>
            <w:r w:rsidRPr="005572AF" w:rsidR="005572AF">
              <w:rPr>
                <w:rFonts w:ascii="Palatino Linotype" w:hAnsi="Palatino Linotype"/>
                <w:color w:val="000000" w:themeColor="text1"/>
                <w:sz w:val="20"/>
                <w:szCs w:val="20"/>
              </w:rPr>
              <w:t>SoCalGas must provide further detail on the “Carbon Management Integration” Research Topic as described herein.</w:t>
            </w:r>
            <w:r w:rsidR="005572AF">
              <w:rPr>
                <w:rFonts w:ascii="Palatino Linotype" w:hAnsi="Palatino Linotype"/>
                <w:color w:val="000000" w:themeColor="text1"/>
                <w:sz w:val="20"/>
                <w:szCs w:val="20"/>
              </w:rPr>
              <w:t xml:space="preserve"> </w:t>
            </w:r>
            <w:r w:rsidRPr="00045BDB" w:rsidR="002A6629">
              <w:rPr>
                <w:rFonts w:ascii="Palatino Linotype" w:hAnsi="Palatino Linotype" w:eastAsia="Palatino Linotype" w:cs="Palatino Linotype"/>
                <w:color w:val="000000" w:themeColor="text1"/>
                <w:sz w:val="20"/>
                <w:szCs w:val="20"/>
              </w:rPr>
              <w:t xml:space="preserve">For these Initiatives, </w:t>
            </w:r>
            <w:r w:rsidRPr="00045BDB" w:rsidR="002A6629">
              <w:rPr>
                <w:rFonts w:ascii="Palatino Linotype" w:hAnsi="Palatino Linotype" w:eastAsia="Palatino Linotype" w:cs="Palatino Linotype"/>
                <w:b/>
                <w:color w:val="000000" w:themeColor="text1"/>
                <w:sz w:val="20"/>
                <w:szCs w:val="20"/>
              </w:rPr>
              <w:t xml:space="preserve">SoCalGas is </w:t>
            </w:r>
            <w:r w:rsidRPr="00045BDB" w:rsidR="002A6629">
              <w:rPr>
                <w:rFonts w:ascii="Palatino Linotype" w:hAnsi="Palatino Linotype" w:eastAsia="Palatino Linotype" w:cs="Palatino Linotype"/>
                <w:b/>
                <w:i/>
                <w:iCs/>
                <w:color w:val="000000" w:themeColor="text1"/>
                <w:sz w:val="20"/>
                <w:szCs w:val="20"/>
              </w:rPr>
              <w:t xml:space="preserve">not </w:t>
            </w:r>
            <w:r w:rsidRPr="00045BDB" w:rsidR="002A6629">
              <w:rPr>
                <w:rFonts w:ascii="Palatino Linotype" w:hAnsi="Palatino Linotype" w:eastAsia="Palatino Linotype" w:cs="Palatino Linotype"/>
                <w:b/>
                <w:color w:val="000000" w:themeColor="text1"/>
                <w:sz w:val="20"/>
                <w:szCs w:val="20"/>
              </w:rPr>
              <w:t>compliant with this requirement.</w:t>
            </w:r>
            <w:r w:rsidRPr="00045BDB" w:rsidR="002A6629">
              <w:rPr>
                <w:rFonts w:ascii="Palatino Linotype" w:hAnsi="Palatino Linotype" w:eastAsia="Palatino Linotype" w:cs="Palatino Linotype"/>
                <w:color w:val="000000" w:themeColor="text1"/>
                <w:sz w:val="20"/>
                <w:szCs w:val="20"/>
              </w:rPr>
              <w:t xml:space="preserve"> </w:t>
            </w:r>
          </w:p>
        </w:tc>
      </w:tr>
      <w:tr w:rsidRPr="00045BDB" w:rsidR="002A6629" w14:paraId="463AAB1C" w14:textId="77777777">
        <w:trPr>
          <w:trHeight w:val="638"/>
          <w:tblHeader/>
        </w:trPr>
        <w:tc>
          <w:tcPr>
            <w:tcW w:w="3744" w:type="dxa"/>
          </w:tcPr>
          <w:p w:rsidRPr="00045BDB" w:rsidR="002A6629" w:rsidRDefault="002A6629" w14:paraId="41ADCAFC" w14:textId="77777777">
            <w:pPr>
              <w:rPr>
                <w:rFonts w:ascii="Palatino Linotype" w:hAnsi="Palatino Linotype"/>
                <w:sz w:val="20"/>
                <w:szCs w:val="20"/>
              </w:rPr>
            </w:pPr>
            <w:r w:rsidRPr="00045BDB">
              <w:rPr>
                <w:rFonts w:ascii="Palatino Linotype" w:hAnsi="Palatino Linotype"/>
                <w:b/>
                <w:sz w:val="20"/>
                <w:szCs w:val="20"/>
              </w:rPr>
              <w:lastRenderedPageBreak/>
              <w:t>[7]</w:t>
            </w:r>
            <w:r w:rsidRPr="00045BDB">
              <w:rPr>
                <w:rFonts w:ascii="Palatino Linotype" w:hAnsi="Palatino Linotype"/>
                <w:sz w:val="20"/>
                <w:szCs w:val="20"/>
              </w:rPr>
              <w:t xml:space="preserve"> California Public Utilities Code Section 740.1 at (c) </w:t>
            </w:r>
            <w:r w:rsidRPr="00045BDB">
              <w:rPr>
                <w:rFonts w:ascii="Palatino Linotype" w:hAnsi="Palatino Linotype"/>
                <w:i/>
                <w:iCs/>
                <w:sz w:val="20"/>
                <w:szCs w:val="20"/>
              </w:rPr>
              <w:t>Projects should be consistent with the corporation's resource plan.</w:t>
            </w:r>
          </w:p>
        </w:tc>
        <w:tc>
          <w:tcPr>
            <w:tcW w:w="6912" w:type="dxa"/>
          </w:tcPr>
          <w:p w:rsidRPr="00045BDB" w:rsidR="002A6629" w:rsidRDefault="002A6629" w14:paraId="4350FBCA"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states that it “[champions] technologies </w:t>
            </w:r>
          </w:p>
          <w:p w:rsidRPr="00045BDB" w:rsidR="002A6629" w:rsidRDefault="002A6629" w14:paraId="14D850D9"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that support affordable access to clean, safe, and reliable energy for all Californians.”</w:t>
            </w:r>
            <w:r w:rsidRPr="00045BDB">
              <w:rPr>
                <w:rStyle w:val="FootnoteReference"/>
                <w:rFonts w:ascii="Palatino Linotype" w:hAnsi="Palatino Linotype" w:eastAsia="Palatino Linotype" w:cs="Palatino Linotype"/>
                <w:color w:val="000000" w:themeColor="text1"/>
                <w:sz w:val="20"/>
                <w:szCs w:val="20"/>
              </w:rPr>
              <w:footnoteReference w:id="462"/>
            </w:r>
          </w:p>
          <w:p w:rsidRPr="00045BDB" w:rsidR="002A6629" w:rsidRDefault="002A6629" w14:paraId="49A24DDA" w14:textId="77777777">
            <w:pPr>
              <w:spacing w:before="240"/>
              <w:rPr>
                <w:rFonts w:ascii="Palatino Linotype" w:hAnsi="Palatino Linotype" w:eastAsia="Palatino Linotype" w:cs="Palatino Linotype"/>
                <w:color w:val="000000" w:themeColor="text1"/>
                <w:sz w:val="20"/>
                <w:szCs w:val="20"/>
                <w:vertAlign w:val="superscript"/>
              </w:rPr>
            </w:pPr>
            <w:r w:rsidRPr="00045BDB">
              <w:rPr>
                <w:rFonts w:ascii="Palatino Linotype" w:hAnsi="Palatino Linotype" w:eastAsia="Palatino Linotype" w:cs="Palatino Linotype"/>
                <w:color w:val="000000" w:themeColor="text1"/>
                <w:sz w:val="20"/>
                <w:szCs w:val="20"/>
              </w:rPr>
              <w:t xml:space="preserve">Consistent with this, SoCalGas states that Initiatives in its </w:t>
            </w:r>
            <w:r w:rsidRPr="00045BDB">
              <w:rPr>
                <w:rFonts w:ascii="Palatino Linotype" w:hAnsi="Palatino Linotype" w:eastAsia="Palatino Linotype" w:cs="Palatino Linotype"/>
                <w:color w:val="000000" w:themeColor="text1"/>
                <w:sz w:val="20"/>
                <w:szCs w:val="20"/>
                <w:u w:val="single"/>
              </w:rPr>
              <w:t xml:space="preserve">Gas System Integrity </w:t>
            </w:r>
            <w:r w:rsidRPr="00045BDB">
              <w:rPr>
                <w:rFonts w:ascii="Palatino Linotype" w:hAnsi="Palatino Linotype" w:eastAsia="Palatino Linotype" w:cs="Palatino Linotype"/>
                <w:color w:val="000000" w:themeColor="text1"/>
                <w:sz w:val="20"/>
                <w:szCs w:val="20"/>
              </w:rPr>
              <w:t>theme support “supply, transmission, distribution, storage, and customer operations through innovations that enhance pipeline, public, and employee safety, maintain system reliability, increase operational efficiency, improve affordability, and reduce GHG impacts to the environment.”</w:t>
            </w:r>
            <w:r w:rsidRPr="00045BDB">
              <w:rPr>
                <w:rStyle w:val="FootnoteReference"/>
                <w:rFonts w:ascii="Palatino Linotype" w:hAnsi="Palatino Linotype" w:eastAsia="Aptos" w:cs="Aptos"/>
                <w:color w:val="000000" w:themeColor="text1"/>
                <w:sz w:val="20"/>
                <w:szCs w:val="20"/>
              </w:rPr>
              <w:footnoteReference w:id="463"/>
            </w:r>
            <w:r w:rsidRPr="00045BDB">
              <w:rPr>
                <w:rFonts w:ascii="Palatino Linotype" w:hAnsi="Palatino Linotype" w:eastAsia="Palatino Linotype" w:cs="Palatino Linotype"/>
                <w:color w:val="000000" w:themeColor="text1"/>
                <w:sz w:val="20"/>
                <w:szCs w:val="20"/>
              </w:rPr>
              <w:t xml:space="preserve"> Initiatives in the </w:t>
            </w:r>
            <w:r w:rsidRPr="00045BDB">
              <w:rPr>
                <w:rFonts w:ascii="Palatino Linotype" w:hAnsi="Palatino Linotype" w:eastAsia="Palatino Linotype" w:cs="Palatino Linotype"/>
                <w:color w:val="000000" w:themeColor="text1"/>
                <w:sz w:val="20"/>
                <w:szCs w:val="20"/>
                <w:u w:val="single"/>
              </w:rPr>
              <w:t>Decarbonization</w:t>
            </w:r>
            <w:r w:rsidRPr="00045BDB">
              <w:rPr>
                <w:rFonts w:ascii="Palatino Linotype" w:hAnsi="Palatino Linotype" w:eastAsia="Palatino Linotype" w:cs="Palatino Linotype"/>
                <w:color w:val="000000" w:themeColor="text1"/>
                <w:sz w:val="20"/>
                <w:szCs w:val="20"/>
              </w:rPr>
              <w:t xml:space="preserve"> theme focus on “advancing technologies that improve the affordability, availability, reliability, and integration of low-carbon fuels and energy systems for SoCalGas operations and customers. It also supports California’s climate and energy goals, by accelerating the development and deployment of renewable fuels, advanced infrastructure technologies, and emissions-reducing systems aligned with current RD&amp;D priorities.”</w:t>
            </w:r>
            <w:r w:rsidRPr="00045BDB">
              <w:rPr>
                <w:rStyle w:val="FootnoteReference"/>
                <w:rFonts w:ascii="Palatino Linotype" w:hAnsi="Palatino Linotype" w:eastAsia="Palatino Linotype" w:cs="Palatino Linotype"/>
                <w:color w:val="000000" w:themeColor="text1"/>
                <w:sz w:val="20"/>
                <w:szCs w:val="20"/>
              </w:rPr>
              <w:footnoteReference w:id="464"/>
            </w:r>
          </w:p>
        </w:tc>
        <w:tc>
          <w:tcPr>
            <w:tcW w:w="3600" w:type="dxa"/>
          </w:tcPr>
          <w:p w:rsidRPr="00045BDB" w:rsidR="002A6629" w:rsidRDefault="002A6629" w14:paraId="729186CC" w14:textId="77777777">
            <w:pPr>
              <w:rPr>
                <w:rFonts w:ascii="Palatino Linotype" w:hAnsi="Palatino Linotype"/>
                <w:color w:val="000000" w:themeColor="text1"/>
              </w:rPr>
            </w:pPr>
            <w:r w:rsidRPr="00045BDB">
              <w:rPr>
                <w:rFonts w:ascii="Palatino Linotype" w:hAnsi="Palatino Linotype" w:eastAsia="Palatino Linotype" w:cs="Palatino Linotype"/>
                <w:color w:val="000000" w:themeColor="text1"/>
                <w:sz w:val="20"/>
                <w:szCs w:val="20"/>
              </w:rPr>
              <w:t xml:space="preserve">SoCalGas demonstrates that its proposed Initiatives and Plan are consistent with its resource plan. </w:t>
            </w:r>
            <w:r w:rsidRPr="00045BDB">
              <w:rPr>
                <w:rFonts w:ascii="Palatino Linotype" w:hAnsi="Palatino Linotype"/>
                <w:b/>
                <w:color w:val="000000" w:themeColor="text1"/>
                <w:sz w:val="20"/>
                <w:szCs w:val="20"/>
              </w:rPr>
              <w:t>SoCalGas is compliant with this requirement.</w:t>
            </w:r>
          </w:p>
          <w:p w:rsidRPr="00045BDB" w:rsidR="002A6629" w:rsidRDefault="002A6629" w14:paraId="53ED41CF" w14:textId="77777777">
            <w:pPr>
              <w:rPr>
                <w:rFonts w:ascii="Palatino Linotype" w:hAnsi="Palatino Linotype" w:eastAsia="Palatino Linotype" w:cs="Palatino Linotype"/>
                <w:color w:val="000000" w:themeColor="text1"/>
                <w:sz w:val="20"/>
                <w:szCs w:val="20"/>
              </w:rPr>
            </w:pPr>
          </w:p>
          <w:p w:rsidRPr="00045BDB" w:rsidR="002A6629" w:rsidRDefault="002A6629" w14:paraId="50028C39" w14:textId="77777777">
            <w:pPr>
              <w:rPr>
                <w:rFonts w:ascii="Palatino Linotype" w:hAnsi="Palatino Linotype" w:eastAsia="Aptos" w:cs="Aptos"/>
                <w:color w:val="000000" w:themeColor="text1"/>
                <w:sz w:val="20"/>
                <w:szCs w:val="20"/>
                <w:vertAlign w:val="superscript"/>
              </w:rPr>
            </w:pPr>
          </w:p>
          <w:p w:rsidRPr="00045BDB" w:rsidR="002A6629" w:rsidRDefault="002A6629" w14:paraId="0CCA4160" w14:textId="77777777">
            <w:pPr>
              <w:rPr>
                <w:rFonts w:ascii="Palatino Linotype" w:hAnsi="Palatino Linotype" w:eastAsia="Palatino Linotype" w:cs="Palatino Linotype"/>
                <w:color w:val="000000" w:themeColor="text1"/>
                <w:sz w:val="20"/>
                <w:szCs w:val="20"/>
              </w:rPr>
            </w:pPr>
          </w:p>
        </w:tc>
      </w:tr>
      <w:tr w:rsidRPr="00045BDB" w:rsidR="002A6629" w14:paraId="6297AA1A" w14:textId="77777777">
        <w:trPr>
          <w:trHeight w:val="638"/>
          <w:tblHeader/>
        </w:trPr>
        <w:tc>
          <w:tcPr>
            <w:tcW w:w="3744" w:type="dxa"/>
          </w:tcPr>
          <w:p w:rsidRPr="00045BDB" w:rsidR="002A6629" w:rsidRDefault="002A6629" w14:paraId="53C32398" w14:textId="77777777">
            <w:pPr>
              <w:rPr>
                <w:rFonts w:ascii="Palatino Linotype" w:hAnsi="Palatino Linotype"/>
                <w:i/>
                <w:iCs/>
                <w:sz w:val="20"/>
                <w:szCs w:val="20"/>
              </w:rPr>
            </w:pPr>
            <w:r w:rsidRPr="00045BDB">
              <w:rPr>
                <w:rFonts w:ascii="Palatino Linotype" w:hAnsi="Palatino Linotype"/>
                <w:b/>
                <w:sz w:val="20"/>
                <w:szCs w:val="20"/>
              </w:rPr>
              <w:t>[8]</w:t>
            </w:r>
            <w:r w:rsidRPr="00045BDB">
              <w:rPr>
                <w:rFonts w:ascii="Palatino Linotype" w:hAnsi="Palatino Linotype"/>
                <w:sz w:val="20"/>
                <w:szCs w:val="20"/>
              </w:rPr>
              <w:t xml:space="preserve"> California Public Utilities Code Section 740.1 at (e) </w:t>
            </w:r>
            <w:r w:rsidRPr="00045BDB">
              <w:rPr>
                <w:rFonts w:ascii="Palatino Linotype" w:hAnsi="Palatino Linotype"/>
                <w:i/>
                <w:iCs/>
                <w:sz w:val="20"/>
                <w:szCs w:val="20"/>
              </w:rPr>
              <w:t>Each project should also support one or more of the following objectives:</w:t>
            </w:r>
          </w:p>
          <w:p w:rsidRPr="00045BDB" w:rsidR="002A6629" w:rsidP="002A6629" w:rsidRDefault="002A6629" w14:paraId="00395092" w14:textId="77777777">
            <w:pPr>
              <w:pStyle w:val="ListParagraph"/>
              <w:numPr>
                <w:ilvl w:val="0"/>
                <w:numId w:val="84"/>
              </w:numPr>
              <w:rPr>
                <w:rFonts w:ascii="Palatino Linotype" w:hAnsi="Palatino Linotype"/>
                <w:i/>
                <w:iCs/>
                <w:sz w:val="20"/>
                <w:szCs w:val="20"/>
              </w:rPr>
            </w:pPr>
            <w:r w:rsidRPr="00045BDB">
              <w:rPr>
                <w:rFonts w:ascii="Palatino Linotype" w:hAnsi="Palatino Linotype"/>
                <w:i/>
                <w:iCs/>
                <w:sz w:val="20"/>
                <w:szCs w:val="20"/>
              </w:rPr>
              <w:t>Environmental improvement.</w:t>
            </w:r>
          </w:p>
          <w:p w:rsidRPr="00045BDB" w:rsidR="002A6629" w:rsidP="002A6629" w:rsidRDefault="002A6629" w14:paraId="31D4960E" w14:textId="77777777">
            <w:pPr>
              <w:pStyle w:val="ListParagraph"/>
              <w:numPr>
                <w:ilvl w:val="0"/>
                <w:numId w:val="84"/>
              </w:numPr>
              <w:rPr>
                <w:rFonts w:ascii="Palatino Linotype" w:hAnsi="Palatino Linotype"/>
                <w:i/>
                <w:iCs/>
                <w:sz w:val="20"/>
                <w:szCs w:val="20"/>
              </w:rPr>
            </w:pPr>
            <w:r w:rsidRPr="00045BDB">
              <w:rPr>
                <w:rFonts w:ascii="Palatino Linotype" w:hAnsi="Palatino Linotype"/>
                <w:i/>
                <w:iCs/>
                <w:sz w:val="20"/>
                <w:szCs w:val="20"/>
              </w:rPr>
              <w:t>Public and employee safety.</w:t>
            </w:r>
          </w:p>
          <w:p w:rsidRPr="00045BDB" w:rsidR="002A6629" w:rsidP="002A6629" w:rsidRDefault="002A6629" w14:paraId="438D6696" w14:textId="77777777">
            <w:pPr>
              <w:pStyle w:val="ListParagraph"/>
              <w:numPr>
                <w:ilvl w:val="0"/>
                <w:numId w:val="84"/>
              </w:numPr>
              <w:rPr>
                <w:rFonts w:ascii="Palatino Linotype" w:hAnsi="Palatino Linotype"/>
                <w:i/>
                <w:iCs/>
                <w:sz w:val="20"/>
                <w:szCs w:val="20"/>
              </w:rPr>
            </w:pPr>
            <w:r w:rsidRPr="00045BDB">
              <w:rPr>
                <w:rFonts w:ascii="Palatino Linotype" w:hAnsi="Palatino Linotype"/>
                <w:i/>
                <w:iCs/>
                <w:sz w:val="20"/>
                <w:szCs w:val="20"/>
              </w:rPr>
              <w:t>Conservation by efficient resource use or by reducing or shifting system load.</w:t>
            </w:r>
          </w:p>
          <w:p w:rsidRPr="00045BDB" w:rsidR="002A6629" w:rsidP="002A6629" w:rsidRDefault="002A6629" w14:paraId="22A56601" w14:textId="77777777">
            <w:pPr>
              <w:pStyle w:val="ListParagraph"/>
              <w:numPr>
                <w:ilvl w:val="0"/>
                <w:numId w:val="84"/>
              </w:numPr>
              <w:rPr>
                <w:rFonts w:ascii="Palatino Linotype" w:hAnsi="Palatino Linotype"/>
                <w:i/>
                <w:iCs/>
                <w:sz w:val="20"/>
                <w:szCs w:val="20"/>
              </w:rPr>
            </w:pPr>
            <w:r w:rsidRPr="00045BDB">
              <w:rPr>
                <w:rFonts w:ascii="Palatino Linotype" w:hAnsi="Palatino Linotype"/>
                <w:i/>
                <w:iCs/>
                <w:sz w:val="20"/>
                <w:szCs w:val="20"/>
              </w:rPr>
              <w:t>Development of new resources and processes, particularly renewable resources and processes which further supply technologies.</w:t>
            </w:r>
          </w:p>
          <w:p w:rsidRPr="00045BDB" w:rsidR="002A6629" w:rsidP="002A6629" w:rsidRDefault="002A6629" w14:paraId="3E470237" w14:textId="77777777">
            <w:pPr>
              <w:pStyle w:val="ListParagraph"/>
              <w:numPr>
                <w:ilvl w:val="0"/>
                <w:numId w:val="84"/>
              </w:numPr>
              <w:rPr>
                <w:rFonts w:ascii="Palatino Linotype" w:hAnsi="Palatino Linotype"/>
                <w:i/>
                <w:iCs/>
                <w:sz w:val="20"/>
                <w:szCs w:val="20"/>
              </w:rPr>
            </w:pPr>
            <w:r w:rsidRPr="00045BDB">
              <w:rPr>
                <w:rFonts w:ascii="Palatino Linotype" w:hAnsi="Palatino Linotype"/>
                <w:i/>
                <w:iCs/>
                <w:sz w:val="20"/>
                <w:szCs w:val="20"/>
              </w:rPr>
              <w:t>Improve operating efficiency and reliability or otherwise reduce operating costs.</w:t>
            </w:r>
          </w:p>
        </w:tc>
        <w:tc>
          <w:tcPr>
            <w:tcW w:w="6912" w:type="dxa"/>
          </w:tcPr>
          <w:p w:rsidRPr="00045BDB" w:rsidR="002A6629" w:rsidRDefault="002A6629" w14:paraId="452CC741" w14:textId="77777777">
            <w:pPr>
              <w:spacing w:after="160"/>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proposes the following Initiatives for its 2027 Plan:</w:t>
            </w:r>
          </w:p>
          <w:p w:rsidRPr="00045BDB" w:rsidR="002A6629" w:rsidP="002A6629" w:rsidRDefault="002A6629" w14:paraId="61E4E932" w14:textId="77777777">
            <w:pPr>
              <w:pStyle w:val="ListParagraph"/>
              <w:numPr>
                <w:ilvl w:val="0"/>
                <w:numId w:val="82"/>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Environment &amp; Safety</w:t>
            </w:r>
          </w:p>
          <w:p w:rsidRPr="00045BDB" w:rsidR="002A6629" w:rsidP="002A6629" w:rsidRDefault="002A6629" w14:paraId="25D3022D" w14:textId="77777777">
            <w:pPr>
              <w:pStyle w:val="ListParagraph"/>
              <w:numPr>
                <w:ilvl w:val="0"/>
                <w:numId w:val="82"/>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System Inspection &amp; Monitoring</w:t>
            </w:r>
          </w:p>
          <w:p w:rsidRPr="00045BDB" w:rsidR="002A6629" w:rsidP="002A6629" w:rsidRDefault="002A6629" w14:paraId="2B07381D" w14:textId="77777777">
            <w:pPr>
              <w:pStyle w:val="ListParagraph"/>
              <w:numPr>
                <w:ilvl w:val="0"/>
                <w:numId w:val="82"/>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Community Impact &amp; Energy Conservation</w:t>
            </w:r>
          </w:p>
          <w:p w:rsidRPr="00045BDB" w:rsidR="002A6629" w:rsidP="002A6629" w:rsidRDefault="002A6629" w14:paraId="4F007A1D" w14:textId="77777777">
            <w:pPr>
              <w:pStyle w:val="ListParagraph"/>
              <w:numPr>
                <w:ilvl w:val="0"/>
                <w:numId w:val="82"/>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System Design &amp; Materials</w:t>
            </w:r>
          </w:p>
          <w:p w:rsidRPr="00045BDB" w:rsidR="002A6629" w:rsidP="002A6629" w:rsidRDefault="002A6629" w14:paraId="6059929C" w14:textId="77777777">
            <w:pPr>
              <w:pStyle w:val="ListParagraph"/>
              <w:numPr>
                <w:ilvl w:val="0"/>
                <w:numId w:val="82"/>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RNG Infrastructure Optimization</w:t>
            </w:r>
          </w:p>
          <w:p w:rsidRPr="00045BDB" w:rsidR="002A6629" w:rsidP="002A6629" w:rsidRDefault="002A6629" w14:paraId="675A4FF9" w14:textId="77777777">
            <w:pPr>
              <w:pStyle w:val="ListParagraph"/>
              <w:numPr>
                <w:ilvl w:val="0"/>
                <w:numId w:val="82"/>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Low-Carbon Fuel Technologies</w:t>
            </w:r>
          </w:p>
          <w:p w:rsidRPr="00045BDB" w:rsidR="002A6629" w:rsidP="002A6629" w:rsidRDefault="002A6629" w14:paraId="0EBAF37A" w14:textId="77777777">
            <w:pPr>
              <w:pStyle w:val="ListParagraph"/>
              <w:numPr>
                <w:ilvl w:val="0"/>
                <w:numId w:val="82"/>
              </w:numPr>
              <w:ind w:left="36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Energy Reliability &amp; Resilience</w:t>
            </w:r>
          </w:p>
          <w:p w:rsidRPr="00045BDB" w:rsidR="002A6629" w:rsidP="002A6629" w:rsidRDefault="002A6629" w14:paraId="351B5800" w14:textId="77777777">
            <w:pPr>
              <w:pStyle w:val="ListParagraph"/>
              <w:numPr>
                <w:ilvl w:val="0"/>
                <w:numId w:val="82"/>
              </w:numPr>
              <w:ind w:left="360"/>
              <w:rPr>
                <w:rFonts w:ascii="Palatino Linotype" w:hAnsi="Palatino Linotype"/>
                <w:sz w:val="20"/>
                <w:szCs w:val="20"/>
              </w:rPr>
            </w:pPr>
            <w:r w:rsidRPr="00045BDB">
              <w:rPr>
                <w:rFonts w:ascii="Palatino Linotype" w:hAnsi="Palatino Linotype" w:eastAsia="Palatino Linotype" w:cs="Palatino Linotype"/>
                <w:sz w:val="20"/>
                <w:szCs w:val="20"/>
              </w:rPr>
              <w:t>Building &amp; Facility Systems</w:t>
            </w:r>
          </w:p>
        </w:tc>
        <w:tc>
          <w:tcPr>
            <w:tcW w:w="3600" w:type="dxa"/>
          </w:tcPr>
          <w:p w:rsidRPr="00045BDB" w:rsidR="002A6629" w:rsidRDefault="002A6629" w14:paraId="750BD92E"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Each of SoCalGas proposed initiatives supports one or more of the required objectives. </w:t>
            </w:r>
            <w:r w:rsidRPr="00045BDB">
              <w:rPr>
                <w:rFonts w:ascii="Palatino Linotype" w:hAnsi="Palatino Linotype"/>
                <w:b/>
                <w:color w:val="000000" w:themeColor="text1"/>
                <w:sz w:val="20"/>
                <w:szCs w:val="20"/>
              </w:rPr>
              <w:t>SoCalGas is compliant with this requirement.</w:t>
            </w:r>
          </w:p>
        </w:tc>
      </w:tr>
      <w:tr w:rsidRPr="00045BDB" w:rsidR="002A6629" w14:paraId="55B4799F" w14:textId="77777777">
        <w:trPr>
          <w:trHeight w:val="638"/>
          <w:tblHeader/>
        </w:trPr>
        <w:tc>
          <w:tcPr>
            <w:tcW w:w="3744" w:type="dxa"/>
          </w:tcPr>
          <w:p w:rsidRPr="00045BDB" w:rsidR="002A6629" w:rsidRDefault="002A6629" w14:paraId="6F6592F7" w14:textId="77777777">
            <w:pPr>
              <w:rPr>
                <w:rFonts w:ascii="Palatino Linotype" w:hAnsi="Palatino Linotype"/>
                <w:sz w:val="20"/>
                <w:szCs w:val="20"/>
              </w:rPr>
            </w:pPr>
            <w:r w:rsidRPr="00045BDB">
              <w:rPr>
                <w:rFonts w:ascii="Palatino Linotype" w:hAnsi="Palatino Linotype"/>
                <w:b/>
                <w:sz w:val="20"/>
                <w:szCs w:val="20"/>
              </w:rPr>
              <w:lastRenderedPageBreak/>
              <w:t xml:space="preserve">[9] </w:t>
            </w:r>
            <w:hyperlink r:id="rId143">
              <w:r w:rsidRPr="00045BDB">
                <w:rPr>
                  <w:rStyle w:val="Hyperlink"/>
                  <w:rFonts w:ascii="Palatino Linotype" w:hAnsi="Palatino Linotype"/>
                  <w:sz w:val="20"/>
                  <w:szCs w:val="20"/>
                </w:rPr>
                <w:t>Resolution G-3573</w:t>
              </w:r>
            </w:hyperlink>
            <w:r w:rsidRPr="00045BDB">
              <w:rPr>
                <w:rFonts w:ascii="Palatino Linotype" w:hAnsi="Palatino Linotype"/>
                <w:sz w:val="20"/>
                <w:szCs w:val="20"/>
              </w:rPr>
              <w:t xml:space="preserve"> (2021) at OP 3. </w:t>
            </w:r>
            <w:r w:rsidRPr="00045BDB">
              <w:rPr>
                <w:rFonts w:ascii="Palatino Linotype" w:hAnsi="Palatino Linotype"/>
                <w:i/>
                <w:iCs/>
                <w:sz w:val="20"/>
                <w:szCs w:val="20"/>
              </w:rPr>
              <w:t>In developing the subsequent Research Plans, SoCalGas shall: Continue to increase transparency in project area selection processes and criteria.</w:t>
            </w:r>
          </w:p>
        </w:tc>
        <w:tc>
          <w:tcPr>
            <w:tcW w:w="6912" w:type="dxa"/>
          </w:tcPr>
          <w:p w:rsidRPr="00045BDB" w:rsidR="002A6629" w:rsidRDefault="002A6629" w14:paraId="26C400AC" w14:textId="77777777">
            <w:pPr>
              <w:rPr>
                <w:rFonts w:ascii="Palatino Linotype" w:hAnsi="Palatino Linotype" w:eastAsia="Aptos" w:cs="Aptos"/>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provides a detailed project proposal review process.</w:t>
            </w:r>
            <w:r w:rsidRPr="00045BDB">
              <w:rPr>
                <w:rStyle w:val="FootnoteReference"/>
                <w:rFonts w:ascii="Palatino Linotype" w:hAnsi="Palatino Linotype" w:eastAsia="Palatino Linotype" w:cs="Palatino Linotype"/>
                <w:sz w:val="20"/>
                <w:szCs w:val="20"/>
              </w:rPr>
              <w:footnoteReference w:id="465"/>
            </w:r>
            <w:r w:rsidRPr="00045BDB">
              <w:rPr>
                <w:rFonts w:ascii="Palatino Linotype" w:hAnsi="Palatino Linotype" w:eastAsia="Palatino Linotype" w:cs="Palatino Linotype"/>
                <w:sz w:val="20"/>
                <w:szCs w:val="20"/>
              </w:rPr>
              <w:t xml:space="preserve"> Its efforts to continue increasing transparency are evidenced by details of its schedule of meetings and public events involving: the CPUC Energy Division staff and subject matter experts, the ESJ Advisory Panel, the Disadvantaged Community Advisory Group (DACAG), and regular meetings among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and other program administrators. The project selection process is also illustrated in a chart.</w:t>
            </w:r>
            <w:r w:rsidRPr="00045BDB">
              <w:rPr>
                <w:rStyle w:val="FootnoteReference"/>
                <w:rFonts w:ascii="Palatino Linotype" w:hAnsi="Palatino Linotype" w:eastAsia="Aptos" w:cs="Aptos"/>
                <w:sz w:val="20"/>
                <w:szCs w:val="20"/>
              </w:rPr>
              <w:footnoteReference w:id="466"/>
            </w:r>
            <w:r w:rsidRPr="00045BDB">
              <w:rPr>
                <w:rFonts w:ascii="Palatino Linotype" w:hAnsi="Palatino Linotype" w:eastAsia="Aptos" w:cs="Aptos"/>
                <w:sz w:val="20"/>
                <w:szCs w:val="20"/>
              </w:rPr>
              <w:t xml:space="preserve"> </w:t>
            </w:r>
          </w:p>
        </w:tc>
        <w:tc>
          <w:tcPr>
            <w:tcW w:w="3600" w:type="dxa"/>
          </w:tcPr>
          <w:p w:rsidRPr="00045BDB" w:rsidR="002A6629" w:rsidRDefault="002A6629" w14:paraId="485A9289"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 xml:space="preserve">SoCalGas </w:t>
            </w:r>
            <w:r w:rsidRPr="00045BDB">
              <w:rPr>
                <w:rFonts w:ascii="Palatino Linotype" w:hAnsi="Palatino Linotype" w:eastAsia="Palatino Linotype" w:cs="Palatino Linotype"/>
                <w:sz w:val="20"/>
                <w:szCs w:val="20"/>
              </w:rPr>
              <w:t xml:space="preserve">describes the project selection process and specific evaluation criteria used in project selection. </w:t>
            </w:r>
            <w:r w:rsidRPr="00045BDB">
              <w:rPr>
                <w:rFonts w:ascii="Palatino Linotype" w:hAnsi="Palatino Linotype"/>
                <w:b/>
                <w:color w:val="000000" w:themeColor="text1"/>
                <w:sz w:val="20"/>
                <w:szCs w:val="20"/>
              </w:rPr>
              <w:t>SoCalGas is compliant with this requirement.</w:t>
            </w:r>
          </w:p>
        </w:tc>
      </w:tr>
      <w:tr w:rsidRPr="00045BDB" w:rsidR="002A6629" w14:paraId="68E93F0F" w14:textId="77777777">
        <w:trPr>
          <w:trHeight w:val="638"/>
          <w:tblHeader/>
        </w:trPr>
        <w:tc>
          <w:tcPr>
            <w:tcW w:w="3744" w:type="dxa"/>
          </w:tcPr>
          <w:p w:rsidRPr="00045BDB" w:rsidR="002A6629" w:rsidRDefault="002A6629" w14:paraId="07AA992A" w14:textId="77777777">
            <w:pPr>
              <w:rPr>
                <w:rFonts w:ascii="Palatino Linotype" w:hAnsi="Palatino Linotype"/>
                <w:sz w:val="20"/>
                <w:szCs w:val="20"/>
              </w:rPr>
            </w:pPr>
            <w:r w:rsidRPr="00045BDB">
              <w:rPr>
                <w:rFonts w:ascii="Palatino Linotype" w:hAnsi="Palatino Linotype"/>
                <w:b/>
                <w:sz w:val="20"/>
                <w:szCs w:val="20"/>
              </w:rPr>
              <w:t xml:space="preserve">[10] </w:t>
            </w:r>
            <w:hyperlink r:id="rId144">
              <w:r w:rsidRPr="00045BDB">
                <w:rPr>
                  <w:rStyle w:val="Hyperlink"/>
                  <w:rFonts w:ascii="Palatino Linotype" w:hAnsi="Palatino Linotype"/>
                  <w:sz w:val="20"/>
                  <w:szCs w:val="20"/>
                </w:rPr>
                <w:t>Resolution G-3586</w:t>
              </w:r>
            </w:hyperlink>
            <w:r w:rsidRPr="00045BDB">
              <w:rPr>
                <w:rFonts w:ascii="Palatino Linotype" w:hAnsi="Palatino Linotype"/>
                <w:sz w:val="20"/>
                <w:szCs w:val="20"/>
              </w:rPr>
              <w:t xml:space="preserve"> (2022) at OP 5. </w:t>
            </w:r>
            <w:r w:rsidRPr="00045BDB">
              <w:rPr>
                <w:rFonts w:ascii="Palatino Linotype" w:hAnsi="Palatino Linotype"/>
                <w:i/>
                <w:iCs/>
                <w:sz w:val="20"/>
                <w:szCs w:val="20"/>
              </w:rPr>
              <w:t xml:space="preserve">In subsequent Research Plans, SoCalGas shall: Provide </w:t>
            </w:r>
            <w:r w:rsidRPr="00045BDB">
              <w:rPr>
                <w:rFonts w:ascii="Palatino Linotype" w:hAnsi="Palatino Linotype"/>
                <w:i/>
                <w:iCs/>
                <w:color w:val="000000" w:themeColor="text1"/>
                <w:sz w:val="20"/>
                <w:szCs w:val="20"/>
              </w:rPr>
              <w:t>detail quantifying the amount of program funds already committed and the quantity of program funds that are for projects under development in following years.</w:t>
            </w:r>
          </w:p>
        </w:tc>
        <w:tc>
          <w:tcPr>
            <w:tcW w:w="6912" w:type="dxa"/>
          </w:tcPr>
          <w:p w:rsidRPr="00045BDB" w:rsidR="002A6629" w:rsidRDefault="002A6629" w14:paraId="36C28FEA" w14:textId="77777777">
            <w:pPr>
              <w:rPr>
                <w:rFonts w:ascii="Palatino Linotype" w:hAnsi="Palatino Linotype" w:eastAsia="Aptos" w:cs="Aptos"/>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details Authorized Funds (approved in the GRC for Gas RD&amp;D), Committed Funds (supporting ongoing projects in accordance with an approved Gas RD&amp;D Plan), and Funds Available for Project Development (available for projects that are under development in the identified key research areas of interest) for each Initiative.</w:t>
            </w:r>
            <w:r w:rsidRPr="00045BDB">
              <w:rPr>
                <w:rStyle w:val="FootnoteReference"/>
                <w:rFonts w:ascii="Palatino Linotype" w:hAnsi="Palatino Linotype" w:eastAsia="Aptos" w:cs="Aptos"/>
                <w:sz w:val="20"/>
                <w:szCs w:val="20"/>
              </w:rPr>
              <w:footnoteReference w:id="467"/>
            </w:r>
          </w:p>
        </w:tc>
        <w:tc>
          <w:tcPr>
            <w:tcW w:w="3600" w:type="dxa"/>
          </w:tcPr>
          <w:p w:rsidRPr="00045BDB" w:rsidR="002A6629" w:rsidRDefault="002A6629" w14:paraId="6117CB90"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details the quantity of program funds already committed and those that are for projects under development in the subsequent years. </w:t>
            </w:r>
            <w:r w:rsidRPr="00045BDB">
              <w:rPr>
                <w:rFonts w:ascii="Palatino Linotype" w:hAnsi="Palatino Linotype"/>
                <w:b/>
                <w:color w:val="000000" w:themeColor="text1"/>
                <w:sz w:val="20"/>
                <w:szCs w:val="20"/>
              </w:rPr>
              <w:t>SoCalGas is compliant with this requirement.</w:t>
            </w:r>
          </w:p>
        </w:tc>
      </w:tr>
      <w:tr w:rsidRPr="00045BDB" w:rsidR="002A6629" w14:paraId="695DDCBF" w14:textId="77777777">
        <w:trPr>
          <w:trHeight w:val="638"/>
          <w:tblHeader/>
        </w:trPr>
        <w:tc>
          <w:tcPr>
            <w:tcW w:w="3744" w:type="dxa"/>
          </w:tcPr>
          <w:p w:rsidRPr="00045BDB" w:rsidR="002A6629" w:rsidRDefault="002A6629" w14:paraId="572503EE" w14:textId="77777777">
            <w:pPr>
              <w:rPr>
                <w:rFonts w:ascii="Palatino Linotype" w:hAnsi="Palatino Linotype"/>
              </w:rPr>
            </w:pPr>
            <w:r w:rsidRPr="00045BDB">
              <w:rPr>
                <w:rFonts w:ascii="Palatino Linotype" w:hAnsi="Palatino Linotype"/>
                <w:b/>
                <w:sz w:val="20"/>
                <w:szCs w:val="20"/>
              </w:rPr>
              <w:t>[11]</w:t>
            </w:r>
            <w:r w:rsidRPr="00045BDB">
              <w:rPr>
                <w:rFonts w:ascii="Palatino Linotype" w:hAnsi="Palatino Linotype"/>
                <w:sz w:val="20"/>
                <w:szCs w:val="20"/>
              </w:rPr>
              <w:t xml:space="preserve"> </w:t>
            </w:r>
            <w:hyperlink r:id="rId145">
              <w:r w:rsidRPr="00045BDB">
                <w:rPr>
                  <w:rStyle w:val="Hyperlink"/>
                  <w:rFonts w:ascii="Palatino Linotype" w:hAnsi="Palatino Linotype"/>
                  <w:sz w:val="20"/>
                  <w:szCs w:val="20"/>
                </w:rPr>
                <w:t>Resolution G-3586</w:t>
              </w:r>
            </w:hyperlink>
            <w:r w:rsidRPr="00045BDB">
              <w:rPr>
                <w:rFonts w:ascii="Palatino Linotype" w:hAnsi="Palatino Linotype"/>
                <w:sz w:val="20"/>
                <w:szCs w:val="20"/>
              </w:rPr>
              <w:t xml:space="preserve"> (2022) at OP 5. </w:t>
            </w:r>
            <w:r w:rsidRPr="00045BDB">
              <w:rPr>
                <w:rFonts w:ascii="Palatino Linotype" w:hAnsi="Palatino Linotype"/>
                <w:i/>
                <w:iCs/>
                <w:sz w:val="20"/>
                <w:szCs w:val="20"/>
              </w:rPr>
              <w:t>In subsequent Research Plans, SoCalGas shall: Provide project-level detail about Research Plans with the 16 data fields described in the Discussion sub-section titled Detailed budgets broken down by research subprogram.</w:t>
            </w:r>
          </w:p>
        </w:tc>
        <w:tc>
          <w:tcPr>
            <w:tcW w:w="6912" w:type="dxa"/>
          </w:tcPr>
          <w:p w:rsidRPr="00045BDB" w:rsidR="002A6629" w:rsidRDefault="002A6629" w14:paraId="4214A75D" w14:textId="77777777">
            <w:pPr>
              <w:rPr>
                <w:rStyle w:val="FootnoteReference"/>
                <w:rFonts w:ascii="Palatino Linotype" w:hAnsi="Palatino Linotype"/>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provides details of active projects expected to continue from past research plans into the current proposed plan year with the required data fields.</w:t>
            </w:r>
            <w:r w:rsidRPr="00045BDB">
              <w:rPr>
                <w:rStyle w:val="FootnoteReference"/>
                <w:rFonts w:ascii="Palatino Linotype" w:hAnsi="Palatino Linotype"/>
                <w:sz w:val="20"/>
                <w:szCs w:val="20"/>
              </w:rPr>
              <w:footnoteReference w:id="468"/>
            </w:r>
          </w:p>
          <w:p w:rsidRPr="00045BDB" w:rsidR="002A6629" w:rsidRDefault="002A6629" w14:paraId="2D6575D3" w14:textId="77777777">
            <w:pPr>
              <w:rPr>
                <w:rFonts w:ascii="Palatino Linotype" w:hAnsi="Palatino Linotype"/>
              </w:rPr>
            </w:pPr>
          </w:p>
        </w:tc>
        <w:tc>
          <w:tcPr>
            <w:tcW w:w="3600" w:type="dxa"/>
          </w:tcPr>
          <w:p w:rsidRPr="00045BDB" w:rsidR="002A6629" w:rsidRDefault="002A6629" w14:paraId="2865EDBB"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provides project-level detail across the 16 required data fields. </w:t>
            </w:r>
            <w:r w:rsidRPr="00045BDB">
              <w:rPr>
                <w:rFonts w:ascii="Palatino Linotype" w:hAnsi="Palatino Linotype"/>
                <w:b/>
                <w:color w:val="000000" w:themeColor="text1"/>
                <w:sz w:val="20"/>
                <w:szCs w:val="20"/>
              </w:rPr>
              <w:t>SoCalGas is compliant with this requirement.</w:t>
            </w:r>
          </w:p>
        </w:tc>
      </w:tr>
      <w:tr w:rsidRPr="00045BDB" w:rsidR="002A6629" w14:paraId="033AED4E" w14:textId="77777777">
        <w:trPr>
          <w:trHeight w:val="638"/>
          <w:tblHeader/>
        </w:trPr>
        <w:tc>
          <w:tcPr>
            <w:tcW w:w="3744" w:type="dxa"/>
          </w:tcPr>
          <w:p w:rsidRPr="00045BDB" w:rsidR="002A6629" w:rsidRDefault="002A6629" w14:paraId="50EA85F8" w14:textId="77777777">
            <w:pPr>
              <w:rPr>
                <w:rFonts w:ascii="Palatino Linotype" w:hAnsi="Palatino Linotype"/>
                <w:sz w:val="20"/>
                <w:szCs w:val="20"/>
              </w:rPr>
            </w:pPr>
            <w:r w:rsidRPr="00045BDB">
              <w:rPr>
                <w:rFonts w:ascii="Palatino Linotype" w:hAnsi="Palatino Linotype"/>
                <w:b/>
                <w:sz w:val="20"/>
                <w:szCs w:val="20"/>
              </w:rPr>
              <w:t xml:space="preserve">[12] </w:t>
            </w:r>
            <w:hyperlink r:id="rId146">
              <w:r w:rsidRPr="00045BDB">
                <w:rPr>
                  <w:rStyle w:val="Hyperlink"/>
                  <w:rFonts w:ascii="Palatino Linotype" w:hAnsi="Palatino Linotype"/>
                  <w:sz w:val="20"/>
                  <w:szCs w:val="20"/>
                </w:rPr>
                <w:t>Resolution G-3586</w:t>
              </w:r>
            </w:hyperlink>
            <w:r w:rsidRPr="00045BDB">
              <w:rPr>
                <w:rFonts w:ascii="Palatino Linotype" w:hAnsi="Palatino Linotype"/>
                <w:sz w:val="20"/>
                <w:szCs w:val="20"/>
              </w:rPr>
              <w:t xml:space="preserve"> (2022) at OP 5. </w:t>
            </w:r>
            <w:r w:rsidRPr="00045BDB">
              <w:rPr>
                <w:rFonts w:ascii="Palatino Linotype" w:hAnsi="Palatino Linotype"/>
                <w:i/>
                <w:iCs/>
                <w:sz w:val="20"/>
                <w:szCs w:val="20"/>
              </w:rPr>
              <w:t>In subsequent Research Plans, SoCalGas shall: Provide detail about administrative budgets using allowable cost categories that will be developed in a process launched by D.21-11- 028 defining allowable EPIC administrative costs</w:t>
            </w:r>
            <w:r w:rsidRPr="00045BDB">
              <w:rPr>
                <w:rFonts w:ascii="Palatino Linotype" w:hAnsi="Palatino Linotype"/>
                <w:color w:val="000000" w:themeColor="text1"/>
                <w:sz w:val="20"/>
                <w:szCs w:val="20"/>
              </w:rPr>
              <w:t>.</w:t>
            </w:r>
            <w:r w:rsidRPr="00045BDB">
              <w:rPr>
                <w:rStyle w:val="FootnoteReference"/>
                <w:rFonts w:ascii="Palatino Linotype" w:hAnsi="Palatino Linotype"/>
                <w:color w:val="000000" w:themeColor="text1"/>
                <w:sz w:val="20"/>
                <w:szCs w:val="20"/>
              </w:rPr>
              <w:footnoteReference w:id="469"/>
            </w:r>
          </w:p>
        </w:tc>
        <w:tc>
          <w:tcPr>
            <w:tcW w:w="6912" w:type="dxa"/>
          </w:tcPr>
          <w:p w:rsidRPr="00045BDB" w:rsidR="002A6629" w:rsidRDefault="002A6629" w14:paraId="50225B3A" w14:textId="77777777">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proposes to allocate ten percent of its Gas RD&amp;D annual total budget to administrative costs, amounting to $1.95M for its 2027 Plan and delineates those costs by allowable cost categories.</w:t>
            </w:r>
            <w:r w:rsidRPr="00045BDB">
              <w:rPr>
                <w:rStyle w:val="FootnoteReference"/>
                <w:rFonts w:ascii="Palatino Linotype" w:hAnsi="Palatino Linotype" w:eastAsia="Aptos" w:cs="Aptos"/>
                <w:sz w:val="20"/>
                <w:szCs w:val="20"/>
              </w:rPr>
              <w:footnoteReference w:id="470"/>
            </w:r>
            <w:r w:rsidRPr="00045BDB">
              <w:rPr>
                <w:rStyle w:val="FootnoteReference"/>
                <w:rFonts w:ascii="Palatino Linotype" w:hAnsi="Palatino Linotype" w:eastAsia="Aptos" w:cs="Aptos"/>
                <w:sz w:val="20"/>
                <w:szCs w:val="20"/>
              </w:rPr>
              <w:t xml:space="preserve">  </w:t>
            </w:r>
            <w:r w:rsidRPr="00045BDB">
              <w:rPr>
                <w:rFonts w:ascii="Palatino Linotype" w:hAnsi="Palatino Linotype"/>
                <w:color w:val="000000" w:themeColor="text1"/>
                <w:sz w:val="20"/>
                <w:szCs w:val="20"/>
              </w:rPr>
              <w:t>SoCalGas</w:t>
            </w:r>
            <w:r w:rsidRPr="00045BDB">
              <w:rPr>
                <w:rFonts w:ascii="Palatino Linotype" w:hAnsi="Palatino Linotype" w:eastAsia="Palatino Linotype" w:cs="Times New Roman"/>
                <w:color w:val="000000" w:themeColor="text1"/>
                <w:sz w:val="20"/>
                <w:szCs w:val="20"/>
              </w:rPr>
              <w:t xml:space="preserve"> states that membership dues for consortia are captured in administrative costs per guidance from Energy Division.</w:t>
            </w:r>
            <w:r w:rsidRPr="00045BDB">
              <w:rPr>
                <w:rStyle w:val="FootnoteReference"/>
                <w:rFonts w:ascii="Palatino Linotype" w:hAnsi="Palatino Linotype" w:eastAsia="Palatino Linotype" w:cs="Times New Roman"/>
                <w:color w:val="000000" w:themeColor="text1"/>
                <w:sz w:val="20"/>
                <w:szCs w:val="20"/>
              </w:rPr>
              <w:footnoteReference w:id="471"/>
            </w:r>
          </w:p>
          <w:p w:rsidRPr="00045BDB" w:rsidR="002A6629" w:rsidRDefault="002A6629" w14:paraId="51129BA2" w14:textId="77777777">
            <w:pPr>
              <w:spacing w:before="240"/>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 details how its proposed administrative costs are for developing and maintaining its Gas RD&amp;D Program, whereas the administrative portion of a project lifecycle are charged as direct project costs.</w:t>
            </w:r>
            <w:r w:rsidRPr="00045BDB">
              <w:rPr>
                <w:rStyle w:val="FootnoteReference"/>
                <w:rFonts w:ascii="Palatino Linotype" w:hAnsi="Palatino Linotype" w:eastAsia="Palatino Linotype" w:cs="Palatino Linotype"/>
                <w:color w:val="000000" w:themeColor="text1"/>
                <w:sz w:val="20"/>
                <w:szCs w:val="20"/>
              </w:rPr>
              <w:footnoteReference w:id="472"/>
            </w:r>
          </w:p>
        </w:tc>
        <w:tc>
          <w:tcPr>
            <w:tcW w:w="3600" w:type="dxa"/>
          </w:tcPr>
          <w:p w:rsidRPr="00045BDB" w:rsidR="002A6629" w:rsidRDefault="002A6629" w14:paraId="51E96E57"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provides </w:t>
            </w:r>
            <w:proofErr w:type="gramStart"/>
            <w:r w:rsidRPr="00045BDB">
              <w:rPr>
                <w:rFonts w:ascii="Palatino Linotype" w:hAnsi="Palatino Linotype" w:eastAsia="Palatino Linotype" w:cs="Palatino Linotype"/>
                <w:sz w:val="20"/>
                <w:szCs w:val="20"/>
              </w:rPr>
              <w:t>detail</w:t>
            </w:r>
            <w:proofErr w:type="gramEnd"/>
            <w:r w:rsidRPr="00045BDB">
              <w:rPr>
                <w:rFonts w:ascii="Palatino Linotype" w:hAnsi="Palatino Linotype" w:eastAsia="Palatino Linotype" w:cs="Palatino Linotype"/>
                <w:sz w:val="20"/>
                <w:szCs w:val="20"/>
              </w:rPr>
              <w:t xml:space="preserve"> about its administrative budget using allowable cost categories. </w:t>
            </w:r>
            <w:r w:rsidRPr="00045BDB">
              <w:rPr>
                <w:rFonts w:ascii="Palatino Linotype" w:hAnsi="Palatino Linotype"/>
                <w:b/>
                <w:color w:val="000000" w:themeColor="text1"/>
                <w:sz w:val="20"/>
                <w:szCs w:val="20"/>
              </w:rPr>
              <w:t>SoCalGas is compliant with this requirement.</w:t>
            </w:r>
          </w:p>
        </w:tc>
      </w:tr>
      <w:tr w:rsidRPr="00045BDB" w:rsidR="002A6629" w14:paraId="728B18BC" w14:textId="77777777">
        <w:trPr>
          <w:trHeight w:val="638"/>
          <w:tblHeader/>
        </w:trPr>
        <w:tc>
          <w:tcPr>
            <w:tcW w:w="3744" w:type="dxa"/>
          </w:tcPr>
          <w:p w:rsidRPr="00045BDB" w:rsidR="002A6629" w:rsidRDefault="002A6629" w14:paraId="06AE79D2" w14:textId="77777777">
            <w:pPr>
              <w:rPr>
                <w:rFonts w:ascii="Palatino Linotype" w:hAnsi="Palatino Linotype"/>
                <w:sz w:val="20"/>
                <w:szCs w:val="20"/>
              </w:rPr>
            </w:pPr>
            <w:r w:rsidRPr="00045BDB">
              <w:rPr>
                <w:rFonts w:ascii="Palatino Linotype" w:hAnsi="Palatino Linotype"/>
                <w:b/>
                <w:sz w:val="20"/>
                <w:szCs w:val="20"/>
              </w:rPr>
              <w:lastRenderedPageBreak/>
              <w:t xml:space="preserve">[13] </w:t>
            </w:r>
            <w:hyperlink r:id="rId147">
              <w:r w:rsidRPr="00045BDB">
                <w:rPr>
                  <w:rStyle w:val="Hyperlink"/>
                  <w:rFonts w:ascii="Palatino Linotype" w:hAnsi="Palatino Linotype"/>
                  <w:sz w:val="20"/>
                  <w:szCs w:val="20"/>
                </w:rPr>
                <w:t>Resolution G-3586</w:t>
              </w:r>
            </w:hyperlink>
            <w:r w:rsidRPr="00045BDB">
              <w:rPr>
                <w:rFonts w:ascii="Palatino Linotype" w:hAnsi="Palatino Linotype"/>
                <w:sz w:val="20"/>
                <w:szCs w:val="20"/>
              </w:rPr>
              <w:t xml:space="preserve"> (2022) at OP 5. </w:t>
            </w:r>
            <w:r w:rsidRPr="00045BDB">
              <w:rPr>
                <w:rFonts w:ascii="Palatino Linotype" w:hAnsi="Palatino Linotype"/>
                <w:i/>
                <w:iCs/>
                <w:sz w:val="20"/>
                <w:szCs w:val="20"/>
              </w:rPr>
              <w:t>In subsequent Research Plans, SoCalGas shall: Provide detail quantifying research funding allocations by research consortium, as well as project costs related to each consortium.</w:t>
            </w:r>
          </w:p>
        </w:tc>
        <w:tc>
          <w:tcPr>
            <w:tcW w:w="6912" w:type="dxa"/>
          </w:tcPr>
          <w:p w:rsidRPr="00045BDB" w:rsidR="002A6629" w:rsidRDefault="002A6629" w14:paraId="6E840E68" w14:textId="77777777">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states that it is a member of “three subscription-based organizations: Northeast Gas Association (NGA)/NYSEARCH, Operations Technology Development (OTD), and Pipeline Research Council International (PRCI).” However,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also notes that it will be withdrawing from OTD in 2026, significantly reducing its membership expenditures for this period. However, the SoCalGas RD&amp;D</w:t>
            </w:r>
          </w:p>
          <w:p w:rsidRPr="00045BDB" w:rsidR="002A6629" w:rsidRDefault="002A6629" w14:paraId="5B29A78D" w14:textId="77777777">
            <w:r w:rsidRPr="00045BDB">
              <w:rPr>
                <w:rFonts w:ascii="Palatino Linotype" w:hAnsi="Palatino Linotype" w:eastAsia="Palatino Linotype" w:cs="Palatino Linotype"/>
                <w:sz w:val="20"/>
                <w:szCs w:val="20"/>
              </w:rPr>
              <w:t>team will remain an active project partner through the closeout of all currently active OTD</w:t>
            </w:r>
            <w:r>
              <w:rPr>
                <w:rFonts w:eastAsia="Palatino Linotype"/>
                <w:sz w:val="20"/>
                <w:szCs w:val="20"/>
              </w:rPr>
              <w:t xml:space="preserve"> </w:t>
            </w:r>
            <w:r w:rsidRPr="00045BDB">
              <w:rPr>
                <w:rFonts w:ascii="Palatino Linotype" w:hAnsi="Palatino Linotype" w:eastAsia="Palatino Linotype" w:cs="Palatino Linotype"/>
                <w:sz w:val="20"/>
                <w:szCs w:val="20"/>
              </w:rPr>
              <w:t>projects in which they are participating.</w:t>
            </w:r>
            <w:r w:rsidRPr="00045BDB">
              <w:rPr>
                <w:rStyle w:val="FootnoteReference"/>
                <w:rFonts w:ascii="Palatino Linotype" w:hAnsi="Palatino Linotype" w:eastAsia="Palatino Linotype" w:cs="Palatino Linotype"/>
                <w:sz w:val="20"/>
                <w:szCs w:val="20"/>
              </w:rPr>
              <w:footnoteReference w:id="473"/>
            </w:r>
            <w:r w:rsidRPr="00045BDB">
              <w:rPr>
                <w:rFonts w:ascii="Palatino Linotype" w:hAnsi="Palatino Linotype" w:eastAsia="Palatino Linotype" w:cs="Palatino Linotype"/>
                <w:sz w:val="20"/>
                <w:szCs w:val="20"/>
              </w:rPr>
              <w:t xml:space="preserve">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lists </w:t>
            </w:r>
            <w:r w:rsidRPr="00045BDB">
              <w:rPr>
                <w:rFonts w:ascii="Palatino Linotype" w:hAnsi="Palatino Linotype" w:eastAsia="Palatino Linotype" w:cs="Palatino Linotype"/>
                <w:color w:val="000000" w:themeColor="text1"/>
                <w:sz w:val="20"/>
                <w:szCs w:val="20"/>
              </w:rPr>
              <w:t>funds</w:t>
            </w:r>
            <w:r w:rsidRPr="00045BDB">
              <w:rPr>
                <w:rFonts w:ascii="Palatino Linotype" w:hAnsi="Palatino Linotype" w:eastAsia="Palatino Linotype" w:cs="Palatino Linotype"/>
                <w:sz w:val="20"/>
                <w:szCs w:val="20"/>
              </w:rPr>
              <w:t xml:space="preserve"> for Membership Dues for 2027 ($252,537), including Membership ($115,000) and Available for Projects ($137,537).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also lists projects by consortium with Total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Costs and Total Project Costs.</w:t>
            </w:r>
            <w:r w:rsidRPr="00045BDB">
              <w:rPr>
                <w:rStyle w:val="FootnoteReference"/>
                <w:rFonts w:ascii="Palatino Linotype" w:hAnsi="Palatino Linotype" w:eastAsia="Aptos" w:cs="Aptos"/>
                <w:sz w:val="20"/>
                <w:szCs w:val="20"/>
              </w:rPr>
              <w:footnoteReference w:id="474"/>
            </w:r>
          </w:p>
        </w:tc>
        <w:tc>
          <w:tcPr>
            <w:tcW w:w="3600" w:type="dxa"/>
          </w:tcPr>
          <w:p w:rsidRPr="00045BDB" w:rsidR="002A6629" w:rsidRDefault="002A6629" w14:paraId="680DBFFC"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details research funding allocations by research consortium and project costs related to each consortium. </w:t>
            </w:r>
            <w:r w:rsidRPr="00045BDB">
              <w:rPr>
                <w:rFonts w:ascii="Palatino Linotype" w:hAnsi="Palatino Linotype"/>
                <w:b/>
                <w:color w:val="000000" w:themeColor="text1"/>
                <w:sz w:val="20"/>
                <w:szCs w:val="20"/>
              </w:rPr>
              <w:t>SoCalGas is compliant with this requirement.</w:t>
            </w:r>
          </w:p>
        </w:tc>
      </w:tr>
      <w:tr w:rsidRPr="00045BDB" w:rsidR="002A6629" w14:paraId="2559513D" w14:textId="77777777">
        <w:trPr>
          <w:trHeight w:val="638"/>
          <w:tblHeader/>
        </w:trPr>
        <w:tc>
          <w:tcPr>
            <w:tcW w:w="3744" w:type="dxa"/>
            <w:shd w:val="clear" w:color="auto" w:fill="FFFFFF" w:themeFill="background1"/>
          </w:tcPr>
          <w:p w:rsidRPr="00045BDB" w:rsidR="002A6629" w:rsidRDefault="002A6629" w14:paraId="5D40DD9B" w14:textId="77777777">
            <w:pPr>
              <w:rPr>
                <w:rFonts w:ascii="Palatino Linotype" w:hAnsi="Palatino Linotype"/>
                <w:i/>
                <w:iCs/>
                <w:sz w:val="20"/>
                <w:szCs w:val="20"/>
              </w:rPr>
            </w:pPr>
            <w:r w:rsidRPr="00045BDB">
              <w:rPr>
                <w:rFonts w:ascii="Palatino Linotype" w:hAnsi="Palatino Linotype"/>
                <w:b/>
                <w:sz w:val="20"/>
                <w:szCs w:val="20"/>
              </w:rPr>
              <w:t xml:space="preserve">[14] </w:t>
            </w:r>
            <w:hyperlink r:id="rId148">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5. </w:t>
            </w:r>
            <w:proofErr w:type="gramStart"/>
            <w:r w:rsidRPr="00045BDB">
              <w:rPr>
                <w:rFonts w:ascii="Palatino Linotype" w:hAnsi="Palatino Linotype"/>
                <w:i/>
                <w:iCs/>
                <w:sz w:val="20"/>
                <w:szCs w:val="20"/>
              </w:rPr>
              <w:t>All of</w:t>
            </w:r>
            <w:proofErr w:type="gramEnd"/>
            <w:r w:rsidRPr="00045BDB">
              <w:rPr>
                <w:rFonts w:ascii="Palatino Linotype" w:hAnsi="Palatino Linotype"/>
                <w:i/>
                <w:iCs/>
                <w:sz w:val="20"/>
                <w:szCs w:val="20"/>
              </w:rPr>
              <w:t xml:space="preserve"> Southern California Gas Company’s new and future [RD&amp;D] projects shall occur in the State of California. The only exception may be made for projects with out-of-state federal labs. In this case, SoCalGas shall explicitly justify benefits to its gas ratepayers of an out-of-state project in its Tier 3 Advice Letter annual plan.</w:t>
            </w:r>
          </w:p>
        </w:tc>
        <w:tc>
          <w:tcPr>
            <w:tcW w:w="6912" w:type="dxa"/>
          </w:tcPr>
          <w:p w:rsidRPr="00045BDB" w:rsidR="002A6629" w:rsidRDefault="002A6629" w14:paraId="1C826026" w14:textId="77777777">
            <w:r w:rsidRPr="00045BDB">
              <w:rPr>
                <w:rFonts w:ascii="Palatino Linotype" w:hAnsi="Palatino Linotype" w:eastAsia="Palatino Linotype" w:cs="Palatino Linotype"/>
                <w:color w:val="000000" w:themeColor="text1"/>
                <w:sz w:val="20"/>
                <w:szCs w:val="20"/>
              </w:rPr>
              <w:t>SoCalGas states that it “</w:t>
            </w:r>
            <w:r w:rsidRPr="00045BDB">
              <w:rPr>
                <w:rFonts w:ascii="Palatino Linotype" w:hAnsi="Palatino Linotype" w:eastAsia="Palatino Linotype" w:cs="Palatino Linotype"/>
                <w:sz w:val="20"/>
                <w:szCs w:val="20"/>
              </w:rPr>
              <w:t xml:space="preserve">includes a step in its project selection process to validate a project’s location in California. In addition,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hosts demonstrations of new technologies within the state of California, bringing outside investment into California and supporting local economies.”</w:t>
            </w:r>
            <w:r w:rsidRPr="00045BDB">
              <w:rPr>
                <w:rStyle w:val="FootnoteReference"/>
                <w:rFonts w:ascii="Palatino Linotype" w:hAnsi="Palatino Linotype"/>
                <w:sz w:val="20"/>
                <w:szCs w:val="20"/>
              </w:rPr>
              <w:footnoteReference w:id="475"/>
            </w:r>
          </w:p>
          <w:p w:rsidRPr="00045BDB" w:rsidR="002A6629" w:rsidRDefault="002A6629" w14:paraId="50AF474E" w14:textId="77777777">
            <w:pPr>
              <w:spacing w:before="240"/>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SoCalGas states that benefits include “pooling of financial resources and technical resources...to share knowledge, avoid needless duplication of work, and develop and execute impactful projects.”</w:t>
            </w:r>
            <w:r w:rsidRPr="00045BDB">
              <w:rPr>
                <w:rStyle w:val="FootnoteReference"/>
                <w:rFonts w:ascii="Palatino Linotype" w:hAnsi="Palatino Linotype" w:eastAsia="Palatino Linotype" w:cs="Palatino Linotype"/>
                <w:sz w:val="20"/>
                <w:szCs w:val="20"/>
              </w:rPr>
              <w:footnoteReference w:id="476"/>
            </w:r>
          </w:p>
          <w:p w:rsidRPr="00045BDB" w:rsidR="002A6629" w:rsidRDefault="002A6629" w14:paraId="6F4F4955" w14:textId="77777777">
            <w:pPr>
              <w:spacing w:before="240"/>
              <w:rPr>
                <w:rFonts w:ascii="Palatino Linotype" w:hAnsi="Palatino Linotype"/>
                <w:vertAlign w:val="superscript"/>
              </w:rPr>
            </w:pPr>
            <w:r w:rsidRPr="00045BDB">
              <w:rPr>
                <w:rFonts w:ascii="Palatino Linotype" w:hAnsi="Palatino Linotype" w:eastAsia="Palatino Linotype" w:cs="Palatino Linotype"/>
                <w:color w:val="000000" w:themeColor="text1"/>
                <w:sz w:val="20"/>
                <w:szCs w:val="20"/>
              </w:rPr>
              <w:t>To comply with this requirement, SoCalGas</w:t>
            </w:r>
            <w:r w:rsidRPr="00045BDB">
              <w:rPr>
                <w:rFonts w:ascii="Palatino Linotype" w:hAnsi="Palatino Linotype" w:eastAsia="Palatino Linotype" w:cs="Palatino Linotype"/>
                <w:sz w:val="20"/>
                <w:szCs w:val="20"/>
              </w:rPr>
              <w:t xml:space="preserve"> states that it will not renew membership in the Northeast Gas Association (NGA) /NYSEARCH, Operations Technology Development (OTD) consortium. “As a result, although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RD&amp;D is a member of OTD in 2026, it will not initiate any new projects with OTD and will complete all projects underway and then terminate its membership.”</w:t>
            </w:r>
            <w:r w:rsidRPr="00045BDB">
              <w:rPr>
                <w:rStyle w:val="FootnoteReference"/>
                <w:rFonts w:ascii="Palatino Linotype" w:hAnsi="Palatino Linotype"/>
                <w:sz w:val="20"/>
                <w:szCs w:val="20"/>
              </w:rPr>
              <w:footnoteReference w:id="477"/>
            </w:r>
          </w:p>
        </w:tc>
        <w:tc>
          <w:tcPr>
            <w:tcW w:w="3600" w:type="dxa"/>
          </w:tcPr>
          <w:p w:rsidRPr="00045BDB" w:rsidR="002A6629" w:rsidRDefault="002A6629" w14:paraId="4FBD4574"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demonstrates that all projects will take place in the State of California and describes general benefits from consortia projects.</w:t>
            </w:r>
            <w:r w:rsidRPr="00045BDB">
              <w:rPr>
                <w:rFonts w:ascii="Palatino Linotype" w:hAnsi="Palatino Linotype" w:eastAsia="Palatino Linotype" w:cs="Palatino Linotype"/>
                <w:b/>
                <w:color w:val="000000" w:themeColor="text1"/>
                <w:sz w:val="20"/>
                <w:szCs w:val="20"/>
              </w:rPr>
              <w:t xml:space="preserve"> SoCalGas is compliant with this requirement.</w:t>
            </w:r>
            <w:r w:rsidRPr="00045BDB">
              <w:rPr>
                <w:rFonts w:ascii="Palatino Linotype" w:hAnsi="Palatino Linotype" w:eastAsia="Palatino Linotype" w:cs="Palatino Linotype"/>
                <w:color w:val="000000" w:themeColor="text1"/>
                <w:sz w:val="20"/>
                <w:szCs w:val="20"/>
              </w:rPr>
              <w:t> </w:t>
            </w:r>
          </w:p>
          <w:p w:rsidRPr="00045BDB" w:rsidR="002A6629" w:rsidRDefault="002A6629" w14:paraId="2B1E4B7C" w14:textId="77777777">
            <w:pPr>
              <w:rPr>
                <w:rFonts w:ascii="Palatino Linotype" w:hAnsi="Palatino Linotype" w:eastAsia="Palatino Linotype" w:cs="Palatino Linotype"/>
                <w:color w:val="000000" w:themeColor="text1"/>
                <w:sz w:val="20"/>
                <w:szCs w:val="20"/>
              </w:rPr>
            </w:pPr>
          </w:p>
          <w:p w:rsidRPr="00045BDB" w:rsidR="002A6629" w:rsidRDefault="002A6629" w14:paraId="44428D71" w14:textId="77777777">
            <w:pPr>
              <w:rPr>
                <w:rFonts w:ascii="Palatino Linotype" w:hAnsi="Palatino Linotype" w:eastAsia="Palatino Linotype" w:cs="Palatino Linotype"/>
                <w:color w:val="000000" w:themeColor="text1"/>
                <w:sz w:val="20"/>
                <w:szCs w:val="20"/>
              </w:rPr>
            </w:pPr>
          </w:p>
          <w:p w:rsidRPr="00045BDB" w:rsidR="002A6629" w:rsidRDefault="002A6629" w14:paraId="48390722" w14:textId="77777777">
            <w:pPr>
              <w:rPr>
                <w:rFonts w:ascii="Palatino Linotype" w:hAnsi="Palatino Linotype" w:eastAsia="Palatino Linotype" w:cs="Palatino Linotype"/>
                <w:sz w:val="20"/>
                <w:szCs w:val="20"/>
              </w:rPr>
            </w:pPr>
          </w:p>
          <w:p w:rsidRPr="00045BDB" w:rsidR="002A6629" w:rsidRDefault="002A6629" w14:paraId="4ED39072" w14:textId="77777777">
            <w:pPr>
              <w:rPr>
                <w:rFonts w:ascii="Palatino Linotype" w:hAnsi="Palatino Linotype" w:eastAsia="Palatino Linotype" w:cs="Palatino Linotype"/>
                <w:sz w:val="20"/>
                <w:szCs w:val="20"/>
              </w:rPr>
            </w:pPr>
          </w:p>
        </w:tc>
      </w:tr>
      <w:tr w:rsidRPr="00045BDB" w:rsidR="002A6629" w14:paraId="7D4EA28D" w14:textId="77777777">
        <w:trPr>
          <w:trHeight w:val="638"/>
          <w:tblHeader/>
        </w:trPr>
        <w:tc>
          <w:tcPr>
            <w:tcW w:w="3744" w:type="dxa"/>
          </w:tcPr>
          <w:p w:rsidRPr="00045BDB" w:rsidR="002A6629" w:rsidRDefault="002A6629" w14:paraId="6E8E533F" w14:textId="77777777">
            <w:pPr>
              <w:rPr>
                <w:rFonts w:ascii="Palatino Linotype" w:hAnsi="Palatino Linotype"/>
                <w:i/>
                <w:iCs/>
                <w:sz w:val="20"/>
                <w:szCs w:val="20"/>
              </w:rPr>
            </w:pPr>
            <w:r w:rsidRPr="00045BDB">
              <w:rPr>
                <w:rFonts w:ascii="Palatino Linotype" w:hAnsi="Palatino Linotype"/>
                <w:b/>
                <w:sz w:val="20"/>
                <w:szCs w:val="20"/>
              </w:rPr>
              <w:lastRenderedPageBreak/>
              <w:t>[15]</w:t>
            </w:r>
            <w:r w:rsidRPr="00045BDB">
              <w:rPr>
                <w:rFonts w:ascii="Palatino Linotype" w:hAnsi="Palatino Linotype"/>
                <w:sz w:val="20"/>
                <w:szCs w:val="20"/>
              </w:rPr>
              <w:t xml:space="preserve"> </w:t>
            </w:r>
            <w:hyperlink r:id="rId149">
              <w:r w:rsidRPr="00045BDB">
                <w:rPr>
                  <w:rStyle w:val="Hyperlink"/>
                  <w:rFonts w:ascii="Palatino Linotype" w:hAnsi="Palatino Linotype"/>
                  <w:sz w:val="20"/>
                  <w:szCs w:val="20"/>
                </w:rPr>
                <w:t>Resolution G-3601</w:t>
              </w:r>
            </w:hyperlink>
            <w:r w:rsidRPr="00045BDB">
              <w:rPr>
                <w:rFonts w:ascii="Palatino Linotype" w:hAnsi="Palatino Linotype"/>
                <w:i/>
                <w:iCs/>
                <w:sz w:val="20"/>
                <w:szCs w:val="20"/>
              </w:rPr>
              <w:t> (2023) at OP 6. 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 Meet with Energy Division at least six weeks ahead of submitting its annual RD&amp;D Plan to present its proposed Plan and incorporate Energy Division feedback. At that time SoCalGas’ proposed Plan should reflect input from RD&amp;D administrator coordination and broad stakeholders including the research and ESJ communities.</w:t>
            </w:r>
          </w:p>
          <w:p w:rsidRPr="00045BDB" w:rsidR="002A6629" w:rsidRDefault="002A6629" w14:paraId="651C79AB" w14:textId="77777777">
            <w:pPr>
              <w:rPr>
                <w:rFonts w:ascii="Palatino Linotype" w:hAnsi="Palatino Linotype"/>
                <w:i/>
                <w:iCs/>
                <w:sz w:val="20"/>
                <w:szCs w:val="20"/>
              </w:rPr>
            </w:pPr>
          </w:p>
          <w:p w:rsidRPr="00045BDB" w:rsidR="002A6629" w:rsidRDefault="002A6629" w14:paraId="1074709D" w14:textId="77777777">
            <w:pPr>
              <w:rPr>
                <w:rFonts w:ascii="Palatino Linotype" w:hAnsi="Palatino Linotype"/>
                <w:sz w:val="20"/>
                <w:szCs w:val="20"/>
              </w:rPr>
            </w:pPr>
            <w:r w:rsidRPr="00045BDB">
              <w:rPr>
                <w:rFonts w:ascii="Palatino Linotype" w:hAnsi="Palatino Linotype"/>
                <w:sz w:val="20"/>
                <w:szCs w:val="20"/>
              </w:rPr>
              <w:t>See also</w:t>
            </w:r>
            <w:r w:rsidRPr="00E35854">
              <w:rPr>
                <w:rFonts w:ascii="Palatino Linotype" w:hAnsi="Palatino Linotype"/>
                <w:color w:val="000000" w:themeColor="text1"/>
                <w:sz w:val="20"/>
                <w:szCs w:val="20"/>
              </w:rPr>
              <w:t xml:space="preserve">: [6] on ratepayer benefit; </w:t>
            </w:r>
            <w:r w:rsidRPr="00045BDB">
              <w:rPr>
                <w:rFonts w:ascii="Palatino Linotype" w:hAnsi="Palatino Linotype"/>
                <w:sz w:val="20"/>
                <w:szCs w:val="20"/>
              </w:rPr>
              <w:t>[18] on integration of public stakeholder feedback; and [23] for gas RD&amp;D administrator coordination.</w:t>
            </w:r>
            <w:r w:rsidRPr="00045BDB">
              <w:rPr>
                <w:rFonts w:ascii="Times New Roman" w:hAnsi="Times New Roman" w:cs="Times New Roman"/>
                <w:sz w:val="20"/>
                <w:szCs w:val="20"/>
              </w:rPr>
              <w:t> </w:t>
            </w:r>
            <w:r w:rsidRPr="00045BDB">
              <w:rPr>
                <w:rFonts w:ascii="Palatino Linotype" w:hAnsi="Palatino Linotype" w:cs="Palatino Linotype"/>
                <w:sz w:val="20"/>
                <w:szCs w:val="20"/>
              </w:rPr>
              <w:t> </w:t>
            </w:r>
          </w:p>
        </w:tc>
        <w:tc>
          <w:tcPr>
            <w:tcW w:w="6912" w:type="dxa"/>
          </w:tcPr>
          <w:p w:rsidRPr="00E35854" w:rsidR="002A6629" w:rsidRDefault="002A6629" w14:paraId="5E10E231" w14:textId="77777777">
            <w:pPr>
              <w:rPr>
                <w:rFonts w:ascii="Palatino Linotype" w:hAnsi="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SoCalGas met with Energy Division staff on December 5, 2025, to review its Plan proposals before filing: December 5, 2025. SoCalGas provides Table 2: CPUC SME Feedback.</w:t>
            </w:r>
            <w:r w:rsidRPr="00E35854">
              <w:rPr>
                <w:rStyle w:val="FootnoteReference"/>
                <w:rFonts w:ascii="Palatino Linotype" w:hAnsi="Palatino Linotype"/>
                <w:color w:val="000000" w:themeColor="text1"/>
                <w:sz w:val="20"/>
                <w:szCs w:val="20"/>
              </w:rPr>
              <w:footnoteReference w:id="478"/>
            </w:r>
            <w:r w:rsidRPr="00E35854">
              <w:rPr>
                <w:rFonts w:ascii="Palatino Linotype" w:hAnsi="Palatino Linotype" w:eastAsia="Palatino Linotype"/>
                <w:color w:val="000000" w:themeColor="text1"/>
                <w:sz w:val="20"/>
                <w:szCs w:val="20"/>
              </w:rPr>
              <w:t xml:space="preserve"> </w:t>
            </w:r>
            <w:r w:rsidRPr="00E35854">
              <w:rPr>
                <w:rFonts w:ascii="Palatino Linotype" w:hAnsi="Palatino Linotype" w:eastAsia="Palatino Linotype" w:cs="Palatino Linotype"/>
                <w:color w:val="000000" w:themeColor="text1"/>
                <w:sz w:val="20"/>
                <w:szCs w:val="20"/>
              </w:rPr>
              <w:t>Energy Division staff provided the following Initiative-level feedback/recommendations as partially captured in SoCalGas’ Plan:</w:t>
            </w:r>
            <w:r w:rsidRPr="00E35854">
              <w:rPr>
                <w:rFonts w:ascii="Palatino Linotype" w:hAnsi="Palatino Linotype"/>
                <w:color w:val="000000" w:themeColor="text1"/>
                <w:sz w:val="20"/>
                <w:szCs w:val="20"/>
              </w:rPr>
              <w:t xml:space="preserve"> </w:t>
            </w:r>
          </w:p>
          <w:p w:rsidRPr="00E35854" w:rsidR="002A6629" w:rsidP="002A6629" w:rsidRDefault="002A6629" w14:paraId="48C2639E" w14:textId="77777777">
            <w:pPr>
              <w:pStyle w:val="ListParagraph"/>
              <w:numPr>
                <w:ilvl w:val="0"/>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Environment &amp; Safety:</w:t>
            </w:r>
            <w:r w:rsidRPr="00E35854">
              <w:rPr>
                <w:rFonts w:ascii="Palatino Linotype" w:hAnsi="Palatino Linotype"/>
                <w:color w:val="000000" w:themeColor="text1"/>
                <w:sz w:val="20"/>
                <w:szCs w:val="20"/>
              </w:rPr>
              <w:t xml:space="preserve"> Clearly define core research questions and data integration. For all AI/ML applications, account for the full costs including increased energy consumption, cloud services, data storage, and processing requirements and demonstrate that human decision-making authority will be retained. </w:t>
            </w:r>
          </w:p>
          <w:p w:rsidRPr="00E35854" w:rsidR="002A6629" w:rsidP="002A6629" w:rsidRDefault="002A6629" w14:paraId="64747ADD" w14:textId="77777777">
            <w:pPr>
              <w:pStyle w:val="ListParagraph"/>
              <w:numPr>
                <w:ilvl w:val="0"/>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System Inspection &amp; Monitoring</w:t>
            </w:r>
            <w:r w:rsidRPr="00E35854">
              <w:rPr>
                <w:rFonts w:ascii="Palatino Linotype" w:hAnsi="Palatino Linotype"/>
                <w:color w:val="000000" w:themeColor="text1"/>
                <w:sz w:val="20"/>
                <w:szCs w:val="20"/>
              </w:rPr>
              <w:t>: Clearly define market gaps and ratepayer benefit, explore utilizing Climate Adaptation and Vulnerability Assessments (CAVAs), and consider whether AI is necessary to implement this Initiative.</w:t>
            </w:r>
          </w:p>
          <w:p w:rsidRPr="00E35854" w:rsidR="002A6629" w:rsidP="002A6629" w:rsidRDefault="002A6629" w14:paraId="639A61A6" w14:textId="77777777">
            <w:pPr>
              <w:pStyle w:val="ListParagraph"/>
              <w:numPr>
                <w:ilvl w:val="1"/>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rPr>
              <w:t xml:space="preserve">SoCalGas states that it will leverage and integrate existing data sources to develop a comprehensive view of system risk, </w:t>
            </w:r>
            <w:proofErr w:type="gramStart"/>
            <w:r w:rsidRPr="00E35854">
              <w:rPr>
                <w:rFonts w:ascii="Palatino Linotype" w:hAnsi="Palatino Linotype"/>
                <w:color w:val="000000" w:themeColor="text1"/>
                <w:sz w:val="20"/>
                <w:szCs w:val="20"/>
              </w:rPr>
              <w:t>including from</w:t>
            </w:r>
            <w:proofErr w:type="gramEnd"/>
            <w:r w:rsidRPr="00E35854">
              <w:rPr>
                <w:rFonts w:ascii="Palatino Linotype" w:hAnsi="Palatino Linotype"/>
                <w:color w:val="000000" w:themeColor="text1"/>
                <w:sz w:val="20"/>
                <w:szCs w:val="20"/>
              </w:rPr>
              <w:t xml:space="preserve"> CAVAs, to inform mitigation decisions.</w:t>
            </w:r>
            <w:r w:rsidRPr="00E35854">
              <w:rPr>
                <w:rStyle w:val="FootnoteReference"/>
                <w:rFonts w:ascii="Palatino Linotype" w:hAnsi="Palatino Linotype"/>
                <w:color w:val="000000" w:themeColor="text1"/>
                <w:sz w:val="20"/>
                <w:szCs w:val="20"/>
              </w:rPr>
              <w:footnoteReference w:id="479"/>
            </w:r>
          </w:p>
          <w:p w:rsidRPr="00E35854" w:rsidR="002A6629" w:rsidP="002A6629" w:rsidRDefault="002A6629" w14:paraId="34A116B1" w14:textId="77777777">
            <w:pPr>
              <w:pStyle w:val="ListParagraph"/>
              <w:numPr>
                <w:ilvl w:val="0"/>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Community Impact &amp; Energy Conservation</w:t>
            </w:r>
            <w:r w:rsidRPr="00E35854">
              <w:rPr>
                <w:rFonts w:ascii="Palatino Linotype" w:hAnsi="Palatino Linotype"/>
                <w:color w:val="000000" w:themeColor="text1"/>
                <w:sz w:val="20"/>
                <w:szCs w:val="20"/>
              </w:rPr>
              <w:t>: Clearly define intended outputs and improvements to ratepayer affordability.  </w:t>
            </w:r>
          </w:p>
          <w:p w:rsidRPr="00E35854" w:rsidR="002A6629" w:rsidP="002A6629" w:rsidRDefault="002A6629" w14:paraId="22F041AB" w14:textId="77777777">
            <w:pPr>
              <w:pStyle w:val="ListParagraph"/>
              <w:numPr>
                <w:ilvl w:val="0"/>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Low-Carbon Fuel Technologies</w:t>
            </w:r>
            <w:r w:rsidRPr="00E35854">
              <w:rPr>
                <w:rFonts w:ascii="Palatino Linotype" w:hAnsi="Palatino Linotype"/>
                <w:color w:val="000000" w:themeColor="text1"/>
                <w:sz w:val="20"/>
                <w:szCs w:val="20"/>
              </w:rPr>
              <w:t>: Remove hydrogen related elements.  </w:t>
            </w:r>
          </w:p>
          <w:p w:rsidRPr="00E35854" w:rsidR="002A6629" w:rsidP="002A6629" w:rsidRDefault="002A6629" w14:paraId="76140DE4" w14:textId="77777777">
            <w:pPr>
              <w:pStyle w:val="ListParagraph"/>
              <w:numPr>
                <w:ilvl w:val="1"/>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rPr>
              <w:t xml:space="preserve">SoCalGas states that this Initiative focuses on emerging RNG production technologies and cost optimization opportunities and excludes hydrogen-related technologies (e.g., </w:t>
            </w:r>
            <w:proofErr w:type="spellStart"/>
            <w:r w:rsidRPr="00E35854">
              <w:rPr>
                <w:rFonts w:ascii="Palatino Linotype" w:hAnsi="Palatino Linotype"/>
                <w:color w:val="000000" w:themeColor="text1"/>
                <w:sz w:val="20"/>
                <w:szCs w:val="20"/>
              </w:rPr>
              <w:t>electrolyzers</w:t>
            </w:r>
            <w:proofErr w:type="spellEnd"/>
            <w:r w:rsidRPr="00E35854">
              <w:rPr>
                <w:rFonts w:ascii="Palatino Linotype" w:hAnsi="Palatino Linotype"/>
                <w:color w:val="000000" w:themeColor="text1"/>
                <w:sz w:val="20"/>
                <w:szCs w:val="20"/>
              </w:rPr>
              <w:t>, cell manufacturing).</w:t>
            </w:r>
            <w:r w:rsidRPr="00E35854">
              <w:rPr>
                <w:rStyle w:val="FootnoteReference"/>
                <w:rFonts w:ascii="Palatino Linotype" w:hAnsi="Palatino Linotype"/>
                <w:color w:val="000000" w:themeColor="text1"/>
              </w:rPr>
              <w:footnoteReference w:id="480"/>
            </w:r>
            <w:r w:rsidRPr="00E35854">
              <w:rPr>
                <w:rFonts w:ascii="Palatino Linotype" w:hAnsi="Palatino Linotype"/>
                <w:color w:val="000000" w:themeColor="text1"/>
                <w:sz w:val="20"/>
                <w:szCs w:val="20"/>
              </w:rPr>
              <w:t xml:space="preserve"> However, SoCalGas includes the </w:t>
            </w:r>
            <w:r w:rsidRPr="00E35854">
              <w:rPr>
                <w:rFonts w:ascii="Palatino Linotype" w:hAnsi="Palatino Linotype"/>
                <w:i/>
                <w:iCs/>
                <w:color w:val="000000" w:themeColor="text1"/>
                <w:sz w:val="20"/>
                <w:szCs w:val="20"/>
              </w:rPr>
              <w:t>Optimized H2S Removal Strategies for Low-Cost Operations and Materials Preservation</w:t>
            </w:r>
            <w:r w:rsidRPr="00E35854">
              <w:rPr>
                <w:rFonts w:ascii="Palatino Linotype" w:hAnsi="Palatino Linotype"/>
                <w:color w:val="000000" w:themeColor="text1"/>
                <w:sz w:val="20"/>
                <w:szCs w:val="20"/>
              </w:rPr>
              <w:t xml:space="preserve"> project under the </w:t>
            </w:r>
            <w:r w:rsidRPr="00E35854">
              <w:rPr>
                <w:rFonts w:ascii="Palatino Linotype" w:hAnsi="Palatino Linotype"/>
                <w:color w:val="000000" w:themeColor="text1"/>
                <w:sz w:val="20"/>
                <w:szCs w:val="20"/>
                <w:u w:val="single"/>
              </w:rPr>
              <w:t xml:space="preserve">RNG Infrastructure Optimization </w:t>
            </w:r>
            <w:r w:rsidRPr="00E35854">
              <w:rPr>
                <w:rFonts w:ascii="Palatino Linotype" w:hAnsi="Palatino Linotype"/>
                <w:color w:val="000000" w:themeColor="text1"/>
                <w:sz w:val="20"/>
                <w:szCs w:val="20"/>
              </w:rPr>
              <w:t>Initiative.</w:t>
            </w:r>
            <w:r w:rsidRPr="00E35854">
              <w:rPr>
                <w:rStyle w:val="FootnoteReference"/>
                <w:rFonts w:ascii="Palatino Linotype" w:hAnsi="Palatino Linotype"/>
                <w:color w:val="000000" w:themeColor="text1"/>
                <w:sz w:val="20"/>
                <w:szCs w:val="20"/>
              </w:rPr>
              <w:footnoteReference w:id="481"/>
            </w:r>
          </w:p>
          <w:p w:rsidRPr="00E35854" w:rsidR="002A6629" w:rsidP="002A6629" w:rsidRDefault="002A6629" w14:paraId="7A65DCAF" w14:textId="77777777">
            <w:pPr>
              <w:pStyle w:val="ListParagraph"/>
              <w:numPr>
                <w:ilvl w:val="0"/>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Energy Reliability &amp; Resilience</w:t>
            </w:r>
            <w:r w:rsidRPr="00E35854">
              <w:rPr>
                <w:rFonts w:ascii="Palatino Linotype" w:hAnsi="Palatino Linotype"/>
                <w:color w:val="000000" w:themeColor="text1"/>
                <w:sz w:val="20"/>
                <w:szCs w:val="20"/>
              </w:rPr>
              <w:t>: Address affordability concerns and remove hydrogen related elements.</w:t>
            </w:r>
          </w:p>
          <w:p w:rsidRPr="00E35854" w:rsidR="002A6629" w:rsidP="002A6629" w:rsidRDefault="002A6629" w14:paraId="30D02554" w14:textId="77777777">
            <w:pPr>
              <w:pStyle w:val="ListParagraph"/>
              <w:numPr>
                <w:ilvl w:val="1"/>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rPr>
              <w:t>SoCalGas states that it intends to “[a]</w:t>
            </w:r>
            <w:proofErr w:type="spellStart"/>
            <w:r w:rsidRPr="00E35854">
              <w:rPr>
                <w:rFonts w:ascii="Palatino Linotype" w:hAnsi="Palatino Linotype"/>
                <w:color w:val="000000" w:themeColor="text1"/>
                <w:sz w:val="20"/>
                <w:szCs w:val="20"/>
              </w:rPr>
              <w:t>dvance</w:t>
            </w:r>
            <w:proofErr w:type="spellEnd"/>
            <w:r w:rsidRPr="00E35854">
              <w:rPr>
                <w:rFonts w:ascii="Palatino Linotype" w:hAnsi="Palatino Linotype"/>
                <w:color w:val="000000" w:themeColor="text1"/>
                <w:sz w:val="20"/>
                <w:szCs w:val="20"/>
              </w:rPr>
              <w:t xml:space="preserve"> lower emission generation and retrofit solutions to improve affordability.”</w:t>
            </w:r>
            <w:r w:rsidRPr="00E35854">
              <w:rPr>
                <w:rStyle w:val="FootnoteReference"/>
                <w:rFonts w:ascii="Palatino Linotype" w:hAnsi="Palatino Linotype"/>
                <w:color w:val="000000" w:themeColor="text1"/>
                <w:sz w:val="20"/>
                <w:szCs w:val="20"/>
              </w:rPr>
              <w:footnoteReference w:id="482"/>
            </w:r>
          </w:p>
          <w:p w:rsidRPr="00E35854" w:rsidR="002A6629" w:rsidP="002A6629" w:rsidRDefault="002A6629" w14:paraId="3C34D5D1" w14:textId="77777777">
            <w:pPr>
              <w:pStyle w:val="ListParagraph"/>
              <w:numPr>
                <w:ilvl w:val="0"/>
                <w:numId w:val="93"/>
              </w:numPr>
              <w:spacing w:after="1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Building &amp; Facility Systems</w:t>
            </w:r>
            <w:r w:rsidRPr="00E35854">
              <w:rPr>
                <w:rFonts w:ascii="Palatino Linotype" w:hAnsi="Palatino Linotype"/>
                <w:color w:val="000000" w:themeColor="text1"/>
                <w:sz w:val="20"/>
                <w:szCs w:val="20"/>
              </w:rPr>
              <w:t>: Demonstrate protection of ratepayer affordability and target reducing the size of the gas system and prioritizing electrification. </w:t>
            </w:r>
          </w:p>
          <w:p w:rsidRPr="00E35854" w:rsidR="002A6629" w:rsidRDefault="002A6629" w14:paraId="51FB85A5" w14:textId="77777777">
            <w:pPr>
              <w:rPr>
                <w:rFonts w:ascii="Palatino Linotype" w:hAnsi="Palatino Linotype"/>
                <w:color w:val="000000" w:themeColor="text1"/>
                <w:sz w:val="20"/>
                <w:szCs w:val="20"/>
              </w:rPr>
            </w:pPr>
            <w:r w:rsidRPr="00E35854">
              <w:rPr>
                <w:rFonts w:ascii="Palatino Linotype" w:hAnsi="Palatino Linotype"/>
                <w:color w:val="000000" w:themeColor="text1"/>
                <w:sz w:val="20"/>
                <w:szCs w:val="20"/>
              </w:rPr>
              <w:lastRenderedPageBreak/>
              <w:t xml:space="preserve">SoCalGas reports feedback on the </w:t>
            </w:r>
            <w:r w:rsidRPr="00E35854">
              <w:rPr>
                <w:rFonts w:ascii="Palatino Linotype" w:hAnsi="Palatino Linotype"/>
                <w:color w:val="000000" w:themeColor="text1"/>
                <w:sz w:val="20"/>
                <w:szCs w:val="20"/>
                <w:u w:val="single"/>
              </w:rPr>
              <w:t>System Design &amp; Materials</w:t>
            </w:r>
            <w:r w:rsidRPr="00E35854">
              <w:rPr>
                <w:rFonts w:ascii="Palatino Linotype" w:hAnsi="Palatino Linotype"/>
                <w:color w:val="000000" w:themeColor="text1"/>
                <w:sz w:val="20"/>
                <w:szCs w:val="20"/>
              </w:rPr>
              <w:t xml:space="preserve"> and </w:t>
            </w:r>
            <w:r w:rsidRPr="00E35854">
              <w:rPr>
                <w:rFonts w:ascii="Palatino Linotype" w:hAnsi="Palatino Linotype"/>
                <w:color w:val="000000" w:themeColor="text1"/>
                <w:sz w:val="20"/>
                <w:szCs w:val="20"/>
                <w:u w:val="single"/>
              </w:rPr>
              <w:t>RNG Infrastructure Optimization</w:t>
            </w:r>
            <w:r w:rsidRPr="00E35854">
              <w:rPr>
                <w:rFonts w:ascii="Palatino Linotype" w:hAnsi="Palatino Linotype"/>
                <w:color w:val="000000" w:themeColor="text1"/>
                <w:sz w:val="20"/>
                <w:szCs w:val="20"/>
              </w:rPr>
              <w:t xml:space="preserve"> Initiatives though they were not discussed during pre-submittal consultation and therefore did not undergo Energy Division review prior to Plan submittal. </w:t>
            </w:r>
          </w:p>
        </w:tc>
        <w:tc>
          <w:tcPr>
            <w:tcW w:w="3600" w:type="dxa"/>
          </w:tcPr>
          <w:p w:rsidRPr="00E35854" w:rsidR="002A6629" w:rsidRDefault="002A6629" w14:paraId="3942F929" w14:textId="77777777">
            <w:pPr>
              <w:rPr>
                <w:rFonts w:ascii="Palatino Linotype" w:hAnsi="Palatino Linotype"/>
                <w:color w:val="000000" w:themeColor="text1"/>
                <w:sz w:val="20"/>
                <w:szCs w:val="20"/>
              </w:rPr>
            </w:pPr>
            <w:r w:rsidRPr="00E35854">
              <w:rPr>
                <w:rFonts w:ascii="Palatino Linotype" w:hAnsi="Palatino Linotype"/>
                <w:color w:val="000000" w:themeColor="text1"/>
                <w:sz w:val="20"/>
                <w:szCs w:val="20"/>
              </w:rPr>
              <w:lastRenderedPageBreak/>
              <w:t xml:space="preserve">SoCalGas met with Energy Division in advance </w:t>
            </w:r>
            <w:r w:rsidRPr="00E35854">
              <w:rPr>
                <w:rFonts w:ascii="Palatino Linotype" w:hAnsi="Palatino Linotype" w:eastAsia="Palatino Linotype" w:cs="Palatino Linotype"/>
                <w:color w:val="000000" w:themeColor="text1"/>
                <w:sz w:val="20"/>
                <w:szCs w:val="20"/>
              </w:rPr>
              <w:t>of</w:t>
            </w:r>
            <w:r w:rsidRPr="00E35854">
              <w:rPr>
                <w:rFonts w:ascii="Times New Roman" w:hAnsi="Times New Roman" w:eastAsia="Palatino Linotype" w:cs="Times New Roman"/>
                <w:color w:val="000000" w:themeColor="text1"/>
                <w:sz w:val="20"/>
                <w:szCs w:val="20"/>
              </w:rPr>
              <w:t> </w:t>
            </w:r>
            <w:r w:rsidRPr="00E35854">
              <w:rPr>
                <w:rFonts w:ascii="Palatino Linotype" w:hAnsi="Palatino Linotype" w:eastAsia="Palatino Linotype" w:cs="Palatino Linotype"/>
                <w:color w:val="000000" w:themeColor="text1"/>
                <w:sz w:val="20"/>
                <w:szCs w:val="20"/>
              </w:rPr>
              <w:t>submitting</w:t>
            </w:r>
            <w:r w:rsidRPr="00E35854">
              <w:rPr>
                <w:rFonts w:ascii="Times New Roman" w:hAnsi="Times New Roman" w:eastAsia="Palatino Linotype" w:cs="Times New Roman"/>
                <w:color w:val="000000" w:themeColor="text1"/>
                <w:sz w:val="20"/>
                <w:szCs w:val="20"/>
              </w:rPr>
              <w:t> </w:t>
            </w:r>
            <w:r w:rsidRPr="00E35854">
              <w:rPr>
                <w:rFonts w:ascii="Palatino Linotype" w:hAnsi="Palatino Linotype" w:eastAsia="Palatino Linotype" w:cs="Palatino Linotype"/>
                <w:color w:val="000000" w:themeColor="text1"/>
                <w:sz w:val="20"/>
                <w:szCs w:val="20"/>
              </w:rPr>
              <w:t>its</w:t>
            </w:r>
            <w:r w:rsidRPr="00E35854">
              <w:rPr>
                <w:rFonts w:ascii="Palatino Linotype" w:hAnsi="Palatino Linotype"/>
                <w:color w:val="000000" w:themeColor="text1"/>
                <w:sz w:val="20"/>
                <w:szCs w:val="20"/>
              </w:rPr>
              <w:t xml:space="preserve"> </w:t>
            </w:r>
            <w:r w:rsidRPr="00E35854">
              <w:rPr>
                <w:rFonts w:ascii="Palatino Linotype" w:hAnsi="Palatino Linotype" w:eastAsia="Palatino Linotype" w:cs="Palatino Linotype"/>
                <w:color w:val="000000" w:themeColor="text1"/>
                <w:sz w:val="20"/>
                <w:szCs w:val="20"/>
              </w:rPr>
              <w:t>2027</w:t>
            </w:r>
            <w:r w:rsidRPr="00E35854">
              <w:rPr>
                <w:rFonts w:ascii="Palatino Linotype" w:hAnsi="Palatino Linotype"/>
                <w:color w:val="000000" w:themeColor="text1"/>
                <w:sz w:val="20"/>
                <w:szCs w:val="20"/>
              </w:rPr>
              <w:t xml:space="preserve"> </w:t>
            </w:r>
            <w:r w:rsidRPr="00E35854">
              <w:rPr>
                <w:rFonts w:ascii="Palatino Linotype" w:hAnsi="Palatino Linotype" w:eastAsia="Palatino Linotype" w:cs="Palatino Linotype"/>
                <w:color w:val="000000" w:themeColor="text1"/>
                <w:sz w:val="20"/>
                <w:szCs w:val="20"/>
              </w:rPr>
              <w:t>Plan</w:t>
            </w:r>
            <w:r w:rsidRPr="00E35854">
              <w:rPr>
                <w:rFonts w:ascii="Times New Roman" w:hAnsi="Times New Roman" w:eastAsia="Palatino Linotype" w:cs="Times New Roman"/>
                <w:color w:val="000000" w:themeColor="text1"/>
                <w:sz w:val="20"/>
                <w:szCs w:val="20"/>
              </w:rPr>
              <w:t> </w:t>
            </w:r>
            <w:r w:rsidRPr="00E35854">
              <w:rPr>
                <w:rFonts w:ascii="Palatino Linotype" w:hAnsi="Palatino Linotype" w:eastAsia="Palatino Linotype" w:cs="Palatino Linotype"/>
                <w:color w:val="000000" w:themeColor="text1"/>
                <w:sz w:val="20"/>
                <w:szCs w:val="20"/>
              </w:rPr>
              <w:t>to</w:t>
            </w:r>
            <w:r w:rsidRPr="00E35854">
              <w:rPr>
                <w:rFonts w:ascii="Palatino Linotype" w:hAnsi="Palatino Linotype"/>
                <w:color w:val="000000" w:themeColor="text1"/>
                <w:sz w:val="20"/>
                <w:szCs w:val="20"/>
              </w:rPr>
              <w:t xml:space="preserve"> seek and integrate feedback for most Initiatives, however, it did not cover the System Design &amp; Materials or RNG Infrastructure Optimization Initiatives. Energy Division staff assessed if proposals were aligned with CPUC proceedings; had clearly defined outputs; were differentiated from existing RD&amp;D; and were expected to provide clear ratepayer benefit as also discussed elsewhere in this appendix. In several places, SoCalGas did provide further detail on its proposals as requested and describe how it modified its Initiatives to reflect feedback.  </w:t>
            </w:r>
          </w:p>
          <w:p w:rsidRPr="00E35854" w:rsidR="002A6629" w:rsidRDefault="002A6629" w14:paraId="595D7B26" w14:textId="77777777">
            <w:pPr>
              <w:spacing w:before="240"/>
              <w:rPr>
                <w:rFonts w:ascii="Palatino Linotype" w:hAnsi="Palatino Linotype"/>
                <w:color w:val="000000" w:themeColor="text1"/>
                <w:sz w:val="20"/>
                <w:szCs w:val="20"/>
              </w:rPr>
            </w:pPr>
            <w:r w:rsidRPr="00E35854">
              <w:rPr>
                <w:rFonts w:ascii="Palatino Linotype" w:hAnsi="Palatino Linotype"/>
                <w:color w:val="000000" w:themeColor="text1"/>
                <w:sz w:val="20"/>
                <w:szCs w:val="20"/>
              </w:rPr>
              <w:t xml:space="preserve">However, </w:t>
            </w:r>
            <w:r w:rsidRPr="00E35854">
              <w:rPr>
                <w:rFonts w:ascii="Palatino Linotype" w:hAnsi="Palatino Linotype" w:eastAsia="Palatino Linotype" w:cs="Palatino Linotype"/>
                <w:color w:val="000000" w:themeColor="text1"/>
                <w:sz w:val="20"/>
                <w:szCs w:val="20"/>
              </w:rPr>
              <w:t>SoCalGas’ requests for hydrogen- and carbon capture-related RD&amp;D activities do not align with Energy Division feedback and Commission policy to align with CPUC proceedings and provide clear ratepayer benefit as discussed at [6]. Overall</w:t>
            </w:r>
            <w:r w:rsidRPr="00E35854">
              <w:rPr>
                <w:rFonts w:ascii="Palatino Linotype" w:hAnsi="Palatino Linotype"/>
                <w:color w:val="000000" w:themeColor="text1"/>
                <w:sz w:val="20"/>
                <w:szCs w:val="20"/>
              </w:rPr>
              <w:t xml:space="preserve">, </w:t>
            </w:r>
            <w:r w:rsidRPr="00E35854">
              <w:rPr>
                <w:rFonts w:ascii="Palatino Linotype" w:hAnsi="Palatino Linotype"/>
                <w:b/>
                <w:color w:val="000000" w:themeColor="text1"/>
                <w:sz w:val="20"/>
                <w:szCs w:val="20"/>
              </w:rPr>
              <w:t xml:space="preserve">SoCalGas is </w:t>
            </w:r>
            <w:r w:rsidRPr="00E35854">
              <w:rPr>
                <w:rFonts w:ascii="Palatino Linotype" w:hAnsi="Palatino Linotype"/>
                <w:b/>
                <w:i/>
                <w:iCs/>
                <w:color w:val="000000" w:themeColor="text1"/>
                <w:sz w:val="20"/>
                <w:szCs w:val="20"/>
              </w:rPr>
              <w:t>not</w:t>
            </w:r>
            <w:r w:rsidRPr="00E35854">
              <w:rPr>
                <w:rFonts w:ascii="Palatino Linotype" w:hAnsi="Palatino Linotype"/>
                <w:b/>
                <w:color w:val="000000" w:themeColor="text1"/>
                <w:sz w:val="20"/>
                <w:szCs w:val="20"/>
              </w:rPr>
              <w:t xml:space="preserve"> compliant with this requirement </w:t>
            </w:r>
            <w:r w:rsidRPr="00E35854">
              <w:rPr>
                <w:rFonts w:ascii="Palatino Linotype" w:hAnsi="Palatino Linotype"/>
                <w:color w:val="000000" w:themeColor="text1"/>
                <w:sz w:val="20"/>
                <w:szCs w:val="20"/>
              </w:rPr>
              <w:t>for the following Initiatives as it did not comprehensively, accurately report and respond to Energy Division feedback:  </w:t>
            </w:r>
          </w:p>
          <w:p w:rsidRPr="00E35854" w:rsidR="002A6629" w:rsidP="002A6629" w:rsidRDefault="002A6629" w14:paraId="724A582A" w14:textId="77777777">
            <w:pPr>
              <w:numPr>
                <w:ilvl w:val="0"/>
                <w:numId w:val="106"/>
              </w:numPr>
              <w:ind w:left="3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Environment &amp; Safety:</w:t>
            </w:r>
            <w:r w:rsidRPr="00E35854">
              <w:rPr>
                <w:rFonts w:ascii="Palatino Linotype" w:hAnsi="Palatino Linotype"/>
                <w:color w:val="000000" w:themeColor="text1"/>
                <w:sz w:val="20"/>
                <w:szCs w:val="20"/>
              </w:rPr>
              <w:t xml:space="preserve"> SoCalGas must demonstrate that it will </w:t>
            </w:r>
            <w:r w:rsidRPr="00E35854">
              <w:rPr>
                <w:rFonts w:ascii="Palatino Linotype" w:hAnsi="Palatino Linotype"/>
                <w:color w:val="000000" w:themeColor="text1"/>
                <w:sz w:val="20"/>
                <w:szCs w:val="20"/>
              </w:rPr>
              <w:lastRenderedPageBreak/>
              <w:t>account for the full costs associated with AI/ML applications when assessing impacts, including increased energy consumption, cloud services, data storage, and processing requirements, and that human decision-making authority will be retained. </w:t>
            </w:r>
          </w:p>
          <w:p w:rsidRPr="00E35854" w:rsidR="002A6629" w:rsidP="002A6629" w:rsidRDefault="002A6629" w14:paraId="29252AA9" w14:textId="77777777">
            <w:pPr>
              <w:numPr>
                <w:ilvl w:val="0"/>
                <w:numId w:val="107"/>
              </w:numPr>
              <w:ind w:left="360"/>
              <w:rPr>
                <w:rFonts w:ascii="Palatino Linotype" w:hAnsi="Palatino Linotype" w:eastAsia="Palatino Linotype" w:cs="Palatino Linotype"/>
                <w:color w:val="000000" w:themeColor="text1"/>
                <w:sz w:val="20"/>
                <w:szCs w:val="20"/>
              </w:rPr>
            </w:pPr>
            <w:r w:rsidRPr="00E35854">
              <w:rPr>
                <w:rFonts w:ascii="Palatino Linotype" w:hAnsi="Palatino Linotype"/>
                <w:color w:val="000000" w:themeColor="text1"/>
                <w:sz w:val="20"/>
                <w:szCs w:val="20"/>
                <w:u w:val="single"/>
              </w:rPr>
              <w:t>RNG Infrastructure Optimization</w:t>
            </w:r>
            <w:r w:rsidRPr="00E35854">
              <w:rPr>
                <w:rFonts w:ascii="Palatino Linotype" w:hAnsi="Palatino Linotype"/>
                <w:color w:val="000000" w:themeColor="text1"/>
                <w:sz w:val="20"/>
                <w:szCs w:val="20"/>
              </w:rPr>
              <w:t xml:space="preserve">: </w:t>
            </w:r>
            <w:r w:rsidRPr="00E35854">
              <w:rPr>
                <w:rFonts w:ascii="Palatino Linotype" w:hAnsi="Palatino Linotype" w:eastAsia="Palatino Linotype" w:cs="Palatino Linotype"/>
                <w:color w:val="000000" w:themeColor="text1"/>
                <w:sz w:val="20"/>
                <w:szCs w:val="20"/>
              </w:rPr>
              <w:t xml:space="preserve">SoCalGas shall reallocate funds proposed for the </w:t>
            </w:r>
            <w:r w:rsidRPr="00E35854">
              <w:rPr>
                <w:rFonts w:ascii="Palatino Linotype" w:hAnsi="Palatino Linotype"/>
                <w:i/>
                <w:color w:val="000000" w:themeColor="text1"/>
                <w:sz w:val="20"/>
                <w:szCs w:val="20"/>
              </w:rPr>
              <w:t>Optimized H2S Removal Strategies for Low-Cost Operations and Materials Preservation</w:t>
            </w:r>
            <w:r w:rsidRPr="00E35854">
              <w:rPr>
                <w:rFonts w:ascii="Palatino Linotype" w:hAnsi="Palatino Linotype"/>
                <w:color w:val="000000" w:themeColor="text1"/>
                <w:sz w:val="20"/>
                <w:szCs w:val="20"/>
              </w:rPr>
              <w:t xml:space="preserve"> project </w:t>
            </w:r>
            <w:r w:rsidRPr="00E35854">
              <w:rPr>
                <w:rFonts w:ascii="Palatino Linotype" w:hAnsi="Palatino Linotype" w:eastAsia="Palatino Linotype" w:cs="Palatino Linotype"/>
                <w:color w:val="000000" w:themeColor="text1"/>
                <w:sz w:val="20"/>
                <w:szCs w:val="20"/>
              </w:rPr>
              <w:t>for eligible purposes. </w:t>
            </w:r>
          </w:p>
          <w:p w:rsidR="00B15225" w:rsidP="002A6629" w:rsidRDefault="002A6629" w14:paraId="7B6B90A4" w14:textId="532B7AF2">
            <w:pPr>
              <w:numPr>
                <w:ilvl w:val="0"/>
                <w:numId w:val="107"/>
              </w:numPr>
              <w:ind w:left="3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Energy Reliability &amp; Resilience</w:t>
            </w:r>
            <w:r w:rsidRPr="00E35854">
              <w:rPr>
                <w:rFonts w:ascii="Palatino Linotype" w:hAnsi="Palatino Linotype"/>
                <w:color w:val="000000" w:themeColor="text1"/>
                <w:sz w:val="20"/>
                <w:szCs w:val="20"/>
              </w:rPr>
              <w:t xml:space="preserve">: </w:t>
            </w:r>
            <w:r w:rsidRPr="00BE4685" w:rsidR="00B15225">
              <w:rPr>
                <w:rFonts w:ascii="Palatino Linotype" w:hAnsi="Palatino Linotype"/>
                <w:color w:val="000000" w:themeColor="text1"/>
                <w:sz w:val="20"/>
                <w:szCs w:val="20"/>
              </w:rPr>
              <w:t xml:space="preserve">SoCalGas must </w:t>
            </w:r>
            <w:r w:rsidR="00B15225">
              <w:rPr>
                <w:rFonts w:ascii="Palatino Linotype" w:hAnsi="Palatino Linotype"/>
                <w:color w:val="000000" w:themeColor="text1"/>
                <w:sz w:val="20"/>
                <w:szCs w:val="20"/>
              </w:rPr>
              <w:t>provide further detail on the</w:t>
            </w:r>
            <w:r w:rsidRPr="00BE4685" w:rsidR="00B15225">
              <w:rPr>
                <w:rFonts w:ascii="Palatino Linotype" w:hAnsi="Palatino Linotype"/>
                <w:color w:val="000000" w:themeColor="text1"/>
                <w:sz w:val="20"/>
                <w:szCs w:val="20"/>
              </w:rPr>
              <w:t xml:space="preserve"> “Carbon Management Integration” Research Topic</w:t>
            </w:r>
            <w:r w:rsidR="00B15225">
              <w:rPr>
                <w:rFonts w:ascii="Palatino Linotype" w:hAnsi="Palatino Linotype"/>
                <w:color w:val="000000" w:themeColor="text1"/>
                <w:sz w:val="20"/>
                <w:szCs w:val="20"/>
              </w:rPr>
              <w:t xml:space="preserve"> as described herein.</w:t>
            </w:r>
          </w:p>
          <w:p w:rsidRPr="00E35854" w:rsidR="002A6629" w:rsidP="002A6629" w:rsidRDefault="002A6629" w14:paraId="34E3B8B7" w14:textId="4C47D963">
            <w:pPr>
              <w:numPr>
                <w:ilvl w:val="0"/>
                <w:numId w:val="107"/>
              </w:numPr>
              <w:ind w:left="360"/>
              <w:rPr>
                <w:rFonts w:ascii="Palatino Linotype" w:hAnsi="Palatino Linotype"/>
                <w:color w:val="000000" w:themeColor="text1"/>
                <w:sz w:val="20"/>
                <w:szCs w:val="20"/>
              </w:rPr>
            </w:pPr>
            <w:r w:rsidRPr="00E35854">
              <w:rPr>
                <w:rFonts w:ascii="Palatino Linotype" w:hAnsi="Palatino Linotype"/>
                <w:color w:val="000000" w:themeColor="text1"/>
                <w:sz w:val="20"/>
                <w:szCs w:val="20"/>
                <w:u w:val="single"/>
              </w:rPr>
              <w:t>Building &amp; Facility Systems</w:t>
            </w:r>
            <w:r w:rsidRPr="00E35854">
              <w:rPr>
                <w:rFonts w:ascii="Palatino Linotype" w:hAnsi="Palatino Linotype"/>
                <w:color w:val="000000" w:themeColor="text1"/>
                <w:sz w:val="20"/>
                <w:szCs w:val="20"/>
              </w:rPr>
              <w:t>: SoCalGas must demonstrate that this Initiative supports reducing the size of the gas system. </w:t>
            </w:r>
          </w:p>
          <w:p w:rsidRPr="00E35854" w:rsidR="002A6629" w:rsidRDefault="002A6629" w14:paraId="1F3209CB" w14:textId="77777777">
            <w:pPr>
              <w:spacing w:before="24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SoCalGas shall also make the following revisions to its 2027 Plan to provide greater clarity to align with requirements: </w:t>
            </w:r>
          </w:p>
          <w:p w:rsidRPr="00E35854" w:rsidR="002A6629" w:rsidP="002A6629" w:rsidRDefault="002A6629" w14:paraId="5DAE64E5" w14:textId="77777777">
            <w:pPr>
              <w:numPr>
                <w:ilvl w:val="0"/>
                <w:numId w:val="113"/>
              </w:numPr>
              <w:ind w:left="36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 xml:space="preserve">Indicate the program area across the product development cycle detailed in Appendix D of this Resolution associated with each </w:t>
            </w:r>
            <w:r w:rsidRPr="00E35854">
              <w:rPr>
                <w:rFonts w:ascii="Palatino Linotype" w:hAnsi="Palatino Linotype" w:eastAsia="Palatino Linotype" w:cs="Palatino Linotype"/>
                <w:color w:val="000000" w:themeColor="text1"/>
                <w:sz w:val="20"/>
                <w:szCs w:val="20"/>
              </w:rPr>
              <w:lastRenderedPageBreak/>
              <w:t>listed research topic for further clarity on anticipated outputs from Initiatives.  </w:t>
            </w:r>
          </w:p>
          <w:p w:rsidRPr="00E35854" w:rsidR="002A6629" w:rsidP="002A6629" w:rsidRDefault="002A6629" w14:paraId="06618F38" w14:textId="77777777">
            <w:pPr>
              <w:numPr>
                <w:ilvl w:val="0"/>
                <w:numId w:val="114"/>
              </w:numPr>
              <w:ind w:left="36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Identify which of the proposed future project areas are anticipated to be funded through consortia.  </w:t>
            </w:r>
          </w:p>
          <w:p w:rsidRPr="00E35854" w:rsidR="002A6629" w:rsidP="002A6629" w:rsidRDefault="002A6629" w14:paraId="67C00BA4" w14:textId="77777777">
            <w:pPr>
              <w:numPr>
                <w:ilvl w:val="0"/>
                <w:numId w:val="115"/>
              </w:numPr>
              <w:ind w:left="360"/>
              <w:rPr>
                <w:rStyle w:val="EndnoteReference"/>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 xml:space="preserve">Prioritize zero-emission systems over low-emission technologies under its </w:t>
            </w:r>
            <w:r w:rsidRPr="00E35854">
              <w:rPr>
                <w:rFonts w:ascii="Palatino Linotype" w:hAnsi="Palatino Linotype" w:eastAsia="Palatino Linotype" w:cs="Palatino Linotype"/>
                <w:color w:val="000000" w:themeColor="text1"/>
                <w:sz w:val="20"/>
                <w:szCs w:val="20"/>
                <w:u w:val="single"/>
              </w:rPr>
              <w:t>Low-Carbon Fuel Technologies</w:t>
            </w:r>
            <w:r w:rsidRPr="00E35854">
              <w:rPr>
                <w:rFonts w:ascii="Palatino Linotype" w:hAnsi="Palatino Linotype" w:eastAsia="Palatino Linotype" w:cs="Palatino Linotype"/>
                <w:color w:val="000000" w:themeColor="text1"/>
                <w:sz w:val="20"/>
                <w:szCs w:val="20"/>
              </w:rPr>
              <w:t xml:space="preserve"> Initiative</w:t>
            </w:r>
            <w:r w:rsidRPr="00E35854">
              <w:rPr>
                <w:rStyle w:val="FootnoteReference"/>
                <w:rFonts w:ascii="Palatino Linotype" w:hAnsi="Palatino Linotype" w:eastAsia="Palatino Linotype" w:cs="Palatino Linotype"/>
                <w:color w:val="000000" w:themeColor="text1"/>
                <w:sz w:val="20"/>
                <w:szCs w:val="20"/>
              </w:rPr>
              <w:footnoteReference w:id="483"/>
            </w:r>
            <w:r w:rsidRPr="00E35854">
              <w:rPr>
                <w:rFonts w:ascii="Palatino Linotype" w:hAnsi="Palatino Linotype" w:eastAsia="Palatino Linotype" w:cs="Palatino Linotype"/>
                <w:color w:val="000000" w:themeColor="text1"/>
                <w:sz w:val="20"/>
                <w:szCs w:val="20"/>
              </w:rPr>
              <w:t xml:space="preserve"> and eliminating as opposed to reducing flaring from some biogas production facilities under its </w:t>
            </w:r>
            <w:r w:rsidRPr="00E35854">
              <w:rPr>
                <w:rFonts w:ascii="Palatino Linotype" w:hAnsi="Palatino Linotype" w:eastAsia="Palatino Linotype" w:cs="Palatino Linotype"/>
                <w:color w:val="000000" w:themeColor="text1"/>
                <w:sz w:val="20"/>
                <w:szCs w:val="20"/>
                <w:u w:val="single"/>
              </w:rPr>
              <w:t>RNG Infrastructure Optimization</w:t>
            </w:r>
            <w:r w:rsidRPr="00E35854">
              <w:rPr>
                <w:rFonts w:ascii="Palatino Linotype" w:hAnsi="Palatino Linotype" w:eastAsia="Palatino Linotype" w:cs="Palatino Linotype"/>
                <w:color w:val="000000" w:themeColor="text1"/>
                <w:sz w:val="20"/>
                <w:szCs w:val="20"/>
              </w:rPr>
              <w:t xml:space="preserve"> Initiative</w:t>
            </w:r>
            <w:r w:rsidRPr="00E35854">
              <w:rPr>
                <w:rStyle w:val="FootnoteReference"/>
                <w:rFonts w:ascii="Palatino Linotype" w:hAnsi="Palatino Linotype" w:eastAsia="Palatino Linotype" w:cs="Palatino Linotype"/>
                <w:color w:val="000000" w:themeColor="text1"/>
                <w:sz w:val="20"/>
                <w:szCs w:val="20"/>
              </w:rPr>
              <w:footnoteReference w:id="484"/>
            </w:r>
            <w:r w:rsidRPr="00E35854">
              <w:rPr>
                <w:rFonts w:ascii="Palatino Linotype" w:hAnsi="Palatino Linotype" w:eastAsia="Palatino Linotype" w:cs="Palatino Linotype"/>
                <w:color w:val="000000" w:themeColor="text1"/>
                <w:sz w:val="20"/>
                <w:szCs w:val="20"/>
              </w:rPr>
              <w:t xml:space="preserve"> wherever possible.</w:t>
            </w:r>
          </w:p>
          <w:p w:rsidRPr="00E35854" w:rsidR="002A6629" w:rsidRDefault="002A6629" w14:paraId="4D8B8A8A" w14:textId="77777777">
            <w:pPr>
              <w:spacing w:before="24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In the future, SoCalGas shall also present all proposed Initiatives to Energy Division in advance of Plan submittal. </w:t>
            </w:r>
          </w:p>
        </w:tc>
      </w:tr>
      <w:tr w:rsidRPr="00045BDB" w:rsidR="002A6629" w14:paraId="4C6647D1" w14:textId="77777777">
        <w:trPr>
          <w:trHeight w:val="638"/>
          <w:tblHeader/>
        </w:trPr>
        <w:tc>
          <w:tcPr>
            <w:tcW w:w="3744" w:type="dxa"/>
          </w:tcPr>
          <w:p w:rsidRPr="00045BDB" w:rsidR="002A6629" w:rsidRDefault="002A6629" w14:paraId="4CBEF3EF" w14:textId="77777777">
            <w:pPr>
              <w:rPr>
                <w:rFonts w:ascii="Palatino Linotype" w:hAnsi="Palatino Linotype"/>
                <w:i/>
                <w:iCs/>
                <w:sz w:val="20"/>
                <w:szCs w:val="20"/>
              </w:rPr>
            </w:pPr>
            <w:r w:rsidRPr="00045BDB">
              <w:rPr>
                <w:rFonts w:ascii="Palatino Linotype" w:hAnsi="Palatino Linotype"/>
                <w:b/>
                <w:sz w:val="20"/>
                <w:szCs w:val="20"/>
              </w:rPr>
              <w:lastRenderedPageBreak/>
              <w:t>[16]</w:t>
            </w:r>
            <w:r w:rsidRPr="00045BDB">
              <w:rPr>
                <w:rFonts w:ascii="Palatino Linotype" w:hAnsi="Palatino Linotype"/>
                <w:sz w:val="20"/>
                <w:szCs w:val="20"/>
              </w:rPr>
              <w:t xml:space="preserve"> </w:t>
            </w:r>
            <w:hyperlink r:id="rId150">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 Explicitly justify how all consortia dues benefit gas ratepayers.</w:t>
            </w:r>
          </w:p>
          <w:p w:rsidRPr="00045BDB" w:rsidR="002A6629" w:rsidRDefault="002A6629" w14:paraId="54A0E347" w14:textId="77777777">
            <w:pPr>
              <w:rPr>
                <w:rFonts w:ascii="Palatino Linotype" w:hAnsi="Palatino Linotype"/>
                <w:sz w:val="20"/>
                <w:szCs w:val="20"/>
              </w:rPr>
            </w:pPr>
            <w:r w:rsidRPr="00045BDB">
              <w:rPr>
                <w:rFonts w:ascii="Palatino Linotype" w:hAnsi="Palatino Linotype"/>
                <w:sz w:val="20"/>
                <w:szCs w:val="20"/>
              </w:rPr>
              <w:t> </w:t>
            </w:r>
          </w:p>
          <w:p w:rsidRPr="00045BDB" w:rsidR="002A6629" w:rsidRDefault="002A6629" w14:paraId="3B3BF143" w14:textId="77777777">
            <w:pPr>
              <w:rPr>
                <w:rFonts w:ascii="Palatino Linotype" w:hAnsi="Palatino Linotype"/>
                <w:sz w:val="20"/>
                <w:szCs w:val="20"/>
              </w:rPr>
            </w:pPr>
            <w:r w:rsidRPr="00045BDB">
              <w:rPr>
                <w:rFonts w:ascii="Palatino Linotype" w:hAnsi="Palatino Linotype"/>
                <w:sz w:val="20"/>
                <w:szCs w:val="20"/>
              </w:rPr>
              <w:t>See also: [13] on consortia dues.</w:t>
            </w:r>
            <w:r w:rsidRPr="00045BDB">
              <w:rPr>
                <w:rFonts w:ascii="Times New Roman" w:hAnsi="Times New Roman" w:cs="Times New Roman"/>
                <w:sz w:val="20"/>
                <w:szCs w:val="20"/>
              </w:rPr>
              <w:t> </w:t>
            </w:r>
            <w:r w:rsidRPr="00045BDB">
              <w:rPr>
                <w:rFonts w:ascii="Palatino Linotype" w:hAnsi="Palatino Linotype" w:cs="Palatino Linotype"/>
                <w:sz w:val="20"/>
                <w:szCs w:val="20"/>
              </w:rPr>
              <w:t> </w:t>
            </w:r>
          </w:p>
          <w:p w:rsidRPr="00045BDB" w:rsidR="002A6629" w:rsidRDefault="002A6629" w14:paraId="05A36259" w14:textId="77777777">
            <w:pPr>
              <w:rPr>
                <w:rFonts w:ascii="Palatino Linotype" w:hAnsi="Palatino Linotype"/>
                <w:sz w:val="20"/>
                <w:szCs w:val="20"/>
              </w:rPr>
            </w:pPr>
          </w:p>
        </w:tc>
        <w:tc>
          <w:tcPr>
            <w:tcW w:w="6912" w:type="dxa"/>
          </w:tcPr>
          <w:p w:rsidRPr="00045BDB" w:rsidR="002A6629" w:rsidRDefault="002A6629" w14:paraId="68009CFD"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provides a detailed explanation of benefits it perceives for California ratepayers from its consortia memberships: </w:t>
            </w:r>
          </w:p>
          <w:p w:rsidRPr="00045BDB" w:rsidR="002A6629" w:rsidP="002A6629" w:rsidRDefault="002A6629" w14:paraId="7A9379A3" w14:textId="77777777">
            <w:pPr>
              <w:pStyle w:val="ListParagraph"/>
              <w:numPr>
                <w:ilvl w:val="0"/>
                <w:numId w:val="96"/>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“Providing SMEs with a forum for learning and gaining operational insights regarding differences in pipeline system materials and equipment, operating environments, operational experiences, procedures, and practices. </w:t>
            </w:r>
          </w:p>
          <w:p w:rsidRPr="00045BDB" w:rsidR="002A6629" w:rsidP="002A6629" w:rsidRDefault="002A6629" w14:paraId="06AE595B" w14:textId="77777777">
            <w:pPr>
              <w:pStyle w:val="ListParagraph"/>
              <w:numPr>
                <w:ilvl w:val="0"/>
                <w:numId w:val="96"/>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Gaining operational knowledge that may only apply to a small subset of system assets or operational conditions. </w:t>
            </w:r>
          </w:p>
          <w:p w:rsidRPr="00045BDB" w:rsidR="002A6629" w:rsidP="002A6629" w:rsidRDefault="002A6629" w14:paraId="69A6A457" w14:textId="77777777">
            <w:pPr>
              <w:pStyle w:val="ListParagraph"/>
              <w:numPr>
                <w:ilvl w:val="0"/>
                <w:numId w:val="96"/>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Knowledge-sharing of pipeline incidents, causes, or insights into interactive threats with very low probability of occurrence but high </w:t>
            </w:r>
            <w:proofErr w:type="gramStart"/>
            <w:r w:rsidRPr="00045BDB">
              <w:rPr>
                <w:rFonts w:ascii="Palatino Linotype" w:hAnsi="Palatino Linotype" w:eastAsia="Palatino Linotype" w:cs="Palatino Linotype"/>
                <w:sz w:val="20"/>
                <w:szCs w:val="20"/>
              </w:rPr>
              <w:t>consequence</w:t>
            </w:r>
            <w:proofErr w:type="gramEnd"/>
            <w:r w:rsidRPr="00045BDB">
              <w:rPr>
                <w:rFonts w:ascii="Palatino Linotype" w:hAnsi="Palatino Linotype" w:eastAsia="Palatino Linotype" w:cs="Palatino Linotype"/>
                <w:sz w:val="20"/>
                <w:szCs w:val="20"/>
              </w:rPr>
              <w:t xml:space="preserve">. </w:t>
            </w:r>
          </w:p>
          <w:p w:rsidRPr="00045BDB" w:rsidR="002A6629" w:rsidP="002A6629" w:rsidRDefault="002A6629" w14:paraId="38FB84DB" w14:textId="77777777">
            <w:pPr>
              <w:pStyle w:val="ListParagraph"/>
              <w:numPr>
                <w:ilvl w:val="0"/>
                <w:numId w:val="96"/>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Knowledge-sharing between large and small system operators can have a positive effect on the performance of the overall natural gas supply chain. </w:t>
            </w:r>
          </w:p>
          <w:p w:rsidRPr="00045BDB" w:rsidR="002A6629" w:rsidP="002A6629" w:rsidRDefault="002A6629" w14:paraId="2424AAF0" w14:textId="77777777">
            <w:pPr>
              <w:pStyle w:val="ListParagraph"/>
              <w:numPr>
                <w:ilvl w:val="0"/>
                <w:numId w:val="96"/>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Gaining knowledge of emerging areas of research or technologies that could be utilized by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to support pipeline safety, system reliability, operational efficiency, and environmental improvement.” </w:t>
            </w:r>
          </w:p>
          <w:p w:rsidRPr="00045BDB" w:rsidR="002A6629" w:rsidRDefault="002A6629" w14:paraId="2DBE89D0" w14:textId="77777777">
            <w:pPr>
              <w:spacing w:before="240"/>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also promoted the “leveraging” of constrained resources with the contributions of other consortia members.</w:t>
            </w:r>
            <w:r w:rsidRPr="00045BDB">
              <w:rPr>
                <w:rStyle w:val="FootnoteReference"/>
                <w:rFonts w:ascii="Palatino Linotype" w:hAnsi="Palatino Linotype" w:eastAsia="Palatino Linotype" w:cs="Palatino Linotype"/>
                <w:sz w:val="20"/>
                <w:szCs w:val="20"/>
              </w:rPr>
              <w:footnoteReference w:id="485"/>
            </w:r>
          </w:p>
        </w:tc>
        <w:tc>
          <w:tcPr>
            <w:tcW w:w="3600" w:type="dxa"/>
          </w:tcPr>
          <w:p w:rsidRPr="00045BDB" w:rsidR="002A6629" w:rsidRDefault="002A6629" w14:paraId="01B9B520"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 xml:space="preserve">SoCalGas justifies how all consortia dues benefit gas ratepayers. </w:t>
            </w:r>
            <w:r w:rsidRPr="00045BDB">
              <w:rPr>
                <w:rFonts w:ascii="Palatino Linotype" w:hAnsi="Palatino Linotype"/>
                <w:b/>
                <w:color w:val="000000" w:themeColor="text1"/>
                <w:sz w:val="20"/>
                <w:szCs w:val="20"/>
              </w:rPr>
              <w:t>SoCalGas is compliant with this requirement.</w:t>
            </w:r>
          </w:p>
        </w:tc>
      </w:tr>
      <w:tr w:rsidRPr="00045BDB" w:rsidR="002A6629" w14:paraId="26EDB0EF" w14:textId="77777777">
        <w:trPr>
          <w:trHeight w:val="638"/>
          <w:tblHeader/>
        </w:trPr>
        <w:tc>
          <w:tcPr>
            <w:tcW w:w="3744" w:type="dxa"/>
          </w:tcPr>
          <w:p w:rsidRPr="00045BDB" w:rsidR="002A6629" w:rsidRDefault="002A6629" w14:paraId="0ADE09CD" w14:textId="77777777">
            <w:pPr>
              <w:rPr>
                <w:rFonts w:ascii="Palatino Linotype" w:hAnsi="Palatino Linotype"/>
                <w:i/>
                <w:iCs/>
                <w:sz w:val="20"/>
                <w:szCs w:val="20"/>
              </w:rPr>
            </w:pPr>
            <w:r w:rsidRPr="00045BDB">
              <w:rPr>
                <w:rFonts w:ascii="Palatino Linotype" w:hAnsi="Palatino Linotype"/>
                <w:b/>
                <w:sz w:val="20"/>
                <w:szCs w:val="20"/>
              </w:rPr>
              <w:lastRenderedPageBreak/>
              <w:t xml:space="preserve">[17] </w:t>
            </w:r>
            <w:hyperlink r:id="rId151">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 Elaborate on the results of its RD&amp;D projects. SoCalGas shall describe how results are used to address the state’s climate goals, how its research project results are scaled/commercialized, and how SoCalGas measures the impacts of its research.</w:t>
            </w:r>
          </w:p>
          <w:p w:rsidRPr="00045BDB" w:rsidR="002A6629" w:rsidRDefault="002A6629" w14:paraId="032AC509" w14:textId="77777777">
            <w:pPr>
              <w:rPr>
                <w:rFonts w:ascii="Palatino Linotype" w:hAnsi="Palatino Linotype"/>
                <w:i/>
                <w:iCs/>
                <w:sz w:val="20"/>
                <w:szCs w:val="20"/>
              </w:rPr>
            </w:pPr>
          </w:p>
          <w:p w:rsidRPr="00045BDB" w:rsidR="002A6629" w:rsidRDefault="002A6629" w14:paraId="1AD5894B" w14:textId="77777777">
            <w:pPr>
              <w:rPr>
                <w:rFonts w:ascii="Palatino Linotype" w:hAnsi="Palatino Linotype"/>
                <w:sz w:val="20"/>
                <w:szCs w:val="20"/>
              </w:rPr>
            </w:pPr>
            <w:r w:rsidRPr="00045BDB">
              <w:rPr>
                <w:rFonts w:ascii="Palatino Linotype" w:hAnsi="Palatino Linotype"/>
                <w:sz w:val="20"/>
                <w:szCs w:val="20"/>
              </w:rPr>
              <w:t>See also: [19].</w:t>
            </w:r>
          </w:p>
        </w:tc>
        <w:tc>
          <w:tcPr>
            <w:tcW w:w="6912" w:type="dxa"/>
          </w:tcPr>
          <w:p w:rsidRPr="00045BDB" w:rsidR="002A6629" w:rsidRDefault="002A6629" w14:paraId="0D00BD5F" w14:textId="77777777">
            <w:pPr>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states: “To support alignment of its projects and the state’s climate goals,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RD&amp;D considers a variety of project selection criteria, including: </w:t>
            </w:r>
          </w:p>
          <w:p w:rsidRPr="00045BDB" w:rsidR="002A6629" w:rsidP="002A6629" w:rsidRDefault="002A6629" w14:paraId="706D95B0" w14:textId="77777777">
            <w:pPr>
              <w:pStyle w:val="ListParagraph"/>
              <w:numPr>
                <w:ilvl w:val="0"/>
                <w:numId w:val="9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The proposed project addresses a California need identified in relevant literature (e.g., the CPUC’s Gas Strategic Planning order instituting rulemaking (OIR) or the CEC’s Electric Program Investment Charge (EPIC) Gap Analysis).</w:t>
            </w:r>
          </w:p>
          <w:p w:rsidRPr="00045BDB" w:rsidR="002A6629" w:rsidP="002A6629" w:rsidRDefault="002A6629" w14:paraId="37147946" w14:textId="77777777">
            <w:pPr>
              <w:pStyle w:val="ListParagraph"/>
              <w:numPr>
                <w:ilvl w:val="0"/>
                <w:numId w:val="9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The project offers a reasonable probability of improving access to clean energy technologies for ratepayers, including those in ESJ and tribal communities in California. </w:t>
            </w:r>
          </w:p>
          <w:p w:rsidRPr="00045BDB" w:rsidR="002A6629" w:rsidP="002A6629" w:rsidRDefault="002A6629" w14:paraId="277D417B" w14:textId="77777777">
            <w:pPr>
              <w:pStyle w:val="ListParagraph"/>
              <w:numPr>
                <w:ilvl w:val="0"/>
                <w:numId w:val="9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The project supports air quality improvements in California communities, including those already experiencing pollution burdens. </w:t>
            </w:r>
          </w:p>
          <w:p w:rsidRPr="00045BDB" w:rsidR="002A6629" w:rsidP="002A6629" w:rsidRDefault="002A6629" w14:paraId="0B45D75D" w14:textId="77777777">
            <w:pPr>
              <w:pStyle w:val="ListParagraph"/>
              <w:numPr>
                <w:ilvl w:val="0"/>
                <w:numId w:val="9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The project supports energy affordability for all ratepayers, including those in lower income California communities.</w:t>
            </w:r>
          </w:p>
          <w:p w:rsidRPr="00045BDB" w:rsidR="002A6629" w:rsidP="002A6629" w:rsidRDefault="002A6629" w14:paraId="1163CFCC" w14:textId="77777777">
            <w:pPr>
              <w:pStyle w:val="ListParagraph"/>
              <w:numPr>
                <w:ilvl w:val="0"/>
                <w:numId w:val="9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The project demonstrates potential for technology scalability, replication, or commercialization in support of long-term climate and clean energy goals. </w:t>
            </w:r>
          </w:p>
          <w:p w:rsidRPr="00045BDB" w:rsidR="002A6629" w:rsidP="002A6629" w:rsidRDefault="002A6629" w14:paraId="3D2783C0" w14:textId="77777777">
            <w:pPr>
              <w:pStyle w:val="ListParagraph"/>
              <w:numPr>
                <w:ilvl w:val="0"/>
                <w:numId w:val="9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The project leverages collaboration with academic, public, or private sector partners to maximize statewide impact and knowledge sharing. </w:t>
            </w:r>
          </w:p>
          <w:p w:rsidRPr="00045BDB" w:rsidR="002A6629" w:rsidP="002A6629" w:rsidRDefault="002A6629" w14:paraId="2FF630E5" w14:textId="77777777">
            <w:pPr>
              <w:pStyle w:val="ListParagraph"/>
              <w:numPr>
                <w:ilvl w:val="0"/>
                <w:numId w:val="9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The project enables cross-sectoral innovation or integration, such as linking gas RD&amp;D with electrification, renewable fuels, or carbon management solutions.”</w:t>
            </w:r>
            <w:r w:rsidRPr="00045BDB">
              <w:rPr>
                <w:rStyle w:val="FootnoteReference"/>
                <w:rFonts w:ascii="Palatino Linotype" w:hAnsi="Palatino Linotype"/>
                <w:sz w:val="20"/>
                <w:szCs w:val="20"/>
              </w:rPr>
              <w:footnoteReference w:id="486"/>
            </w:r>
          </w:p>
          <w:p w:rsidRPr="00045BDB" w:rsidR="002A6629" w:rsidRDefault="002A6629" w14:paraId="12BE9A5C" w14:textId="77777777">
            <w:pPr>
              <w:spacing w:before="240"/>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In Appendix 6, SoCalGas describes its process for the scaling and commercialization of technologies via projects which range from research and development to deployment across technology readiness levels (TRLs). </w:t>
            </w:r>
            <w:r w:rsidRPr="00045BDB">
              <w:rPr>
                <w:rFonts w:ascii="Palatino Linotype" w:hAnsi="Palatino Linotype" w:eastAsia="Palatino Linotype" w:cs="Palatino Linotype"/>
                <w:sz w:val="20"/>
                <w:szCs w:val="20"/>
              </w:rPr>
              <w:t xml:space="preserve">Most projects it undertakes are more limited in that the RD&amp;D program involvement would end with deployment of a demonstration project, not commercial deployment.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states, “If technologies were ready for commercialization; R&amp;D would not be necessary.”</w:t>
            </w:r>
            <w:r w:rsidRPr="00045BDB">
              <w:rPr>
                <w:rStyle w:val="FootnoteReference"/>
                <w:rFonts w:ascii="Palatino Linotype" w:hAnsi="Palatino Linotype" w:eastAsia="Palatino Linotype" w:cs="Palatino Linotype"/>
                <w:sz w:val="20"/>
                <w:szCs w:val="20"/>
              </w:rPr>
              <w:footnoteReference w:id="487"/>
            </w:r>
          </w:p>
        </w:tc>
        <w:tc>
          <w:tcPr>
            <w:tcW w:w="3600" w:type="dxa"/>
          </w:tcPr>
          <w:p w:rsidRPr="00045BDB" w:rsidR="002A6629" w:rsidRDefault="002A6629" w14:paraId="353474BE" w14:textId="77777777">
            <w:pPr>
              <w:rPr>
                <w:rFonts w:ascii="Palatino Linotype" w:hAnsi="Palatino Linotype" w:eastAsia="Palatino Linotype" w:cs="Palatino Linotype"/>
                <w:b/>
                <w:bCs w:val="0"/>
                <w:color w:val="000000" w:themeColor="text1"/>
                <w:sz w:val="20"/>
                <w:szCs w:val="20"/>
              </w:rPr>
            </w:pPr>
            <w:r w:rsidRPr="00045BDB">
              <w:rPr>
                <w:rFonts w:ascii="Palatino Linotype" w:hAnsi="Palatino Linotype" w:eastAsia="Palatino Linotype" w:cs="Palatino Linotype"/>
                <w:color w:val="000000" w:themeColor="text1"/>
                <w:sz w:val="20"/>
                <w:szCs w:val="20"/>
              </w:rPr>
              <w:t>SoCalGas describes how results are used to address the state’s climate goals and how project results are scaled/commercialized</w:t>
            </w:r>
            <w:r w:rsidRPr="00045BDB">
              <w:rPr>
                <w:rFonts w:ascii="Palatino Linotype" w:hAnsi="Palatino Linotype" w:eastAsia="Palatino Linotype" w:cs="Palatino Linotype"/>
                <w:i/>
                <w:iCs/>
                <w:color w:val="000000" w:themeColor="text1"/>
                <w:sz w:val="20"/>
                <w:szCs w:val="20"/>
              </w:rPr>
              <w:t xml:space="preserve">. </w:t>
            </w:r>
            <w:r w:rsidRPr="00045BDB">
              <w:rPr>
                <w:rFonts w:ascii="Palatino Linotype" w:hAnsi="Palatino Linotype" w:eastAsia="Palatino Linotype" w:cs="Palatino Linotype"/>
                <w:b/>
                <w:color w:val="000000" w:themeColor="text1"/>
                <w:sz w:val="20"/>
                <w:szCs w:val="20"/>
              </w:rPr>
              <w:t>SoCalGas is compliant with this requirement.</w:t>
            </w:r>
          </w:p>
          <w:p w:rsidRPr="00045BDB" w:rsidR="002A6629" w:rsidRDefault="002A6629" w14:paraId="386F7524" w14:textId="77777777">
            <w:pPr>
              <w:spacing w:before="240"/>
              <w:rPr>
                <w:rFonts w:ascii="Palatino Linotype" w:hAnsi="Palatino Linotype" w:eastAsia="Palatino Linotype" w:cs="Palatino Linotype"/>
                <w:color w:val="4C94D8" w:themeColor="text2" w:themeTint="80"/>
                <w:sz w:val="20"/>
                <w:szCs w:val="20"/>
              </w:rPr>
            </w:pPr>
            <w:r w:rsidRPr="00045BDB">
              <w:rPr>
                <w:rFonts w:ascii="Palatino Linotype" w:hAnsi="Palatino Linotype" w:eastAsia="Palatino Linotype" w:cs="Palatino Linotype"/>
                <w:color w:val="000000" w:themeColor="text1"/>
                <w:sz w:val="20"/>
                <w:szCs w:val="20"/>
              </w:rPr>
              <w:t>However, SoCalGas shall provide further detail upon project implementation in project final reports and its Annual Reports to demonstrate how results are measured and utilized in alignment with State goals.</w:t>
            </w:r>
          </w:p>
        </w:tc>
      </w:tr>
      <w:tr w:rsidRPr="00045BDB" w:rsidR="002A6629" w14:paraId="5F1C731E" w14:textId="77777777">
        <w:trPr>
          <w:trHeight w:val="638"/>
          <w:tblHeader/>
        </w:trPr>
        <w:tc>
          <w:tcPr>
            <w:tcW w:w="3744" w:type="dxa"/>
          </w:tcPr>
          <w:p w:rsidRPr="00045BDB" w:rsidR="002A6629" w:rsidRDefault="002A6629" w14:paraId="07A985E9" w14:textId="77777777">
            <w:pPr>
              <w:rPr>
                <w:rFonts w:ascii="Palatino Linotype" w:hAnsi="Palatino Linotype"/>
                <w:i/>
                <w:iCs/>
                <w:sz w:val="20"/>
                <w:szCs w:val="20"/>
              </w:rPr>
            </w:pPr>
            <w:r w:rsidRPr="00045BDB">
              <w:rPr>
                <w:rFonts w:ascii="Palatino Linotype" w:hAnsi="Palatino Linotype"/>
                <w:b/>
                <w:sz w:val="20"/>
                <w:szCs w:val="20"/>
              </w:rPr>
              <w:lastRenderedPageBreak/>
              <w:t>[18]</w:t>
            </w:r>
            <w:r w:rsidRPr="00045BDB">
              <w:rPr>
                <w:rFonts w:ascii="Palatino Linotype" w:hAnsi="Palatino Linotype"/>
                <w:sz w:val="20"/>
                <w:szCs w:val="20"/>
              </w:rPr>
              <w:t xml:space="preserve"> </w:t>
            </w:r>
            <w:hyperlink r:id="rId152">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 xml:space="preserve">In its 2024 </w:t>
            </w:r>
            <w:proofErr w:type="gramStart"/>
            <w:r w:rsidRPr="00045BDB">
              <w:rPr>
                <w:rFonts w:ascii="Palatino Linotype" w:hAnsi="Palatino Linotype"/>
                <w:i/>
                <w:iCs/>
                <w:sz w:val="20"/>
                <w:szCs w:val="20"/>
              </w:rPr>
              <w:t>Gas [RD&amp;D]</w:t>
            </w:r>
            <w:proofErr w:type="gramEnd"/>
            <w:r w:rsidRPr="00045BDB">
              <w:rPr>
                <w:rFonts w:ascii="Palatino Linotype" w:hAnsi="Palatino Linotype"/>
                <w:i/>
                <w:iCs/>
                <w:sz w:val="20"/>
                <w:szCs w:val="20"/>
              </w:rPr>
              <w:t xml:space="preserve">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 Itemize and include more detail about how it incorporated proposals and feedback on research ideas proposed by stakeholders at its Annual Stakeholder workshop, including disadvantaged communities. SoCalGas should otherwise explain why it did not incorporate stakeholder input.</w:t>
            </w:r>
          </w:p>
          <w:p w:rsidRPr="00045BDB" w:rsidR="002A6629" w:rsidRDefault="002A6629" w14:paraId="0D830142" w14:textId="77777777">
            <w:pPr>
              <w:rPr>
                <w:rFonts w:ascii="Palatino Linotype" w:hAnsi="Palatino Linotype"/>
                <w:i/>
                <w:iCs/>
                <w:sz w:val="20"/>
                <w:szCs w:val="20"/>
              </w:rPr>
            </w:pPr>
          </w:p>
          <w:p w:rsidRPr="00045BDB" w:rsidR="002A6629" w:rsidRDefault="002A6629" w14:paraId="75D3EAA2" w14:textId="77777777">
            <w:pPr>
              <w:rPr>
                <w:rFonts w:ascii="Palatino Linotype" w:hAnsi="Palatino Linotype"/>
                <w:sz w:val="20"/>
                <w:szCs w:val="20"/>
              </w:rPr>
            </w:pPr>
            <w:r w:rsidRPr="00045BDB">
              <w:rPr>
                <w:rFonts w:ascii="Palatino Linotype" w:hAnsi="Palatino Linotype"/>
                <w:sz w:val="20"/>
                <w:szCs w:val="20"/>
              </w:rPr>
              <w:t>See also: [15] on integration of Energy Division feedback and [23]</w:t>
            </w:r>
            <w:r w:rsidRPr="00045BDB">
              <w:rPr>
                <w:rFonts w:ascii="Times New Roman" w:hAnsi="Times New Roman" w:cs="Times New Roman"/>
                <w:sz w:val="20"/>
                <w:szCs w:val="20"/>
              </w:rPr>
              <w:t> </w:t>
            </w:r>
            <w:r w:rsidRPr="00045BDB">
              <w:rPr>
                <w:rFonts w:ascii="Palatino Linotype" w:hAnsi="Palatino Linotype"/>
                <w:sz w:val="20"/>
                <w:szCs w:val="20"/>
              </w:rPr>
              <w:t>for gas RD&amp;D administrator coordination.</w:t>
            </w:r>
            <w:r w:rsidRPr="00045BDB">
              <w:rPr>
                <w:rFonts w:ascii="Times New Roman" w:hAnsi="Times New Roman" w:cs="Times New Roman"/>
                <w:sz w:val="20"/>
                <w:szCs w:val="20"/>
              </w:rPr>
              <w:t> </w:t>
            </w:r>
            <w:r w:rsidRPr="00045BDB">
              <w:rPr>
                <w:rFonts w:ascii="Palatino Linotype" w:hAnsi="Palatino Linotype" w:cs="Palatino Linotype"/>
                <w:sz w:val="20"/>
                <w:szCs w:val="20"/>
              </w:rPr>
              <w:t> </w:t>
            </w:r>
          </w:p>
        </w:tc>
        <w:tc>
          <w:tcPr>
            <w:tcW w:w="6912" w:type="dxa"/>
          </w:tcPr>
          <w:p w:rsidRPr="00045BDB" w:rsidR="002A6629" w:rsidRDefault="002A6629" w14:paraId="5DDD48C1" w14:textId="77777777">
            <w:r w:rsidRPr="00045BDB">
              <w:rPr>
                <w:rFonts w:ascii="Palatino Linotype" w:hAnsi="Palatino Linotype" w:eastAsia="Palatino Linotype" w:cs="Palatino Linotype"/>
                <w:sz w:val="20"/>
                <w:szCs w:val="20"/>
              </w:rPr>
              <w:t>SoCalGas provides:</w:t>
            </w:r>
          </w:p>
          <w:p w:rsidRPr="00045BDB" w:rsidR="002A6629" w:rsidP="002A6629" w:rsidRDefault="002A6629" w14:paraId="0D3CF05A" w14:textId="77777777">
            <w:pPr>
              <w:pStyle w:val="ListParagraph"/>
              <w:numPr>
                <w:ilvl w:val="0"/>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A highly detailed discussion of its stakeholder outreach initiatives and includes discussion of any research ideas promoted during these sessions, including its response to suggestions and recommendations.</w:t>
            </w:r>
            <w:r w:rsidRPr="00045BDB">
              <w:rPr>
                <w:rStyle w:val="FootnoteReference"/>
                <w:rFonts w:ascii="Palatino Linotype" w:hAnsi="Palatino Linotype"/>
                <w:sz w:val="20"/>
                <w:szCs w:val="20"/>
              </w:rPr>
              <w:footnoteReference w:id="488"/>
            </w:r>
          </w:p>
          <w:p w:rsidRPr="00045BDB" w:rsidR="002A6629" w:rsidP="002A6629" w:rsidRDefault="002A6629" w14:paraId="75DD772C" w14:textId="77777777">
            <w:pPr>
              <w:pStyle w:val="ListParagraph"/>
              <w:numPr>
                <w:ilvl w:val="0"/>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A description of its annual internal and external outreach efforts along with key takeaways and incorporation strategies for general feedback received from public workshop attendees, including the ESJ Advisory Panel, on its proposals.</w:t>
            </w:r>
            <w:r w:rsidRPr="00045BDB">
              <w:rPr>
                <w:rStyle w:val="FootnoteReference"/>
                <w:rFonts w:ascii="Palatino Linotype" w:hAnsi="Palatino Linotype" w:eastAsia="Palatino Linotype" w:cs="Palatino Linotype"/>
                <w:sz w:val="20"/>
                <w:szCs w:val="20"/>
              </w:rPr>
              <w:footnoteReference w:id="489"/>
            </w:r>
          </w:p>
          <w:p w:rsidRPr="00045BDB" w:rsidR="002A6629" w:rsidP="002A6629" w:rsidRDefault="002A6629" w14:paraId="4C31C1F4" w14:textId="77777777">
            <w:pPr>
              <w:pStyle w:val="ListParagraph"/>
              <w:numPr>
                <w:ilvl w:val="1"/>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SoCalGas indicated, for example, that “areas of affordability and decarbonization are incorporated throughout the 2026 and 2027 Research Plans.”</w:t>
            </w:r>
            <w:r w:rsidRPr="00045BDB">
              <w:rPr>
                <w:rStyle w:val="FootnoteReference"/>
                <w:rFonts w:ascii="Palatino Linotype" w:hAnsi="Palatino Linotype" w:eastAsia="Palatino Linotype" w:cs="Palatino Linotype"/>
                <w:sz w:val="20"/>
                <w:szCs w:val="20"/>
              </w:rPr>
              <w:footnoteReference w:id="490"/>
            </w:r>
          </w:p>
          <w:p w:rsidRPr="00045BDB" w:rsidR="002A6629" w:rsidP="002A6629" w:rsidRDefault="002A6629" w14:paraId="2BEA87EE" w14:textId="77777777">
            <w:pPr>
              <w:pStyle w:val="ListParagraph"/>
              <w:numPr>
                <w:ilvl w:val="0"/>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Section 4.1 Summary of Research Plan Development &amp; Compliance.</w:t>
            </w:r>
            <w:r w:rsidRPr="00045BDB">
              <w:rPr>
                <w:rStyle w:val="FootnoteReference"/>
                <w:rFonts w:ascii="Palatino Linotype" w:hAnsi="Palatino Linotype" w:eastAsia="Palatino Linotype" w:cs="Palatino Linotype"/>
                <w:sz w:val="20"/>
                <w:szCs w:val="20"/>
              </w:rPr>
              <w:footnoteReference w:id="491"/>
            </w:r>
          </w:p>
          <w:p w:rsidRPr="00045BDB" w:rsidR="002A6629" w:rsidP="002A6629" w:rsidRDefault="002A6629" w14:paraId="5F6D8A94" w14:textId="77777777">
            <w:pPr>
              <w:pStyle w:val="ListParagraph"/>
              <w:numPr>
                <w:ilvl w:val="0"/>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Appendix 2: Research Plan Feedback, Details and Project Selection Process.</w:t>
            </w:r>
            <w:r w:rsidRPr="00045BDB">
              <w:rPr>
                <w:rStyle w:val="FootnoteReference"/>
                <w:rFonts w:ascii="Palatino Linotype" w:hAnsi="Palatino Linotype" w:eastAsia="Palatino Linotype" w:cs="Palatino Linotype"/>
                <w:sz w:val="20"/>
                <w:szCs w:val="20"/>
              </w:rPr>
              <w:footnoteReference w:id="492"/>
            </w:r>
          </w:p>
          <w:p w:rsidRPr="00045BDB" w:rsidR="002A6629" w:rsidP="002A6629" w:rsidRDefault="002A6629" w14:paraId="086A36CC" w14:textId="77777777">
            <w:pPr>
              <w:pStyle w:val="ListParagraph"/>
              <w:numPr>
                <w:ilvl w:val="0"/>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Appendix 3: Summary of February 27, 2026, Workshop Feedback,</w:t>
            </w:r>
            <w:r w:rsidRPr="00045BDB">
              <w:rPr>
                <w:rStyle w:val="FootnoteReference"/>
                <w:rFonts w:ascii="Palatino Linotype" w:hAnsi="Palatino Linotype" w:eastAsia="Palatino Linotype" w:cs="Palatino Linotype"/>
                <w:sz w:val="20"/>
                <w:szCs w:val="20"/>
              </w:rPr>
              <w:footnoteReference w:id="493"/>
            </w:r>
            <w:r w:rsidRPr="00045BDB">
              <w:rPr>
                <w:rFonts w:ascii="Palatino Linotype" w:hAnsi="Palatino Linotype" w:eastAsia="Palatino Linotype" w:cs="Palatino Linotype"/>
                <w:sz w:val="20"/>
                <w:szCs w:val="20"/>
              </w:rPr>
              <w:t xml:space="preserve"> and the list of questions received during and following the workshop, along with responses and/or incorporation strategies.</w:t>
            </w:r>
            <w:r w:rsidRPr="00045BDB">
              <w:rPr>
                <w:rStyle w:val="FootnoteReference"/>
                <w:rFonts w:ascii="Palatino Linotype" w:hAnsi="Palatino Linotype" w:eastAsia="Palatino Linotype" w:cs="Palatino Linotype"/>
                <w:sz w:val="20"/>
                <w:szCs w:val="20"/>
              </w:rPr>
              <w:footnoteReference w:id="494"/>
            </w:r>
            <w:r w:rsidRPr="00045BDB">
              <w:rPr>
                <w:rStyle w:val="FootnoteReference"/>
                <w:rFonts w:ascii="Palatino Linotype" w:hAnsi="Palatino Linotype" w:eastAsia="Palatino Linotype" w:cs="Palatino Linotype"/>
                <w:sz w:val="20"/>
                <w:szCs w:val="20"/>
              </w:rPr>
              <w:t xml:space="preserve"> </w:t>
            </w:r>
          </w:p>
          <w:p w:rsidRPr="00045BDB" w:rsidR="002A6629" w:rsidP="002A6629" w:rsidRDefault="002A6629" w14:paraId="6DC4DA37" w14:textId="77777777">
            <w:pPr>
              <w:pStyle w:val="ListParagraph"/>
              <w:numPr>
                <w:ilvl w:val="0"/>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Appendix 5: Summary of Stakeholder Input from Annual Outreach Campaign.</w:t>
            </w:r>
            <w:r w:rsidRPr="00045BDB">
              <w:rPr>
                <w:rStyle w:val="FootnoteReference"/>
                <w:rFonts w:ascii="Palatino Linotype" w:hAnsi="Palatino Linotype" w:eastAsia="Palatino Linotype" w:cs="Palatino Linotype"/>
                <w:sz w:val="20"/>
                <w:szCs w:val="20"/>
              </w:rPr>
              <w:footnoteReference w:id="495"/>
            </w:r>
          </w:p>
          <w:p w:rsidRPr="00045BDB" w:rsidR="002A6629" w:rsidP="002A6629" w:rsidRDefault="002A6629" w14:paraId="33F47355" w14:textId="77777777">
            <w:pPr>
              <w:pStyle w:val="ListParagraph"/>
              <w:numPr>
                <w:ilvl w:val="0"/>
                <w:numId w:val="87"/>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Appendix 6: Company and SoCalGas RD&amp;D Overview, with a Description of Academic Engagement.</w:t>
            </w:r>
            <w:r w:rsidRPr="00045BDB">
              <w:rPr>
                <w:rStyle w:val="FootnoteReference"/>
                <w:rFonts w:ascii="Palatino Linotype" w:hAnsi="Palatino Linotype" w:eastAsia="Palatino Linotype" w:cs="Palatino Linotype"/>
                <w:sz w:val="20"/>
                <w:szCs w:val="20"/>
              </w:rPr>
              <w:footnoteReference w:id="496"/>
            </w:r>
          </w:p>
          <w:p w:rsidRPr="00045BDB" w:rsidR="002A6629" w:rsidRDefault="002A6629" w14:paraId="43F94764" w14:textId="77777777">
            <w:pPr>
              <w:spacing w:before="240"/>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details the following Initiative-level feedback and responses:</w:t>
            </w:r>
            <w:r w:rsidRPr="00045BDB">
              <w:rPr>
                <w:rFonts w:ascii="Times New Roman" w:hAnsi="Times New Roman" w:eastAsia="Palatino Linotype" w:cs="Times New Roman"/>
                <w:color w:val="000000" w:themeColor="text1"/>
                <w:sz w:val="20"/>
                <w:szCs w:val="20"/>
              </w:rPr>
              <w:t> </w:t>
            </w:r>
          </w:p>
          <w:p w:rsidRPr="00045BDB" w:rsidR="002A6629" w:rsidP="002A6629" w:rsidRDefault="002A6629" w14:paraId="4D34940E" w14:textId="77777777">
            <w:pPr>
              <w:pStyle w:val="ListParagraph"/>
              <w:numPr>
                <w:ilvl w:val="0"/>
                <w:numId w:val="98"/>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“The identified priority to advance leak detection and prevention is incorporated in the </w:t>
            </w:r>
            <w:r w:rsidRPr="00045BDB">
              <w:rPr>
                <w:rFonts w:ascii="Palatino Linotype" w:hAnsi="Palatino Linotype" w:eastAsia="Palatino Linotype" w:cs="Palatino Linotype"/>
                <w:sz w:val="20"/>
                <w:szCs w:val="20"/>
                <w:u w:val="single"/>
              </w:rPr>
              <w:t>Environmental &amp; Safety</w:t>
            </w:r>
            <w:r w:rsidRPr="00045BDB">
              <w:rPr>
                <w:rFonts w:ascii="Palatino Linotype" w:hAnsi="Palatino Linotype" w:eastAsia="Palatino Linotype" w:cs="Palatino Linotype"/>
                <w:sz w:val="20"/>
                <w:szCs w:val="20"/>
              </w:rPr>
              <w:t xml:space="preserve"> Initiative. </w:t>
            </w:r>
          </w:p>
          <w:p w:rsidRPr="00045BDB" w:rsidR="002A6629" w:rsidP="002A6629" w:rsidRDefault="002A6629" w14:paraId="7520B6EC" w14:textId="77777777">
            <w:pPr>
              <w:pStyle w:val="ListParagraph"/>
              <w:numPr>
                <w:ilvl w:val="0"/>
                <w:numId w:val="98"/>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The </w:t>
            </w:r>
            <w:r w:rsidRPr="00045BDB">
              <w:rPr>
                <w:rFonts w:ascii="Palatino Linotype" w:hAnsi="Palatino Linotype" w:eastAsia="Palatino Linotype" w:cs="Palatino Linotype"/>
                <w:sz w:val="20"/>
                <w:szCs w:val="20"/>
                <w:u w:val="single"/>
              </w:rPr>
              <w:t>Low-Carbon Fuels Technology</w:t>
            </w:r>
            <w:r w:rsidRPr="00045BDB">
              <w:rPr>
                <w:rFonts w:ascii="Palatino Linotype" w:hAnsi="Palatino Linotype" w:eastAsia="Palatino Linotype" w:cs="Palatino Linotype"/>
                <w:sz w:val="20"/>
                <w:szCs w:val="20"/>
              </w:rPr>
              <w:t xml:space="preserve"> Initiative proposes research areas where alternative decarbonization pathways may be developed, addressing the feedback to not rely on just RNG. </w:t>
            </w:r>
          </w:p>
          <w:p w:rsidRPr="00045BDB" w:rsidR="002A6629" w:rsidP="002A6629" w:rsidRDefault="002A6629" w14:paraId="031673C6" w14:textId="77777777">
            <w:pPr>
              <w:pStyle w:val="ListParagraph"/>
              <w:numPr>
                <w:ilvl w:val="0"/>
                <w:numId w:val="98"/>
              </w:numPr>
              <w:rPr>
                <w:rFonts w:ascii="Palatino Linotype" w:hAnsi="Palatino Linotype" w:eastAsia="Palatino Linotype" w:cs="Palatino Linotype"/>
                <w:sz w:val="20"/>
                <w:szCs w:val="20"/>
              </w:rPr>
            </w:pPr>
            <w:r w:rsidRPr="00045BDB">
              <w:rPr>
                <w:rFonts w:ascii="Palatino Linotype" w:hAnsi="Palatino Linotype" w:eastAsia="Palatino Linotype" w:cs="Palatino Linotype"/>
                <w:sz w:val="20"/>
                <w:szCs w:val="20"/>
              </w:rPr>
              <w:t xml:space="preserve">The </w:t>
            </w:r>
            <w:r w:rsidRPr="00045BDB">
              <w:rPr>
                <w:rFonts w:ascii="Palatino Linotype" w:hAnsi="Palatino Linotype" w:eastAsia="Palatino Linotype" w:cs="Palatino Linotype"/>
                <w:sz w:val="20"/>
                <w:szCs w:val="20"/>
                <w:u w:val="single"/>
              </w:rPr>
              <w:t>System Design &amp; Materials</w:t>
            </w:r>
            <w:r w:rsidRPr="00045BDB">
              <w:rPr>
                <w:rFonts w:ascii="Palatino Linotype" w:hAnsi="Palatino Linotype" w:eastAsia="Palatino Linotype" w:cs="Palatino Linotype"/>
                <w:sz w:val="20"/>
                <w:szCs w:val="20"/>
              </w:rPr>
              <w:t xml:space="preserve"> Initiative plans to focus on identifying new repair methods.”</w:t>
            </w:r>
            <w:r w:rsidRPr="00045BDB">
              <w:rPr>
                <w:rStyle w:val="FootnoteReference"/>
                <w:rFonts w:ascii="Palatino Linotype" w:hAnsi="Palatino Linotype" w:eastAsia="Palatino Linotype" w:cs="Palatino Linotype"/>
                <w:sz w:val="20"/>
                <w:szCs w:val="20"/>
              </w:rPr>
              <w:footnoteReference w:id="497"/>
            </w:r>
          </w:p>
          <w:p w:rsidRPr="00045BDB" w:rsidR="002A6629" w:rsidRDefault="002A6629" w14:paraId="0F64261C" w14:textId="77777777">
            <w:pPr>
              <w:spacing w:before="240"/>
              <w:rPr>
                <w:rFonts w:ascii="Palatino Linotype" w:hAnsi="Palatino Linotype" w:eastAsia="Palatino Linotype" w:cs="Palatino Linotype"/>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deferred consideration of input was about incorporating “research results for the future workforce,” which </w:t>
            </w:r>
            <w:r w:rsidRPr="00045BDB">
              <w:rPr>
                <w:rFonts w:ascii="Palatino Linotype" w:hAnsi="Palatino Linotype" w:eastAsia="Palatino Linotype" w:cs="Palatino Linotype"/>
                <w:color w:val="000000" w:themeColor="text1"/>
                <w:sz w:val="20"/>
                <w:szCs w:val="20"/>
              </w:rPr>
              <w:t>SoCalGas</w:t>
            </w:r>
            <w:r w:rsidRPr="00045BDB">
              <w:rPr>
                <w:rFonts w:ascii="Palatino Linotype" w:hAnsi="Palatino Linotype" w:eastAsia="Palatino Linotype" w:cs="Palatino Linotype"/>
                <w:sz w:val="20"/>
                <w:szCs w:val="20"/>
              </w:rPr>
              <w:t xml:space="preserve"> </w:t>
            </w:r>
            <w:proofErr w:type="gramStart"/>
            <w:r w:rsidRPr="00045BDB">
              <w:rPr>
                <w:rFonts w:ascii="Palatino Linotype" w:hAnsi="Palatino Linotype" w:eastAsia="Palatino Linotype" w:cs="Palatino Linotype"/>
                <w:sz w:val="20"/>
                <w:szCs w:val="20"/>
              </w:rPr>
              <w:t>stated</w:t>
            </w:r>
            <w:proofErr w:type="gramEnd"/>
            <w:r w:rsidRPr="00045BDB">
              <w:rPr>
                <w:rFonts w:ascii="Palatino Linotype" w:hAnsi="Palatino Linotype" w:eastAsia="Palatino Linotype" w:cs="Palatino Linotype"/>
                <w:sz w:val="20"/>
                <w:szCs w:val="20"/>
              </w:rPr>
              <w:t xml:space="preserve"> “will be reviewed as research project are executed under the plans.”</w:t>
            </w:r>
            <w:r w:rsidRPr="00045BDB">
              <w:rPr>
                <w:rStyle w:val="FootnoteReference"/>
                <w:rFonts w:ascii="Palatino Linotype" w:hAnsi="Palatino Linotype" w:eastAsia="Palatino Linotype" w:cs="Palatino Linotype"/>
                <w:sz w:val="20"/>
                <w:szCs w:val="20"/>
              </w:rPr>
              <w:footnoteReference w:id="498"/>
            </w:r>
          </w:p>
        </w:tc>
        <w:tc>
          <w:tcPr>
            <w:tcW w:w="3600" w:type="dxa"/>
          </w:tcPr>
          <w:p w:rsidRPr="00045BDB" w:rsidR="002A6629" w:rsidRDefault="002A6629" w14:paraId="1016B5FA"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w:t>
            </w:r>
            <w:r w:rsidRPr="00045BDB">
              <w:rPr>
                <w:rFonts w:ascii="Times New Roman" w:hAnsi="Times New Roman" w:eastAsia="Palatino Linotype" w:cs="Times New Roman"/>
                <w:color w:val="000000" w:themeColor="text1"/>
                <w:sz w:val="20"/>
                <w:szCs w:val="20"/>
              </w:rPr>
              <w:t> </w:t>
            </w:r>
            <w:r w:rsidRPr="00045BDB">
              <w:rPr>
                <w:rFonts w:ascii="Palatino Linotype" w:hAnsi="Palatino Linotype" w:eastAsia="Palatino Linotype" w:cs="Palatino Linotype"/>
                <w:color w:val="000000" w:themeColor="text1"/>
                <w:sz w:val="20"/>
                <w:szCs w:val="20"/>
              </w:rPr>
              <w:t>describes</w:t>
            </w:r>
            <w:r w:rsidRPr="00045BDB">
              <w:rPr>
                <w:rFonts w:ascii="Times New Roman" w:hAnsi="Times New Roman" w:eastAsia="Palatino Linotype" w:cs="Times New Roman"/>
                <w:color w:val="000000" w:themeColor="text1"/>
                <w:sz w:val="20"/>
                <w:szCs w:val="20"/>
              </w:rPr>
              <w:t> </w:t>
            </w:r>
            <w:r w:rsidRPr="00045BDB">
              <w:rPr>
                <w:rFonts w:ascii="Palatino Linotype" w:hAnsi="Palatino Linotype" w:eastAsia="Palatino Linotype" w:cs="Palatino Linotype"/>
                <w:color w:val="000000" w:themeColor="text1"/>
                <w:sz w:val="20"/>
                <w:szCs w:val="20"/>
              </w:rPr>
              <w:t>feedback from stakeholders</w:t>
            </w:r>
            <w:r w:rsidRPr="00045BDB">
              <w:rPr>
                <w:rFonts w:ascii="Times New Roman" w:hAnsi="Times New Roman" w:eastAsia="Palatino Linotype" w:cs="Times New Roman"/>
                <w:color w:val="000000" w:themeColor="text1"/>
                <w:sz w:val="20"/>
                <w:szCs w:val="20"/>
              </w:rPr>
              <w:t> </w:t>
            </w:r>
            <w:r w:rsidRPr="00045BDB">
              <w:rPr>
                <w:rFonts w:ascii="Palatino Linotype" w:hAnsi="Palatino Linotype" w:eastAsia="Palatino Linotype" w:cs="Palatino Linotype"/>
                <w:color w:val="000000" w:themeColor="text1"/>
                <w:sz w:val="20"/>
                <w:szCs w:val="20"/>
              </w:rPr>
              <w:t>and</w:t>
            </w:r>
            <w:r w:rsidRPr="00045BDB">
              <w:rPr>
                <w:rFonts w:ascii="Times New Roman" w:hAnsi="Times New Roman" w:eastAsia="Palatino Linotype" w:cs="Times New Roman"/>
                <w:color w:val="000000" w:themeColor="text1"/>
                <w:sz w:val="20"/>
                <w:szCs w:val="20"/>
              </w:rPr>
              <w:t> </w:t>
            </w:r>
            <w:proofErr w:type="gramStart"/>
            <w:r w:rsidRPr="00045BDB">
              <w:rPr>
                <w:rFonts w:ascii="Palatino Linotype" w:hAnsi="Palatino Linotype" w:eastAsia="Palatino Linotype" w:cs="Palatino Linotype"/>
                <w:color w:val="000000" w:themeColor="text1"/>
                <w:sz w:val="20"/>
                <w:szCs w:val="20"/>
              </w:rPr>
              <w:t>a number of</w:t>
            </w:r>
            <w:proofErr w:type="gramEnd"/>
            <w:r w:rsidRPr="00045BDB">
              <w:rPr>
                <w:rFonts w:ascii="Times New Roman" w:hAnsi="Times New Roman" w:eastAsia="Palatino Linotype" w:cs="Times New Roman"/>
                <w:color w:val="000000" w:themeColor="text1"/>
                <w:sz w:val="20"/>
                <w:szCs w:val="20"/>
              </w:rPr>
              <w:t> </w:t>
            </w:r>
            <w:r w:rsidRPr="00045BDB">
              <w:rPr>
                <w:rFonts w:ascii="Palatino Linotype" w:hAnsi="Palatino Linotype" w:eastAsia="Palatino Linotype" w:cs="Palatino Linotype"/>
                <w:color w:val="000000" w:themeColor="text1"/>
                <w:sz w:val="20"/>
                <w:szCs w:val="20"/>
              </w:rPr>
              <w:t xml:space="preserve">incorporation strategies. </w:t>
            </w:r>
            <w:r w:rsidRPr="00045BDB">
              <w:rPr>
                <w:rFonts w:ascii="Palatino Linotype" w:hAnsi="Palatino Linotype" w:eastAsia="Palatino Linotype" w:cs="Palatino Linotype"/>
                <w:b/>
                <w:color w:val="000000" w:themeColor="text1"/>
                <w:sz w:val="20"/>
                <w:szCs w:val="20"/>
              </w:rPr>
              <w:t>SoCalGas is</w:t>
            </w:r>
            <w:r w:rsidRPr="00045BDB">
              <w:rPr>
                <w:rFonts w:ascii="Times New Roman" w:hAnsi="Times New Roman" w:eastAsia="Palatino Linotype" w:cs="Times New Roman"/>
                <w:b/>
                <w:color w:val="000000" w:themeColor="text1"/>
                <w:sz w:val="20"/>
                <w:szCs w:val="20"/>
              </w:rPr>
              <w:t> </w:t>
            </w:r>
            <w:r w:rsidRPr="00045BDB">
              <w:rPr>
                <w:rFonts w:ascii="Palatino Linotype" w:hAnsi="Palatino Linotype" w:eastAsia="Palatino Linotype" w:cs="Palatino Linotype"/>
                <w:b/>
                <w:color w:val="000000" w:themeColor="text1"/>
                <w:sz w:val="20"/>
                <w:szCs w:val="20"/>
              </w:rPr>
              <w:t>compliant with this requirement.</w:t>
            </w:r>
            <w:r w:rsidRPr="00045BDB">
              <w:rPr>
                <w:rFonts w:ascii="Times New Roman" w:hAnsi="Times New Roman" w:eastAsia="Palatino Linotype" w:cs="Times New Roman"/>
                <w:color w:val="000000" w:themeColor="text1"/>
                <w:sz w:val="20"/>
                <w:szCs w:val="20"/>
              </w:rPr>
              <w:t> </w:t>
            </w:r>
            <w:r w:rsidRPr="00045BDB">
              <w:rPr>
                <w:rFonts w:ascii="Palatino Linotype" w:hAnsi="Palatino Linotype" w:eastAsia="Palatino Linotype" w:cs="Palatino Linotype"/>
                <w:color w:val="000000" w:themeColor="text1"/>
                <w:sz w:val="20"/>
                <w:szCs w:val="20"/>
              </w:rPr>
              <w:t> </w:t>
            </w:r>
          </w:p>
          <w:p w:rsidRPr="00045BDB" w:rsidR="002A6629" w:rsidRDefault="002A6629" w14:paraId="524FEBF8" w14:textId="77777777">
            <w:pPr>
              <w:spacing w:before="240"/>
              <w:rPr>
                <w:rFonts w:ascii="Palatino Linotype" w:hAnsi="Palatino Linotype" w:eastAsia="Palatino Linotype" w:cs="Palatino Linotype"/>
                <w:color w:val="4C94D8" w:themeColor="text2" w:themeTint="80"/>
                <w:sz w:val="20"/>
                <w:szCs w:val="20"/>
              </w:rPr>
            </w:pPr>
            <w:r w:rsidRPr="00045BDB">
              <w:rPr>
                <w:rFonts w:ascii="Palatino Linotype" w:hAnsi="Palatino Linotype" w:eastAsia="Palatino Linotype" w:cs="Palatino Linotype"/>
                <w:color w:val="000000" w:themeColor="text1"/>
                <w:sz w:val="20"/>
                <w:szCs w:val="20"/>
              </w:rPr>
              <w:t xml:space="preserve">However, in its revised 2027 Plan and all </w:t>
            </w:r>
            <w:proofErr w:type="gramStart"/>
            <w:r w:rsidRPr="00045BDB">
              <w:rPr>
                <w:rFonts w:ascii="Palatino Linotype" w:hAnsi="Palatino Linotype" w:eastAsia="Palatino Linotype" w:cs="Palatino Linotype"/>
                <w:color w:val="000000" w:themeColor="text1"/>
                <w:sz w:val="20"/>
                <w:szCs w:val="20"/>
              </w:rPr>
              <w:t>future Plans</w:t>
            </w:r>
            <w:proofErr w:type="gramEnd"/>
            <w:r w:rsidRPr="00045BDB">
              <w:rPr>
                <w:rFonts w:ascii="Palatino Linotype" w:hAnsi="Palatino Linotype" w:eastAsia="Palatino Linotype" w:cs="Palatino Linotype"/>
                <w:color w:val="000000" w:themeColor="text1"/>
                <w:sz w:val="20"/>
                <w:szCs w:val="20"/>
              </w:rPr>
              <w:t>, for transparency, SoCalGas should embed both stakeholder feedback and associated incorporation strategies in the description of each proposed Initiative, or otherwise state that Initiative-level feedback was not received. </w:t>
            </w:r>
          </w:p>
        </w:tc>
      </w:tr>
      <w:tr w:rsidRPr="00045BDB" w:rsidR="002A6629" w14:paraId="25445CA9" w14:textId="77777777">
        <w:trPr>
          <w:trHeight w:val="638"/>
          <w:tblHeader/>
        </w:trPr>
        <w:tc>
          <w:tcPr>
            <w:tcW w:w="3744" w:type="dxa"/>
          </w:tcPr>
          <w:p w:rsidRPr="00045BDB" w:rsidR="002A6629" w:rsidRDefault="002A6629" w14:paraId="6179208F" w14:textId="77777777">
            <w:pPr>
              <w:rPr>
                <w:rFonts w:ascii="Palatino Linotype" w:hAnsi="Palatino Linotype"/>
                <w:sz w:val="20"/>
                <w:szCs w:val="20"/>
              </w:rPr>
            </w:pPr>
            <w:r w:rsidRPr="00045BDB">
              <w:rPr>
                <w:rFonts w:ascii="Palatino Linotype" w:hAnsi="Palatino Linotype"/>
                <w:b/>
                <w:sz w:val="20"/>
                <w:szCs w:val="20"/>
              </w:rPr>
              <w:lastRenderedPageBreak/>
              <w:t xml:space="preserve">[19] </w:t>
            </w:r>
            <w:hyperlink r:id="rId153">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w:t>
            </w:r>
            <w:r w:rsidRPr="00045BDB">
              <w:rPr>
                <w:rFonts w:ascii="Palatino Linotype" w:hAnsi="Palatino Linotype"/>
              </w:rPr>
              <w:t xml:space="preserve"> </w:t>
            </w:r>
            <w:r w:rsidRPr="00045BDB">
              <w:rPr>
                <w:rFonts w:ascii="Palatino Linotype" w:hAnsi="Palatino Linotype"/>
                <w:i/>
                <w:iCs/>
                <w:sz w:val="20"/>
                <w:szCs w:val="20"/>
              </w:rPr>
              <w:t>Modify the term “benefits analysis framework” to “uniform impact analysis framework” to better explain the Commission’s intent. SoCalGas shall implement the uniform impacts analysis framework approved in Appendix A of Decision (D.) 23-04-042, as relevant for Gas RD&amp;D, to allow for tracking and evaluating the quantitative impacts of all Gas RD&amp;D projects.</w:t>
            </w:r>
            <w:r w:rsidRPr="00045BDB">
              <w:rPr>
                <w:rStyle w:val="FootnoteReference"/>
                <w:rFonts w:ascii="Palatino Linotype" w:hAnsi="Palatino Linotype"/>
                <w:i/>
                <w:iCs/>
                <w:sz w:val="20"/>
                <w:szCs w:val="20"/>
              </w:rPr>
              <w:footnoteReference w:id="499"/>
            </w:r>
          </w:p>
        </w:tc>
        <w:tc>
          <w:tcPr>
            <w:tcW w:w="6912" w:type="dxa"/>
          </w:tcPr>
          <w:p w:rsidRPr="00045BDB" w:rsidR="002A6629" w:rsidRDefault="002A6629" w14:paraId="7EE305E8"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 xml:space="preserve">SoCalGas states that it adopted and </w:t>
            </w:r>
            <w:proofErr w:type="gramStart"/>
            <w:r w:rsidRPr="00045BDB">
              <w:rPr>
                <w:rFonts w:ascii="Palatino Linotype" w:hAnsi="Palatino Linotype" w:eastAsia="Palatino Linotype" w:cs="Palatino Linotype"/>
                <w:color w:val="000000" w:themeColor="text1"/>
                <w:sz w:val="20"/>
                <w:szCs w:val="20"/>
              </w:rPr>
              <w:t>incorporated  in</w:t>
            </w:r>
            <w:proofErr w:type="gramEnd"/>
            <w:r w:rsidRPr="00045BDB">
              <w:rPr>
                <w:rFonts w:ascii="Palatino Linotype" w:hAnsi="Palatino Linotype" w:eastAsia="Palatino Linotype" w:cs="Palatino Linotype"/>
                <w:color w:val="000000" w:themeColor="text1"/>
                <w:sz w:val="20"/>
                <w:szCs w:val="20"/>
              </w:rPr>
              <w:t xml:space="preserve"> its RD&amp;D plans the EPIC Uniform Impacts Analysis Framework (UIAF) and provides a Comparison of EPIC Metric Categories and Areas of Measurement (“EPIC Metrics”) and Analogous Metrics/Data for the SoCalGas Natural Gas System in Appendix 9. SoCalGas states that it “tracks and reports program and project-level metrics to demonstrate benefits to ratepayers and communities, including safety, reliability, affordability, emissions reductions, and support for ESJ communities reported in the RD&amp;D Annual Report. In alignment with CPUC direction and the UIAF, these metrics provide a transparent and consistent approach for measuring and reporting community benefits across safety, air quality, GHG reductions, and equity-focused outcomes.”</w:t>
            </w:r>
            <w:r w:rsidRPr="00045BDB">
              <w:rPr>
                <w:rStyle w:val="FootnoteReference"/>
                <w:rFonts w:ascii="Palatino Linotype" w:hAnsi="Palatino Linotype" w:eastAsia="Palatino Linotype" w:cs="Palatino Linotype"/>
                <w:color w:val="000000" w:themeColor="text1"/>
                <w:sz w:val="20"/>
                <w:szCs w:val="20"/>
              </w:rPr>
              <w:footnoteReference w:id="500"/>
            </w:r>
          </w:p>
          <w:p w:rsidRPr="00045BDB" w:rsidR="002A6629" w:rsidRDefault="002A6629" w14:paraId="66668E10" w14:textId="77777777">
            <w:pPr>
              <w:spacing w:before="240"/>
              <w:rPr>
                <w:color w:val="000000" w:themeColor="text1"/>
              </w:rPr>
            </w:pPr>
            <w:r w:rsidRPr="00045BDB">
              <w:rPr>
                <w:rFonts w:ascii="Palatino Linotype" w:hAnsi="Palatino Linotype" w:eastAsia="Palatino Linotype" w:cs="Palatino Linotype"/>
                <w:color w:val="000000" w:themeColor="text1"/>
                <w:sz w:val="20"/>
                <w:szCs w:val="20"/>
              </w:rPr>
              <w:t>SoCalGas lists anticipated ratepayer benefits for each Initiative, including affordability, improved air quality, reduced GHG emissions, reliability, improved safety and operational efficiency. SoCalGas lists anticipated ratepayer benefits for each Initiative:</w:t>
            </w:r>
          </w:p>
          <w:p w:rsidRPr="00045BDB" w:rsidR="002A6629" w:rsidP="002A6629" w:rsidRDefault="002A6629" w14:paraId="0764F487" w14:textId="77777777">
            <w:pPr>
              <w:pStyle w:val="ListParagraph"/>
              <w:numPr>
                <w:ilvl w:val="0"/>
                <w:numId w:val="89"/>
              </w:numPr>
              <w:rPr>
                <w:rFonts w:ascii="Palatino Linotype" w:hAnsi="Palatino Linotype" w:eastAsia="Palatino Linotype" w:cs="Palatino Linotype"/>
                <w:color w:val="000000" w:themeColor="text1"/>
                <w:sz w:val="20"/>
                <w:szCs w:val="20"/>
                <w:u w:val="single"/>
              </w:rPr>
            </w:pPr>
            <w:r w:rsidRPr="00045BDB">
              <w:rPr>
                <w:rFonts w:ascii="Palatino Linotype" w:hAnsi="Palatino Linotype" w:eastAsia="Palatino Linotype" w:cs="Palatino Linotype"/>
                <w:color w:val="000000" w:themeColor="text1"/>
                <w:sz w:val="20"/>
                <w:szCs w:val="20"/>
                <w:u w:val="single"/>
              </w:rPr>
              <w:t>Environment &amp; Safety</w:t>
            </w:r>
            <w:r w:rsidRPr="00045BDB">
              <w:rPr>
                <w:rFonts w:ascii="Palatino Linotype" w:hAnsi="Palatino Linotype" w:eastAsia="Palatino Linotype" w:cs="Palatino Linotype"/>
                <w:color w:val="000000" w:themeColor="text1"/>
                <w:sz w:val="20"/>
                <w:szCs w:val="20"/>
              </w:rPr>
              <w:t>: Reduced GHG emissions, measured in metric tons of CO2e.</w:t>
            </w:r>
            <w:r w:rsidRPr="00045BDB">
              <w:rPr>
                <w:rStyle w:val="FootnoteReference"/>
                <w:rFonts w:ascii="Palatino Linotype" w:hAnsi="Palatino Linotype" w:eastAsia="Palatino Linotype" w:cs="Palatino Linotype"/>
                <w:color w:val="000000" w:themeColor="text1"/>
                <w:sz w:val="20"/>
                <w:szCs w:val="20"/>
              </w:rPr>
              <w:footnoteReference w:id="501"/>
            </w:r>
          </w:p>
          <w:p w:rsidRPr="00045BDB" w:rsidR="002A6629" w:rsidP="002A6629" w:rsidRDefault="002A6629" w14:paraId="4705840F" w14:textId="77777777">
            <w:pPr>
              <w:pStyle w:val="ListParagraph"/>
              <w:numPr>
                <w:ilvl w:val="0"/>
                <w:numId w:val="89"/>
              </w:numPr>
              <w:spacing w:before="240" w:after="240"/>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u w:val="single"/>
              </w:rPr>
              <w:t>System Inspection &amp; Monitoring</w:t>
            </w:r>
            <w:r w:rsidRPr="00045BDB">
              <w:rPr>
                <w:rFonts w:ascii="Palatino Linotype" w:hAnsi="Palatino Linotype" w:eastAsia="Palatino Linotype" w:cs="Palatino Linotype"/>
                <w:color w:val="000000" w:themeColor="text1"/>
                <w:sz w:val="20"/>
                <w:szCs w:val="20"/>
              </w:rPr>
              <w:t>: Reduced inspection, maintenance and repair costs.</w:t>
            </w:r>
            <w:r w:rsidRPr="00045BDB">
              <w:rPr>
                <w:rStyle w:val="FootnoteReference"/>
                <w:rFonts w:ascii="Palatino Linotype" w:hAnsi="Palatino Linotype" w:eastAsia="Palatino Linotype" w:cs="Palatino Linotype"/>
                <w:color w:val="000000" w:themeColor="text1"/>
                <w:sz w:val="20"/>
                <w:szCs w:val="20"/>
              </w:rPr>
              <w:footnoteReference w:id="502"/>
            </w:r>
          </w:p>
          <w:p w:rsidRPr="00045BDB" w:rsidR="002A6629" w:rsidP="002A6629" w:rsidRDefault="002A6629" w14:paraId="39A802F3" w14:textId="77777777">
            <w:pPr>
              <w:pStyle w:val="ListParagraph"/>
              <w:numPr>
                <w:ilvl w:val="0"/>
                <w:numId w:val="89"/>
              </w:numPr>
              <w:spacing w:before="240" w:after="240"/>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u w:val="single"/>
              </w:rPr>
              <w:t>Community Impact &amp; Energy Conservation</w:t>
            </w:r>
            <w:r w:rsidRPr="00045BDB">
              <w:rPr>
                <w:rFonts w:ascii="Palatino Linotype" w:hAnsi="Palatino Linotype" w:eastAsia="Palatino Linotype" w:cs="Palatino Linotype"/>
                <w:color w:val="000000" w:themeColor="text1"/>
                <w:sz w:val="20"/>
                <w:szCs w:val="20"/>
              </w:rPr>
              <w:t>: Reduced energy usage and repair and maintenance costs.</w:t>
            </w:r>
            <w:r w:rsidRPr="00045BDB">
              <w:rPr>
                <w:rStyle w:val="FootnoteReference"/>
                <w:rFonts w:ascii="Palatino Linotype" w:hAnsi="Palatino Linotype" w:eastAsia="Palatino Linotype" w:cs="Palatino Linotype"/>
                <w:color w:val="000000" w:themeColor="text1"/>
                <w:sz w:val="20"/>
                <w:szCs w:val="20"/>
              </w:rPr>
              <w:footnoteReference w:id="503"/>
            </w:r>
          </w:p>
          <w:p w:rsidRPr="00045BDB" w:rsidR="002A6629" w:rsidP="002A6629" w:rsidRDefault="002A6629" w14:paraId="7D85F366" w14:textId="77777777">
            <w:pPr>
              <w:pStyle w:val="ListParagraph"/>
              <w:numPr>
                <w:ilvl w:val="0"/>
                <w:numId w:val="89"/>
              </w:numPr>
              <w:spacing w:before="240" w:after="240"/>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u w:val="single"/>
              </w:rPr>
              <w:t>System Design &amp; Materials</w:t>
            </w:r>
            <w:r w:rsidRPr="00045BDB">
              <w:rPr>
                <w:rFonts w:ascii="Palatino Linotype" w:hAnsi="Palatino Linotype" w:eastAsia="Palatino Linotype" w:cs="Palatino Linotype"/>
                <w:color w:val="000000" w:themeColor="text1"/>
                <w:sz w:val="20"/>
                <w:szCs w:val="20"/>
              </w:rPr>
              <w:t>: Reduced failures caused by material degradation and third-party damage.</w:t>
            </w:r>
            <w:r w:rsidRPr="00045BDB">
              <w:rPr>
                <w:rStyle w:val="FootnoteReference"/>
                <w:rFonts w:ascii="Palatino Linotype" w:hAnsi="Palatino Linotype" w:eastAsia="Palatino Linotype" w:cs="Palatino Linotype"/>
                <w:color w:val="000000" w:themeColor="text1"/>
                <w:sz w:val="20"/>
                <w:szCs w:val="20"/>
              </w:rPr>
              <w:footnoteReference w:id="504"/>
            </w:r>
          </w:p>
          <w:p w:rsidRPr="00045BDB" w:rsidR="002A6629" w:rsidP="002A6629" w:rsidRDefault="002A6629" w14:paraId="16D78911" w14:textId="77777777">
            <w:pPr>
              <w:pStyle w:val="ListParagraph"/>
              <w:numPr>
                <w:ilvl w:val="0"/>
                <w:numId w:val="89"/>
              </w:numPr>
              <w:rPr>
                <w:rFonts w:ascii="Palatino Linotype" w:hAnsi="Palatino Linotype" w:eastAsia="Palatino Linotype" w:cs="Palatino Linotype"/>
                <w:color w:val="000000" w:themeColor="text1"/>
                <w:sz w:val="20"/>
                <w:szCs w:val="20"/>
                <w:u w:val="single"/>
              </w:rPr>
            </w:pPr>
            <w:r w:rsidRPr="00045BDB">
              <w:rPr>
                <w:rFonts w:ascii="Palatino Linotype" w:hAnsi="Palatino Linotype" w:eastAsia="Palatino Linotype" w:cs="Palatino Linotype"/>
                <w:color w:val="000000" w:themeColor="text1"/>
                <w:sz w:val="20"/>
                <w:szCs w:val="20"/>
                <w:u w:val="single"/>
              </w:rPr>
              <w:t>RNG Infrastructure Optimization</w:t>
            </w:r>
            <w:r w:rsidRPr="00045BDB">
              <w:rPr>
                <w:rFonts w:ascii="Palatino Linotype" w:hAnsi="Palatino Linotype" w:eastAsia="Palatino Linotype" w:cs="Palatino Linotype"/>
                <w:color w:val="000000" w:themeColor="text1"/>
                <w:sz w:val="20"/>
                <w:szCs w:val="20"/>
              </w:rPr>
              <w:t>: Reduced</w:t>
            </w:r>
            <w:r w:rsidRPr="00045BDB">
              <w:rPr>
                <w:rFonts w:ascii="Palatino Linotype" w:hAnsi="Palatino Linotype" w:eastAsia="Palatino Linotype" w:cs="Palatino Linotype"/>
                <w:color w:val="000000" w:themeColor="text1"/>
                <w:sz w:val="20"/>
                <w:szCs w:val="20"/>
                <w:u w:val="single"/>
              </w:rPr>
              <w:t xml:space="preserve"> </w:t>
            </w:r>
            <w:r w:rsidRPr="00045BDB">
              <w:rPr>
                <w:rFonts w:ascii="Palatino Linotype" w:hAnsi="Palatino Linotype" w:eastAsia="Palatino Linotype" w:cs="Palatino Linotype"/>
                <w:color w:val="000000" w:themeColor="text1"/>
                <w:sz w:val="20"/>
                <w:szCs w:val="20"/>
              </w:rPr>
              <w:t>fabrication, interconnection and operations and maintenance costs, brought by fewer change orders, shorter schedules and standardization</w:t>
            </w:r>
            <w:r w:rsidRPr="00045BDB">
              <w:rPr>
                <w:rFonts w:ascii="Palatino Linotype" w:hAnsi="Palatino Linotype"/>
                <w:color w:val="000000" w:themeColor="text1"/>
                <w:sz w:val="20"/>
                <w:szCs w:val="20"/>
              </w:rPr>
              <w:t>.</w:t>
            </w:r>
            <w:r w:rsidRPr="00045BDB">
              <w:rPr>
                <w:rStyle w:val="FootnoteReference"/>
                <w:rFonts w:ascii="Palatino Linotype" w:hAnsi="Palatino Linotype"/>
                <w:color w:val="000000" w:themeColor="text1"/>
                <w:sz w:val="20"/>
                <w:szCs w:val="20"/>
              </w:rPr>
              <w:footnoteReference w:id="505"/>
            </w:r>
          </w:p>
          <w:p w:rsidRPr="00045BDB" w:rsidR="002A6629" w:rsidP="002A6629" w:rsidRDefault="002A6629" w14:paraId="65B21223" w14:textId="77777777">
            <w:pPr>
              <w:pStyle w:val="ListParagraph"/>
              <w:numPr>
                <w:ilvl w:val="0"/>
                <w:numId w:val="89"/>
              </w:numPr>
              <w:rPr>
                <w:rFonts w:ascii="Palatino Linotype" w:hAnsi="Palatino Linotype"/>
                <w:color w:val="000000" w:themeColor="text1"/>
                <w:sz w:val="20"/>
                <w:szCs w:val="20"/>
                <w:u w:val="single"/>
              </w:rPr>
            </w:pPr>
            <w:r w:rsidRPr="00045BDB">
              <w:rPr>
                <w:rFonts w:ascii="Palatino Linotype" w:hAnsi="Palatino Linotype" w:eastAsia="Palatino Linotype" w:cs="Palatino Linotype"/>
                <w:color w:val="000000" w:themeColor="text1"/>
                <w:sz w:val="20"/>
                <w:szCs w:val="20"/>
                <w:u w:val="single"/>
              </w:rPr>
              <w:t>Low-Carbon Fuel Technologies:</w:t>
            </w:r>
            <w:r w:rsidRPr="00045BDB">
              <w:rPr>
                <w:rFonts w:ascii="Palatino Linotype" w:hAnsi="Palatino Linotype" w:eastAsia="Palatino Linotype" w:cs="Palatino Linotype"/>
                <w:color w:val="000000" w:themeColor="text1"/>
                <w:sz w:val="20"/>
                <w:szCs w:val="20"/>
              </w:rPr>
              <w:t xml:space="preserve"> Reduced capital, operations and maintenance, and fuel costs by improving upgrading efficiency and simplifying system design.</w:t>
            </w:r>
            <w:r w:rsidRPr="00045BDB">
              <w:rPr>
                <w:rStyle w:val="FootnoteReference"/>
                <w:rFonts w:ascii="Palatino Linotype" w:hAnsi="Palatino Linotype" w:eastAsia="Palatino Linotype" w:cs="Palatino Linotype"/>
                <w:color w:val="000000" w:themeColor="text1"/>
                <w:sz w:val="20"/>
                <w:szCs w:val="20"/>
              </w:rPr>
              <w:footnoteReference w:id="506"/>
            </w:r>
          </w:p>
          <w:p w:rsidRPr="00045BDB" w:rsidR="002A6629" w:rsidP="002A6629" w:rsidRDefault="002A6629" w14:paraId="7B6EB50F" w14:textId="77777777">
            <w:pPr>
              <w:pStyle w:val="ListParagraph"/>
              <w:numPr>
                <w:ilvl w:val="0"/>
                <w:numId w:val="89"/>
              </w:numPr>
              <w:rPr>
                <w:rFonts w:ascii="Palatino Linotype" w:hAnsi="Palatino Linotype"/>
                <w:color w:val="000000" w:themeColor="text1"/>
                <w:sz w:val="20"/>
                <w:szCs w:val="20"/>
                <w:u w:val="single"/>
              </w:rPr>
            </w:pPr>
            <w:r w:rsidRPr="00045BDB">
              <w:rPr>
                <w:rFonts w:ascii="Palatino Linotype" w:hAnsi="Palatino Linotype" w:eastAsia="Palatino Linotype" w:cs="Palatino Linotype"/>
                <w:color w:val="000000" w:themeColor="text1"/>
                <w:sz w:val="20"/>
                <w:szCs w:val="20"/>
                <w:u w:val="single"/>
              </w:rPr>
              <w:t>Energy Reliability &amp; Resilience</w:t>
            </w:r>
            <w:r w:rsidRPr="00045BDB">
              <w:rPr>
                <w:rFonts w:ascii="Palatino Linotype" w:hAnsi="Palatino Linotype" w:eastAsia="Palatino Linotype" w:cs="Palatino Linotype"/>
                <w:color w:val="000000" w:themeColor="text1"/>
                <w:sz w:val="20"/>
                <w:szCs w:val="20"/>
              </w:rPr>
              <w:t>: Reduced criteria pollutant emissions.</w:t>
            </w:r>
            <w:r w:rsidRPr="00045BDB">
              <w:rPr>
                <w:rStyle w:val="FootnoteReference"/>
                <w:rFonts w:ascii="Palatino Linotype" w:hAnsi="Palatino Linotype" w:eastAsia="Palatino Linotype" w:cs="Palatino Linotype"/>
                <w:color w:val="000000" w:themeColor="text1"/>
                <w:sz w:val="20"/>
                <w:szCs w:val="20"/>
              </w:rPr>
              <w:footnoteReference w:id="507"/>
            </w:r>
          </w:p>
          <w:p w:rsidRPr="00045BDB" w:rsidR="002A6629" w:rsidP="002A6629" w:rsidRDefault="002A6629" w14:paraId="6124F350" w14:textId="77777777">
            <w:pPr>
              <w:pStyle w:val="ListParagraph"/>
              <w:numPr>
                <w:ilvl w:val="0"/>
                <w:numId w:val="89"/>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u w:val="single"/>
              </w:rPr>
              <w:t>Building &amp; Facility Systems</w:t>
            </w:r>
            <w:r w:rsidRPr="00045BDB">
              <w:rPr>
                <w:rFonts w:ascii="Palatino Linotype" w:hAnsi="Palatino Linotype" w:eastAsia="Palatino Linotype" w:cs="Palatino Linotype"/>
                <w:color w:val="000000" w:themeColor="text1"/>
                <w:sz w:val="20"/>
                <w:szCs w:val="20"/>
              </w:rPr>
              <w:t>: Reduced energy consumption, operational expenses, and waste generation.</w:t>
            </w:r>
            <w:r w:rsidRPr="00045BDB">
              <w:rPr>
                <w:rStyle w:val="FootnoteReference"/>
                <w:rFonts w:ascii="Palatino Linotype" w:hAnsi="Palatino Linotype" w:eastAsia="Palatino Linotype" w:cs="Palatino Linotype"/>
                <w:color w:val="000000" w:themeColor="text1"/>
                <w:sz w:val="20"/>
                <w:szCs w:val="20"/>
              </w:rPr>
              <w:footnoteReference w:id="508"/>
            </w:r>
          </w:p>
        </w:tc>
        <w:tc>
          <w:tcPr>
            <w:tcW w:w="3600" w:type="dxa"/>
          </w:tcPr>
          <w:p w:rsidRPr="00045BDB" w:rsidR="002A6629" w:rsidRDefault="002A6629" w14:paraId="61972F6F" w14:textId="77777777">
            <w:pPr>
              <w:rPr>
                <w:rFonts w:ascii="Palatino Linotype" w:hAnsi="Palatino Linotype"/>
                <w:b/>
                <w:bCs w:val="0"/>
                <w:color w:val="000000" w:themeColor="text1"/>
                <w:sz w:val="20"/>
                <w:szCs w:val="20"/>
              </w:rPr>
            </w:pPr>
            <w:r w:rsidRPr="00045BDB">
              <w:rPr>
                <w:rFonts w:ascii="Palatino Linotype" w:hAnsi="Palatino Linotype" w:eastAsia="Palatino Linotype" w:cs="Palatino Linotype"/>
                <w:color w:val="000000" w:themeColor="text1"/>
                <w:sz w:val="20"/>
                <w:szCs w:val="20"/>
              </w:rPr>
              <w:t>SoCalGas describes anticipated ratepayer benefits and defines appropriate metrics for conducting impact analyses attributable to each Initiative.</w:t>
            </w:r>
            <w:r w:rsidRPr="00045BDB">
              <w:rPr>
                <w:rFonts w:ascii="Palatino Linotype" w:hAnsi="Palatino Linotype" w:eastAsia="Palatino Linotype"/>
                <w:color w:val="000000" w:themeColor="text1"/>
                <w:sz w:val="20"/>
                <w:szCs w:val="20"/>
              </w:rPr>
              <w:t xml:space="preserve"> </w:t>
            </w:r>
            <w:r w:rsidRPr="00045BDB">
              <w:rPr>
                <w:rFonts w:ascii="Palatino Linotype" w:hAnsi="Palatino Linotype"/>
                <w:b/>
                <w:color w:val="000000" w:themeColor="text1"/>
                <w:sz w:val="20"/>
                <w:szCs w:val="20"/>
              </w:rPr>
              <w:t>SoCalGas is compliant with this requirement.</w:t>
            </w:r>
          </w:p>
          <w:p w:rsidRPr="00045BDB" w:rsidR="002A6629" w:rsidRDefault="002A6629" w14:paraId="00039A55" w14:textId="77777777">
            <w:pPr>
              <w:spacing w:before="240"/>
              <w:rPr>
                <w:rFonts w:ascii="Palatino Linotype" w:hAnsi="Palatino Linotype" w:eastAsia="Palatino Linotype" w:cs="Palatino Linotype"/>
                <w:color w:val="000000" w:themeColor="text1"/>
                <w:sz w:val="20"/>
                <w:szCs w:val="20"/>
              </w:rPr>
            </w:pPr>
            <w:r w:rsidRPr="00045BDB">
              <w:rPr>
                <w:rFonts w:ascii="Palatino Linotype" w:hAnsi="Palatino Linotype"/>
                <w:color w:val="000000" w:themeColor="text1"/>
                <w:sz w:val="20"/>
                <w:szCs w:val="20"/>
              </w:rPr>
              <w:t xml:space="preserve">However, SoCalGas </w:t>
            </w:r>
            <w:proofErr w:type="gramStart"/>
            <w:r w:rsidRPr="00045BDB">
              <w:rPr>
                <w:rFonts w:ascii="Palatino Linotype" w:hAnsi="Palatino Linotype"/>
                <w:color w:val="000000" w:themeColor="text1"/>
                <w:sz w:val="20"/>
                <w:szCs w:val="20"/>
              </w:rPr>
              <w:t>shall</w:t>
            </w:r>
            <w:proofErr w:type="gramEnd"/>
            <w:r w:rsidRPr="00045BDB">
              <w:rPr>
                <w:rFonts w:ascii="Palatino Linotype" w:hAnsi="Palatino Linotype"/>
                <w:color w:val="000000" w:themeColor="text1"/>
                <w:sz w:val="20"/>
                <w:szCs w:val="20"/>
              </w:rPr>
              <w:t xml:space="preserve"> clearly articulate impact analyses resulting from the </w:t>
            </w:r>
            <w:proofErr w:type="gramStart"/>
            <w:r w:rsidRPr="00045BDB">
              <w:rPr>
                <w:rFonts w:ascii="Palatino Linotype" w:hAnsi="Palatino Linotype"/>
                <w:color w:val="000000" w:themeColor="text1"/>
                <w:sz w:val="20"/>
                <w:szCs w:val="20"/>
              </w:rPr>
              <w:t>described methods</w:t>
            </w:r>
            <w:proofErr w:type="gramEnd"/>
            <w:r w:rsidRPr="00045BDB">
              <w:rPr>
                <w:rFonts w:ascii="Palatino Linotype" w:hAnsi="Palatino Linotype"/>
                <w:color w:val="000000" w:themeColor="text1"/>
                <w:sz w:val="20"/>
                <w:szCs w:val="20"/>
              </w:rPr>
              <w:t xml:space="preserve"> in addition to lessons learned in project reports and Annual Reports.</w:t>
            </w:r>
            <w:r w:rsidRPr="00045BDB">
              <w:rPr>
                <w:rStyle w:val="FootnoteReference"/>
                <w:rFonts w:ascii="Palatino Linotype" w:hAnsi="Palatino Linotype"/>
                <w:color w:val="000000" w:themeColor="text1"/>
                <w:sz w:val="20"/>
                <w:szCs w:val="20"/>
              </w:rPr>
              <w:footnoteReference w:id="509"/>
            </w:r>
          </w:p>
        </w:tc>
      </w:tr>
      <w:tr w:rsidRPr="00045BDB" w:rsidR="002A6629" w14:paraId="1EA418CD" w14:textId="77777777">
        <w:trPr>
          <w:trHeight w:val="638"/>
          <w:tblHeader/>
        </w:trPr>
        <w:tc>
          <w:tcPr>
            <w:tcW w:w="3744" w:type="dxa"/>
          </w:tcPr>
          <w:p w:rsidRPr="00045BDB" w:rsidR="002A6629" w:rsidRDefault="002A6629" w14:paraId="4AA3988F" w14:textId="77777777">
            <w:pPr>
              <w:rPr>
                <w:rFonts w:ascii="Palatino Linotype" w:hAnsi="Palatino Linotype"/>
                <w:i/>
                <w:iCs/>
                <w:sz w:val="20"/>
                <w:szCs w:val="20"/>
              </w:rPr>
            </w:pPr>
            <w:r w:rsidRPr="00045BDB">
              <w:rPr>
                <w:rFonts w:ascii="Palatino Linotype" w:hAnsi="Palatino Linotype"/>
                <w:b/>
                <w:sz w:val="20"/>
                <w:szCs w:val="20"/>
              </w:rPr>
              <w:lastRenderedPageBreak/>
              <w:t>[20]</w:t>
            </w:r>
            <w:r w:rsidRPr="00045BDB">
              <w:rPr>
                <w:rFonts w:ascii="Palatino Linotype" w:hAnsi="Palatino Linotype"/>
                <w:sz w:val="20"/>
                <w:szCs w:val="20"/>
              </w:rPr>
              <w:t xml:space="preserve"> </w:t>
            </w:r>
            <w:hyperlink r:id="rId154">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xml:space="preserve">] shall: Use the Disadvantaged Communities Advisory Group’s (DACAG) Equity Framework for guidance on how to develop research projects that benefit Environmental and Social Justice (ESJ) communities as well as engage with disadvantaged, low-income, and tribal communities. SoCalGas shall demonstrate in its research plan how it applied </w:t>
            </w:r>
            <w:proofErr w:type="gramStart"/>
            <w:r w:rsidRPr="00045BDB">
              <w:rPr>
                <w:rFonts w:ascii="Palatino Linotype" w:hAnsi="Palatino Linotype"/>
                <w:i/>
                <w:iCs/>
                <w:sz w:val="20"/>
                <w:szCs w:val="20"/>
              </w:rPr>
              <w:t>the DACAG’s</w:t>
            </w:r>
            <w:proofErr w:type="gramEnd"/>
            <w:r w:rsidRPr="00045BDB">
              <w:rPr>
                <w:rFonts w:ascii="Palatino Linotype" w:hAnsi="Palatino Linotype"/>
                <w:i/>
                <w:iCs/>
                <w:sz w:val="20"/>
                <w:szCs w:val="20"/>
              </w:rPr>
              <w:t xml:space="preserve"> Equity Framework and offer to brief DACAG members on its annual gas [RD&amp;D] proposals. Further, SoCalGas shall describe the benefits and impacts of its RD&amp;D work in ESJ communities in its annual Plan.</w:t>
            </w:r>
          </w:p>
          <w:p w:rsidRPr="00045BDB" w:rsidR="002A6629" w:rsidRDefault="002A6629" w14:paraId="01209376" w14:textId="77777777">
            <w:pPr>
              <w:rPr>
                <w:rFonts w:ascii="Palatino Linotype" w:hAnsi="Palatino Linotype"/>
                <w:i/>
                <w:iCs/>
                <w:sz w:val="20"/>
                <w:szCs w:val="20"/>
              </w:rPr>
            </w:pPr>
          </w:p>
          <w:p w:rsidRPr="00045BDB" w:rsidR="002A6629" w:rsidRDefault="002A6629" w14:paraId="59C5C811" w14:textId="77777777">
            <w:pPr>
              <w:rPr>
                <w:rFonts w:ascii="Palatino Linotype" w:hAnsi="Palatino Linotype"/>
                <w:sz w:val="20"/>
                <w:szCs w:val="20"/>
              </w:rPr>
            </w:pPr>
            <w:r w:rsidRPr="00045BDB">
              <w:rPr>
                <w:rFonts w:ascii="Palatino Linotype" w:hAnsi="Palatino Linotype"/>
                <w:sz w:val="20"/>
                <w:szCs w:val="20"/>
              </w:rPr>
              <w:t>See also: [18] on integration of public stakeholder feedback, including an ESJ Advisory Panel.</w:t>
            </w:r>
            <w:r w:rsidRPr="00045BDB">
              <w:rPr>
                <w:rFonts w:ascii="Times New Roman" w:hAnsi="Times New Roman" w:cs="Times New Roman"/>
                <w:sz w:val="20"/>
                <w:szCs w:val="20"/>
              </w:rPr>
              <w:t> </w:t>
            </w:r>
            <w:r w:rsidRPr="00045BDB">
              <w:rPr>
                <w:rFonts w:ascii="Palatino Linotype" w:hAnsi="Palatino Linotype" w:cs="Palatino Linotype"/>
                <w:sz w:val="20"/>
                <w:szCs w:val="20"/>
              </w:rPr>
              <w:t> </w:t>
            </w:r>
          </w:p>
        </w:tc>
        <w:tc>
          <w:tcPr>
            <w:tcW w:w="6912" w:type="dxa"/>
          </w:tcPr>
          <w:p w:rsidRPr="00045BDB" w:rsidR="002A6629" w:rsidRDefault="002A6629" w14:paraId="139928D8" w14:textId="77777777">
            <w:pPr>
              <w:rPr>
                <w:color w:val="000000" w:themeColor="text1"/>
              </w:rPr>
            </w:pPr>
            <w:r w:rsidRPr="00045BDB">
              <w:rPr>
                <w:rFonts w:ascii="Palatino Linotype" w:hAnsi="Palatino Linotype" w:eastAsia="Palatino Linotype" w:cs="Palatino Linotype"/>
                <w:color w:val="000000" w:themeColor="text1"/>
                <w:sz w:val="20"/>
                <w:szCs w:val="20"/>
              </w:rPr>
              <w:t>SoCalGas states that its 2027 RD&amp;D Plan projects “align with the Disadvantaged Communities Advisory Group (DACAG) Equity Framework and benefit ESJ communities...by embedding the framework’s guiding principles into project selection, design, implementation, and evaluation.</w:t>
            </w:r>
            <w:r w:rsidRPr="00045BDB">
              <w:rPr>
                <w:rStyle w:val="FootnoteReference"/>
                <w:rFonts w:ascii="Palatino Linotype" w:hAnsi="Palatino Linotype" w:eastAsia="Palatino Linotype" w:cs="Palatino Linotype"/>
                <w:color w:val="000000" w:themeColor="text1"/>
                <w:sz w:val="20"/>
                <w:szCs w:val="20"/>
              </w:rPr>
              <w:footnoteReference w:id="510"/>
            </w:r>
            <w:r w:rsidRPr="00045BDB">
              <w:rPr>
                <w:rFonts w:eastAsia="Palatino Linotype"/>
                <w:color w:val="000000" w:themeColor="text1"/>
                <w:sz w:val="20"/>
                <w:szCs w:val="20"/>
              </w:rPr>
              <w:t xml:space="preserve"> </w:t>
            </w:r>
            <w:r w:rsidRPr="00045BDB">
              <w:rPr>
                <w:rFonts w:ascii="Palatino Linotype" w:hAnsi="Palatino Linotype" w:eastAsia="Palatino Linotype" w:cs="Palatino Linotype"/>
                <w:color w:val="000000" w:themeColor="text1"/>
                <w:sz w:val="20"/>
                <w:szCs w:val="20"/>
              </w:rPr>
              <w:t>SoCalGas describes outreach to the DACAG, including briefing them on March 20, 2026, to share its proposed Plan and solicit input.</w:t>
            </w:r>
            <w:r w:rsidRPr="00045BDB">
              <w:rPr>
                <w:rFonts w:eastAsia="Palatino Linotype"/>
                <w:color w:val="000000" w:themeColor="text1"/>
                <w:sz w:val="20"/>
                <w:szCs w:val="20"/>
              </w:rPr>
              <w:t xml:space="preserve"> </w:t>
            </w:r>
            <w:r w:rsidRPr="00045BDB">
              <w:rPr>
                <w:rFonts w:ascii="Palatino Linotype" w:hAnsi="Palatino Linotype" w:eastAsia="Palatino Linotype" w:cs="Palatino Linotype"/>
                <w:color w:val="000000" w:themeColor="text1"/>
                <w:sz w:val="20"/>
                <w:szCs w:val="20"/>
              </w:rPr>
              <w:t>SoCalGas reports that the DACAG members raised several key issues, although not all related to specific Initiatives. SoCalGas states that Key Takeaways included:</w:t>
            </w:r>
          </w:p>
          <w:p w:rsidRPr="00045BDB" w:rsidR="002A6629" w:rsidP="002A6629" w:rsidRDefault="002A6629" w14:paraId="75C09E4A" w14:textId="77777777">
            <w:pPr>
              <w:pStyle w:val="ListParagraph"/>
              <w:numPr>
                <w:ilvl w:val="0"/>
                <w:numId w:val="80"/>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 xml:space="preserve">Strong concern about </w:t>
            </w:r>
            <w:proofErr w:type="gramStart"/>
            <w:r w:rsidRPr="00045BDB">
              <w:rPr>
                <w:rFonts w:ascii="Palatino Linotype" w:hAnsi="Palatino Linotype" w:eastAsia="Palatino Linotype" w:cs="Palatino Linotype"/>
                <w:color w:val="000000" w:themeColor="text1"/>
                <w:sz w:val="20"/>
                <w:szCs w:val="20"/>
              </w:rPr>
              <w:t>over reliance</w:t>
            </w:r>
            <w:proofErr w:type="gramEnd"/>
            <w:r w:rsidRPr="00045BDB">
              <w:rPr>
                <w:rFonts w:ascii="Palatino Linotype" w:hAnsi="Palatino Linotype" w:eastAsia="Palatino Linotype" w:cs="Palatino Linotype"/>
                <w:color w:val="000000" w:themeColor="text1"/>
                <w:sz w:val="20"/>
                <w:szCs w:val="20"/>
              </w:rPr>
              <w:t xml:space="preserve"> on RNG</w:t>
            </w:r>
          </w:p>
          <w:p w:rsidRPr="00045BDB" w:rsidR="002A6629" w:rsidP="002A6629" w:rsidRDefault="002A6629" w14:paraId="79856315" w14:textId="77777777">
            <w:pPr>
              <w:pStyle w:val="ListParagraph"/>
              <w:numPr>
                <w:ilvl w:val="0"/>
                <w:numId w:val="80"/>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Electrification should be considered alongside pipeline repair</w:t>
            </w:r>
          </w:p>
          <w:p w:rsidRPr="00045BDB" w:rsidR="002A6629" w:rsidP="002A6629" w:rsidRDefault="002A6629" w14:paraId="0D37138B" w14:textId="77777777">
            <w:pPr>
              <w:pStyle w:val="ListParagraph"/>
              <w:numPr>
                <w:ilvl w:val="0"/>
                <w:numId w:val="80"/>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Leak detection and transparency are critical</w:t>
            </w:r>
          </w:p>
          <w:p w:rsidRPr="00045BDB" w:rsidR="002A6629" w:rsidP="002A6629" w:rsidRDefault="002A6629" w14:paraId="14F5792A" w14:textId="77777777">
            <w:pPr>
              <w:pStyle w:val="ListParagraph"/>
              <w:numPr>
                <w:ilvl w:val="0"/>
                <w:numId w:val="80"/>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Equity, health, and community impacts must be central</w:t>
            </w:r>
          </w:p>
          <w:p w:rsidRPr="00045BDB" w:rsidR="002A6629" w:rsidP="002A6629" w:rsidRDefault="002A6629" w14:paraId="2836068B" w14:textId="77777777">
            <w:pPr>
              <w:pStyle w:val="ListParagraph"/>
              <w:numPr>
                <w:ilvl w:val="0"/>
                <w:numId w:val="80"/>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Need for clarity on prioritization and stakeholder engagement.</w:t>
            </w:r>
            <w:r w:rsidRPr="00045BDB">
              <w:rPr>
                <w:rStyle w:val="FootnoteReference"/>
                <w:rFonts w:ascii="Palatino Linotype" w:hAnsi="Palatino Linotype" w:eastAsia="Palatino Linotype" w:cs="Palatino Linotype"/>
                <w:color w:val="000000" w:themeColor="text1"/>
                <w:sz w:val="20"/>
                <w:szCs w:val="20"/>
              </w:rPr>
              <w:footnoteReference w:id="511"/>
            </w:r>
          </w:p>
          <w:p w:rsidRPr="00045BDB" w:rsidR="002A6629" w:rsidRDefault="002A6629" w14:paraId="3BA5C482" w14:textId="77777777">
            <w:pPr>
              <w:spacing w:before="240"/>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also provides an extensive discussion of benefits to disadvantaged communities in Section 8.6.4.2.</w:t>
            </w:r>
            <w:r w:rsidRPr="00045BDB">
              <w:rPr>
                <w:rStyle w:val="FootnoteReference"/>
                <w:rFonts w:ascii="Palatino Linotype" w:hAnsi="Palatino Linotype" w:eastAsia="Palatino Linotype" w:cs="Palatino Linotype"/>
                <w:color w:val="000000" w:themeColor="text1"/>
                <w:sz w:val="20"/>
                <w:szCs w:val="20"/>
              </w:rPr>
              <w:footnoteReference w:id="512"/>
            </w:r>
          </w:p>
        </w:tc>
        <w:tc>
          <w:tcPr>
            <w:tcW w:w="3600" w:type="dxa"/>
          </w:tcPr>
          <w:p w:rsidRPr="00045BDB" w:rsidR="002A6629" w:rsidRDefault="002A6629" w14:paraId="61708A0A" w14:textId="77777777">
            <w:pPr>
              <w:rPr>
                <w:rFonts w:ascii="Palatino Linotype" w:hAnsi="Palatino Linotype"/>
                <w:b/>
                <w:bCs w:val="0"/>
                <w:color w:val="000000" w:themeColor="text1"/>
                <w:sz w:val="20"/>
                <w:szCs w:val="20"/>
              </w:rPr>
            </w:pPr>
            <w:r w:rsidRPr="00045BDB">
              <w:rPr>
                <w:rFonts w:ascii="Palatino Linotype" w:hAnsi="Palatino Linotype"/>
                <w:color w:val="000000" w:themeColor="text1"/>
                <w:sz w:val="20"/>
                <w:szCs w:val="20"/>
              </w:rPr>
              <w:t xml:space="preserve">SoCalGas discusses its use of the DACAG Equity Framework and engagement of ESJ communities, particularly the DACAG, in the development of its 2027 Plan. </w:t>
            </w:r>
            <w:r w:rsidRPr="00045BDB">
              <w:rPr>
                <w:rFonts w:ascii="Palatino Linotype" w:hAnsi="Palatino Linotype"/>
                <w:b/>
                <w:color w:val="000000" w:themeColor="text1"/>
                <w:sz w:val="20"/>
                <w:szCs w:val="20"/>
              </w:rPr>
              <w:t>SoCalGas is compliant with this requirement.</w:t>
            </w:r>
          </w:p>
          <w:p w:rsidRPr="00045BDB" w:rsidR="002A6629" w:rsidRDefault="002A6629" w14:paraId="356C812B" w14:textId="77777777">
            <w:pPr>
              <w:spacing w:before="240"/>
              <w:rPr>
                <w:rFonts w:ascii="Palatino Linotype" w:hAnsi="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 xml:space="preserve">The Commission notes concerns voiced by stakeholders during </w:t>
            </w:r>
            <w:proofErr w:type="gramStart"/>
            <w:r w:rsidRPr="00045BDB">
              <w:rPr>
                <w:rFonts w:ascii="Palatino Linotype" w:hAnsi="Palatino Linotype" w:eastAsia="Palatino Linotype" w:cs="Palatino Linotype"/>
                <w:color w:val="000000" w:themeColor="text1"/>
                <w:sz w:val="20"/>
                <w:szCs w:val="20"/>
              </w:rPr>
              <w:t>the February</w:t>
            </w:r>
            <w:proofErr w:type="gramEnd"/>
            <w:r w:rsidRPr="00045BDB">
              <w:rPr>
                <w:rFonts w:ascii="Palatino Linotype" w:hAnsi="Palatino Linotype" w:eastAsia="Palatino Linotype" w:cs="Palatino Linotype"/>
                <w:color w:val="000000" w:themeColor="text1"/>
                <w:sz w:val="20"/>
                <w:szCs w:val="20"/>
              </w:rPr>
              <w:t xml:space="preserve"> 2026 Joint Administrator Workshop related to biomethane and RNG RD&amp;D activities. The Commission requires SoCalGas to seek out and consider input from ESJ communities in its strategic planning as well as in assessing and demonstrating benefits to these communities from RD&amp;D investments. Thus, the Commission directs SoCalGas, and any project contractor, to consult vulnerable communities, such as workers, tenants, &amp; frontline communities near gas facilities, on project siting to prevent exacerbating existing issues and inequities, particularly from projects with unknown impacts. SoCalGas should educate vulnerable communities on technologies as appropriate to address community concerns. Further, SoCalGas should summarize the concerns of communities and describe how these concerns are addressed in Annual </w:t>
            </w:r>
            <w:r w:rsidRPr="00045BDB">
              <w:rPr>
                <w:rFonts w:ascii="Palatino Linotype" w:hAnsi="Palatino Linotype" w:eastAsia="Palatino Linotype" w:cs="Palatino Linotype"/>
                <w:color w:val="000000" w:themeColor="text1"/>
                <w:sz w:val="20"/>
                <w:szCs w:val="20"/>
              </w:rPr>
              <w:lastRenderedPageBreak/>
              <w:t>Plans and correlated Annual Reports. Through this process, the Commission seeks to strategically leverage RD&amp;D funding to balance policy imperatives of innovation with community concerns and benefits, including in the CPUC’s Biomethane Procurement Cost Allocation proceeding.</w:t>
            </w:r>
            <w:r w:rsidRPr="00045BDB">
              <w:rPr>
                <w:rStyle w:val="FootnoteReference"/>
                <w:rFonts w:ascii="Palatino Linotype" w:hAnsi="Palatino Linotype" w:eastAsia="Palatino Linotype" w:cs="Palatino Linotype"/>
                <w:color w:val="000000" w:themeColor="text1"/>
                <w:sz w:val="20"/>
                <w:szCs w:val="20"/>
              </w:rPr>
              <w:footnoteReference w:id="513"/>
            </w:r>
          </w:p>
        </w:tc>
      </w:tr>
      <w:tr w:rsidRPr="00045BDB" w:rsidR="002A6629" w14:paraId="658B4E78" w14:textId="77777777">
        <w:trPr>
          <w:trHeight w:val="638"/>
          <w:tblHeader/>
        </w:trPr>
        <w:tc>
          <w:tcPr>
            <w:tcW w:w="3744" w:type="dxa"/>
          </w:tcPr>
          <w:p w:rsidRPr="00045BDB" w:rsidR="002A6629" w:rsidRDefault="002A6629" w14:paraId="18584392" w14:textId="77777777">
            <w:pPr>
              <w:rPr>
                <w:rFonts w:ascii="Palatino Linotype" w:hAnsi="Palatino Linotype"/>
                <w:i/>
                <w:iCs/>
                <w:sz w:val="20"/>
                <w:szCs w:val="20"/>
              </w:rPr>
            </w:pPr>
            <w:r w:rsidRPr="00045BDB">
              <w:rPr>
                <w:rFonts w:ascii="Palatino Linotype" w:hAnsi="Palatino Linotype"/>
                <w:b/>
                <w:sz w:val="20"/>
                <w:szCs w:val="20"/>
              </w:rPr>
              <w:lastRenderedPageBreak/>
              <w:t>[21]</w:t>
            </w:r>
            <w:r w:rsidRPr="00045BDB">
              <w:rPr>
                <w:rFonts w:ascii="Palatino Linotype" w:hAnsi="Palatino Linotype"/>
                <w:sz w:val="20"/>
                <w:szCs w:val="20"/>
              </w:rPr>
              <w:t xml:space="preserve"> </w:t>
            </w:r>
            <w:hyperlink r:id="rId155">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 Demonstrate that it has consulted with ESJ communities in advance of developing research projects to ensure projects are effective in realizing benefits for ESJ communities. In its workshop to solicit stakeholder feedback on its future Gas RD&amp;D plans, SoCalGas shall consult with Energy Division in curating an ESJ community advisory workshop panel to be consulted in a public workshop prior to submitting its annual Gas RD&amp;D Plan to the Commission. SoCalGas shall explore compensation strategies for its advisory panel.</w:t>
            </w:r>
          </w:p>
          <w:p w:rsidRPr="00045BDB" w:rsidR="002A6629" w:rsidRDefault="002A6629" w14:paraId="0D24FC61" w14:textId="77777777">
            <w:pPr>
              <w:rPr>
                <w:rFonts w:ascii="Palatino Linotype" w:hAnsi="Palatino Linotype"/>
                <w:i/>
                <w:iCs/>
                <w:sz w:val="20"/>
                <w:szCs w:val="20"/>
              </w:rPr>
            </w:pPr>
          </w:p>
          <w:p w:rsidRPr="00045BDB" w:rsidR="002A6629" w:rsidRDefault="002A6629" w14:paraId="5EF2BB86" w14:textId="77777777">
            <w:pPr>
              <w:rPr>
                <w:rFonts w:ascii="Palatino Linotype" w:hAnsi="Palatino Linotype"/>
                <w:sz w:val="20"/>
                <w:szCs w:val="20"/>
              </w:rPr>
            </w:pPr>
            <w:r w:rsidRPr="00045BDB">
              <w:rPr>
                <w:rFonts w:ascii="Palatino Linotype" w:hAnsi="Palatino Linotype"/>
                <w:sz w:val="20"/>
                <w:szCs w:val="20"/>
              </w:rPr>
              <w:t>See also: [18] on integration of public stakeholder feedback, including an ESJ Advisory Panel.</w:t>
            </w:r>
            <w:r w:rsidRPr="00045BDB">
              <w:rPr>
                <w:rFonts w:ascii="Times New Roman" w:hAnsi="Times New Roman" w:cs="Times New Roman"/>
                <w:sz w:val="20"/>
                <w:szCs w:val="20"/>
              </w:rPr>
              <w:t> </w:t>
            </w:r>
            <w:r w:rsidRPr="00045BDB">
              <w:rPr>
                <w:rFonts w:ascii="Palatino Linotype" w:hAnsi="Palatino Linotype" w:cs="Palatino Linotype"/>
                <w:sz w:val="20"/>
                <w:szCs w:val="20"/>
              </w:rPr>
              <w:t> </w:t>
            </w:r>
          </w:p>
        </w:tc>
        <w:tc>
          <w:tcPr>
            <w:tcW w:w="6912" w:type="dxa"/>
          </w:tcPr>
          <w:p w:rsidRPr="00045BDB" w:rsidR="002A6629" w:rsidRDefault="002A6629" w14:paraId="2110FCEA" w14:textId="77777777">
            <w:p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states that it established an ESJ Advisory Panel for the 2026 Joint Gas R&amp;D Workshop through a coordinated effort with the CEC and PG&amp;E, stating that it “shall explore compensation strategies for its advisory panel.”</w:t>
            </w:r>
            <w:r w:rsidRPr="00045BDB">
              <w:rPr>
                <w:rStyle w:val="FootnoteReference"/>
                <w:rFonts w:ascii="Palatino Linotype" w:hAnsi="Palatino Linotype" w:eastAsia="Palatino Linotype" w:cs="Palatino Linotype"/>
                <w:color w:val="000000" w:themeColor="text1"/>
                <w:sz w:val="20"/>
                <w:szCs w:val="20"/>
              </w:rPr>
              <w:footnoteReference w:id="514"/>
            </w:r>
            <w:r w:rsidRPr="00045BDB">
              <w:rPr>
                <w:rFonts w:ascii="Palatino Linotype" w:hAnsi="Palatino Linotype" w:eastAsia="Palatino Linotype" w:cs="Palatino Linotype"/>
                <w:color w:val="000000" w:themeColor="text1"/>
                <w:sz w:val="20"/>
                <w:szCs w:val="20"/>
              </w:rPr>
              <w:t xml:space="preserve"> Three new workshop panel members were identified, along with a panel chair, to provide feedback and questions for discussion:</w:t>
            </w:r>
            <w:r w:rsidRPr="00045BDB">
              <w:rPr>
                <w:rStyle w:val="FootnoteReference"/>
                <w:rFonts w:ascii="Palatino Linotype" w:hAnsi="Palatino Linotype" w:eastAsia="Palatino Linotype" w:cs="Palatino Linotype"/>
                <w:color w:val="000000" w:themeColor="text1"/>
                <w:sz w:val="20"/>
                <w:szCs w:val="20"/>
              </w:rPr>
              <w:footnoteReference w:id="515"/>
            </w:r>
          </w:p>
          <w:p w:rsidRPr="00045BDB" w:rsidR="002A6629" w:rsidP="002A6629" w:rsidRDefault="002A6629" w14:paraId="23C372CE" w14:textId="77777777">
            <w:pPr>
              <w:pStyle w:val="ListParagraph"/>
              <w:numPr>
                <w:ilvl w:val="0"/>
                <w:numId w:val="99"/>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Moderator: Ryan Young, Public Advisor, CEC</w:t>
            </w:r>
          </w:p>
          <w:p w:rsidRPr="00045BDB" w:rsidR="002A6629" w:rsidP="002A6629" w:rsidRDefault="002A6629" w14:paraId="1C17FB7D" w14:textId="77777777">
            <w:pPr>
              <w:pStyle w:val="ListParagraph"/>
              <w:numPr>
                <w:ilvl w:val="0"/>
                <w:numId w:val="99"/>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Panelists:</w:t>
            </w:r>
          </w:p>
          <w:p w:rsidRPr="00045BDB" w:rsidR="002A6629" w:rsidP="002A6629" w:rsidRDefault="002A6629" w14:paraId="5F17BC28" w14:textId="77777777">
            <w:pPr>
              <w:pStyle w:val="ListParagraph"/>
              <w:numPr>
                <w:ilvl w:val="1"/>
                <w:numId w:val="99"/>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Alex Jasset, Director of Energy Justice, Physicians for Social Responsibility-Los Angeles (PSR-LA)</w:t>
            </w:r>
          </w:p>
          <w:p w:rsidRPr="00045BDB" w:rsidR="002A6629" w:rsidP="002A6629" w:rsidRDefault="002A6629" w14:paraId="2C9A2AE4" w14:textId="77777777">
            <w:pPr>
              <w:pStyle w:val="ListParagraph"/>
              <w:numPr>
                <w:ilvl w:val="1"/>
                <w:numId w:val="99"/>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Carmelita Kelly Miller, Energy Equity Strategist, The Greenlining Institute</w:t>
            </w:r>
          </w:p>
          <w:p w:rsidRPr="00045BDB" w:rsidR="002A6629" w:rsidP="002A6629" w:rsidRDefault="002A6629" w14:paraId="316C36EF" w14:textId="77777777">
            <w:pPr>
              <w:pStyle w:val="ListParagraph"/>
              <w:numPr>
                <w:ilvl w:val="1"/>
                <w:numId w:val="99"/>
              </w:numPr>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Sarah Sharpe, Deputy Executive Director, Central California Asthma Collaborative</w:t>
            </w:r>
          </w:p>
          <w:p w:rsidRPr="00045BDB" w:rsidR="002A6629" w:rsidRDefault="002A6629" w14:paraId="1F843AF4" w14:textId="77777777">
            <w:pPr>
              <w:spacing w:before="240"/>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SoCalGas provided a detailed discussion of issues raised relating to its 2027 Plan,</w:t>
            </w:r>
            <w:r w:rsidRPr="00045BDB">
              <w:rPr>
                <w:rStyle w:val="FootnoteReference"/>
                <w:rFonts w:ascii="Palatino Linotype" w:hAnsi="Palatino Linotype" w:eastAsia="Palatino Linotype" w:cs="Palatino Linotype"/>
                <w:color w:val="000000" w:themeColor="text1"/>
                <w:sz w:val="20"/>
                <w:szCs w:val="20"/>
              </w:rPr>
              <w:footnoteReference w:id="516"/>
            </w:r>
            <w:r w:rsidRPr="00045BDB">
              <w:rPr>
                <w:rFonts w:ascii="Palatino Linotype" w:hAnsi="Palatino Linotype" w:eastAsia="Palatino Linotype" w:cs="Palatino Linotype"/>
                <w:color w:val="000000" w:themeColor="text1"/>
                <w:sz w:val="20"/>
                <w:szCs w:val="20"/>
              </w:rPr>
              <w:t xml:space="preserve"> including:</w:t>
            </w:r>
          </w:p>
          <w:p w:rsidRPr="00045BDB" w:rsidR="002A6629" w:rsidP="002A6629" w:rsidRDefault="002A6629" w14:paraId="2ED66B19" w14:textId="77777777">
            <w:pPr>
              <w:numPr>
                <w:ilvl w:val="0"/>
                <w:numId w:val="100"/>
              </w:numPr>
              <w:tabs>
                <w:tab w:val="num" w:pos="720"/>
              </w:tabs>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u w:val="single"/>
              </w:rPr>
              <w:t>Environmental &amp; Safety</w:t>
            </w:r>
            <w:r w:rsidRPr="00045BDB">
              <w:rPr>
                <w:rFonts w:ascii="Palatino Linotype" w:hAnsi="Palatino Linotype" w:eastAsia="Palatino Linotype" w:cs="Palatino Linotype"/>
                <w:color w:val="000000" w:themeColor="text1"/>
                <w:sz w:val="20"/>
                <w:szCs w:val="20"/>
              </w:rPr>
              <w:t xml:space="preserve"> and </w:t>
            </w:r>
            <w:r w:rsidRPr="00045BDB">
              <w:rPr>
                <w:rFonts w:ascii="Palatino Linotype" w:hAnsi="Palatino Linotype" w:eastAsia="Palatino Linotype" w:cs="Palatino Linotype"/>
                <w:color w:val="000000" w:themeColor="text1"/>
                <w:sz w:val="20"/>
                <w:szCs w:val="20"/>
                <w:u w:val="single"/>
              </w:rPr>
              <w:t>System Design &amp; Materials</w:t>
            </w:r>
            <w:r w:rsidRPr="00045BDB">
              <w:rPr>
                <w:rFonts w:ascii="Palatino Linotype" w:hAnsi="Palatino Linotype" w:eastAsia="Palatino Linotype" w:cs="Palatino Linotype"/>
                <w:color w:val="000000" w:themeColor="text1"/>
                <w:sz w:val="20"/>
                <w:szCs w:val="20"/>
              </w:rPr>
              <w:t>: Need for coordination and collaboration among program administrators. </w:t>
            </w:r>
          </w:p>
          <w:p w:rsidRPr="00045BDB" w:rsidR="002A6629" w:rsidP="002A6629" w:rsidRDefault="002A6629" w14:paraId="72D76A5B" w14:textId="77777777">
            <w:pPr>
              <w:numPr>
                <w:ilvl w:val="1"/>
                <w:numId w:val="100"/>
              </w:numPr>
              <w:tabs>
                <w:tab w:val="num" w:pos="720"/>
              </w:tabs>
              <w:rPr>
                <w:rFonts w:ascii="Palatino Linotype" w:hAnsi="Palatino Linotype" w:eastAsia="Palatino Linotype" w:cs="Palatino Linotype"/>
                <w:color w:val="000000" w:themeColor="text1"/>
                <w:sz w:val="20"/>
                <w:szCs w:val="20"/>
              </w:rPr>
            </w:pPr>
            <w:r w:rsidRPr="00045BDB">
              <w:rPr>
                <w:rFonts w:ascii="Palatino Linotype" w:hAnsi="Palatino Linotype" w:eastAsia="Palatino Linotype" w:cs="Palatino Linotype"/>
                <w:color w:val="000000" w:themeColor="text1"/>
                <w:sz w:val="20"/>
                <w:szCs w:val="20"/>
              </w:rPr>
              <w:t>As it had also responded to similar comments from CPUC staff, SoCalGas reiterated its “braided approach” to testing similar technologies as other programs, but it applies them to its own system conditions. </w:t>
            </w:r>
          </w:p>
          <w:p w:rsidRPr="00045BDB" w:rsidR="002A6629" w:rsidP="002A6629" w:rsidRDefault="002A6629" w14:paraId="4D1821D0" w14:textId="77777777">
            <w:pPr>
              <w:numPr>
                <w:ilvl w:val="0"/>
                <w:numId w:val="100"/>
              </w:numPr>
              <w:tabs>
                <w:tab w:val="num" w:pos="720"/>
              </w:tabs>
              <w:rPr>
                <w:rStyle w:val="FootnoteReference"/>
                <w:rFonts w:ascii="Palatino Linotype" w:hAnsi="Palatino Linotype" w:eastAsia="Palatino Linotype" w:cs="Palatino Linotype"/>
                <w:color w:val="000000" w:themeColor="text1"/>
                <w:sz w:val="20"/>
                <w:szCs w:val="20"/>
                <w:vertAlign w:val="baseline"/>
              </w:rPr>
            </w:pPr>
            <w:r w:rsidRPr="00045BDB">
              <w:rPr>
                <w:rFonts w:ascii="Palatino Linotype" w:hAnsi="Palatino Linotype" w:eastAsia="Palatino Linotype" w:cs="Palatino Linotype"/>
                <w:color w:val="000000" w:themeColor="text1"/>
                <w:sz w:val="20"/>
                <w:szCs w:val="20"/>
                <w:u w:val="single"/>
              </w:rPr>
              <w:t>RNG Infrastructure Optimization</w:t>
            </w:r>
            <w:r w:rsidRPr="00045BDB">
              <w:rPr>
                <w:rFonts w:ascii="Palatino Linotype" w:hAnsi="Palatino Linotype" w:eastAsia="Palatino Linotype" w:cs="Palatino Linotype"/>
                <w:color w:val="000000" w:themeColor="text1"/>
                <w:sz w:val="20"/>
                <w:szCs w:val="20"/>
              </w:rPr>
              <w:t>: Questions about the role of hydrogen/RNG.</w:t>
            </w:r>
            <w:r w:rsidRPr="00045BDB">
              <w:rPr>
                <w:rStyle w:val="FootnoteReference"/>
                <w:rFonts w:ascii="Palatino Linotype" w:hAnsi="Palatino Linotype" w:eastAsia="Palatino Linotype" w:cs="Palatino Linotype"/>
                <w:color w:val="000000" w:themeColor="text1"/>
                <w:sz w:val="20"/>
                <w:szCs w:val="20"/>
              </w:rPr>
              <w:footnoteReference w:id="517"/>
            </w:r>
          </w:p>
        </w:tc>
        <w:tc>
          <w:tcPr>
            <w:tcW w:w="3600" w:type="dxa"/>
          </w:tcPr>
          <w:p w:rsidRPr="00045BDB" w:rsidR="002A6629" w:rsidRDefault="002A6629" w14:paraId="31D61309" w14:textId="77777777">
            <w:pPr>
              <w:rPr>
                <w:rFonts w:ascii="Palatino Linotype" w:hAnsi="Palatino Linotype" w:eastAsia="Palatino Linotype" w:cs="Palatino Linotype"/>
                <w:color w:val="0070C0"/>
                <w:sz w:val="20"/>
                <w:szCs w:val="20"/>
              </w:rPr>
            </w:pPr>
            <w:r w:rsidRPr="00045BDB">
              <w:rPr>
                <w:rFonts w:ascii="Palatino Linotype" w:hAnsi="Palatino Linotype" w:eastAsia="Palatino Linotype" w:cs="Palatino Linotype"/>
                <w:color w:val="000000" w:themeColor="text1"/>
                <w:sz w:val="20"/>
                <w:szCs w:val="20"/>
              </w:rPr>
              <w:t xml:space="preserve">SoCalGas </w:t>
            </w:r>
            <w:proofErr w:type="gramStart"/>
            <w:r w:rsidRPr="00045BDB">
              <w:rPr>
                <w:rFonts w:ascii="Palatino Linotype" w:hAnsi="Palatino Linotype" w:eastAsia="Palatino Linotype" w:cs="Palatino Linotype"/>
                <w:color w:val="000000" w:themeColor="text1"/>
                <w:sz w:val="20"/>
                <w:szCs w:val="20"/>
              </w:rPr>
              <w:t>curated</w:t>
            </w:r>
            <w:proofErr w:type="gramEnd"/>
            <w:r w:rsidRPr="00045BDB">
              <w:rPr>
                <w:rFonts w:ascii="Palatino Linotype" w:hAnsi="Palatino Linotype" w:eastAsia="Palatino Linotype" w:cs="Palatino Linotype"/>
                <w:color w:val="000000" w:themeColor="text1"/>
                <w:sz w:val="20"/>
                <w:szCs w:val="20"/>
              </w:rPr>
              <w:t xml:space="preserve"> an ESJ community advisory panel to seek input prior to submitting its proposed Plan.</w:t>
            </w:r>
            <w:r w:rsidRPr="00045BDB">
              <w:rPr>
                <w:rFonts w:ascii="Palatino Linotype" w:hAnsi="Palatino Linotype" w:eastAsia="Palatino Linotype" w:cs="Palatino Linotype"/>
                <w:b/>
                <w:color w:val="000000" w:themeColor="text1"/>
                <w:sz w:val="20"/>
                <w:szCs w:val="20"/>
              </w:rPr>
              <w:t xml:space="preserve"> </w:t>
            </w:r>
            <w:r w:rsidRPr="00045BDB">
              <w:rPr>
                <w:rFonts w:ascii="Palatino Linotype" w:hAnsi="Palatino Linotype" w:eastAsia="Palatino Linotype" w:cs="Palatino Linotype"/>
                <w:color w:val="000000" w:themeColor="text1"/>
                <w:sz w:val="20"/>
                <w:szCs w:val="20"/>
              </w:rPr>
              <w:t xml:space="preserve">However, SoCalGas should provide further detail in its revised Plan on how it </w:t>
            </w:r>
            <w:r w:rsidRPr="00E35854">
              <w:rPr>
                <w:rFonts w:ascii="Palatino Linotype" w:hAnsi="Palatino Linotype" w:eastAsia="Palatino Linotype" w:cs="Palatino Linotype"/>
                <w:color w:val="000000" w:themeColor="text1"/>
                <w:sz w:val="20"/>
                <w:szCs w:val="20"/>
              </w:rPr>
              <w:t>explored compensation strategies for its advisory panel. </w:t>
            </w:r>
            <w:r w:rsidRPr="00E35854">
              <w:rPr>
                <w:rFonts w:ascii="Palatino Linotype" w:hAnsi="Palatino Linotype" w:eastAsia="Palatino Linotype" w:cs="Palatino Linotype"/>
                <w:b/>
                <w:color w:val="000000" w:themeColor="text1"/>
                <w:sz w:val="20"/>
                <w:szCs w:val="20"/>
              </w:rPr>
              <w:t xml:space="preserve">SoCalGas is </w:t>
            </w:r>
            <w:r w:rsidRPr="00E35854">
              <w:rPr>
                <w:rFonts w:ascii="Palatino Linotype" w:hAnsi="Palatino Linotype" w:eastAsia="Palatino Linotype" w:cs="Palatino Linotype"/>
                <w:b/>
                <w:i/>
                <w:iCs/>
                <w:color w:val="000000" w:themeColor="text1"/>
                <w:sz w:val="20"/>
                <w:szCs w:val="20"/>
              </w:rPr>
              <w:t>not</w:t>
            </w:r>
            <w:r w:rsidRPr="00E35854">
              <w:rPr>
                <w:rFonts w:ascii="Palatino Linotype" w:hAnsi="Palatino Linotype" w:eastAsia="Palatino Linotype" w:cs="Palatino Linotype"/>
                <w:b/>
                <w:color w:val="000000" w:themeColor="text1"/>
                <w:sz w:val="20"/>
                <w:szCs w:val="20"/>
              </w:rPr>
              <w:t xml:space="preserve"> compliant with this requirement.</w:t>
            </w:r>
            <w:r w:rsidRPr="00E35854">
              <w:rPr>
                <w:rFonts w:ascii="Times New Roman" w:hAnsi="Times New Roman" w:eastAsia="Palatino Linotype" w:cs="Times New Roman"/>
                <w:color w:val="000000" w:themeColor="text1"/>
                <w:sz w:val="20"/>
                <w:szCs w:val="20"/>
              </w:rPr>
              <w:t>  </w:t>
            </w:r>
            <w:r w:rsidRPr="00E35854">
              <w:rPr>
                <w:rFonts w:ascii="Palatino Linotype" w:hAnsi="Palatino Linotype" w:eastAsia="Palatino Linotype" w:cs="Palatino Linotype"/>
                <w:color w:val="000000" w:themeColor="text1"/>
                <w:sz w:val="20"/>
                <w:szCs w:val="20"/>
              </w:rPr>
              <w:t> </w:t>
            </w:r>
          </w:p>
          <w:p w:rsidRPr="00045BDB" w:rsidR="002A6629" w:rsidRDefault="002A6629" w14:paraId="7CA51E60" w14:textId="77777777">
            <w:pPr>
              <w:spacing w:before="240"/>
              <w:rPr>
                <w:rFonts w:ascii="Palatino Linotype" w:hAnsi="Palatino Linotype" w:eastAsia="Palatino Linotype" w:cs="Palatino Linotype"/>
                <w:color w:val="000000" w:themeColor="text1"/>
                <w:sz w:val="20"/>
                <w:szCs w:val="20"/>
              </w:rPr>
            </w:pPr>
          </w:p>
        </w:tc>
      </w:tr>
      <w:tr w:rsidRPr="00045BDB" w:rsidR="002A6629" w14:paraId="7E7AE6CB" w14:textId="77777777">
        <w:trPr>
          <w:trHeight w:val="638"/>
          <w:tblHeader/>
        </w:trPr>
        <w:tc>
          <w:tcPr>
            <w:tcW w:w="3744" w:type="dxa"/>
          </w:tcPr>
          <w:p w:rsidRPr="00045BDB" w:rsidR="002A6629" w:rsidRDefault="002A6629" w14:paraId="2C4E4CB4" w14:textId="77777777">
            <w:pPr>
              <w:rPr>
                <w:rFonts w:ascii="Palatino Linotype" w:hAnsi="Palatino Linotype"/>
                <w:sz w:val="20"/>
                <w:szCs w:val="20"/>
              </w:rPr>
            </w:pPr>
            <w:r w:rsidRPr="00045BDB">
              <w:rPr>
                <w:rFonts w:ascii="Palatino Linotype" w:hAnsi="Palatino Linotype"/>
                <w:b/>
                <w:sz w:val="20"/>
                <w:szCs w:val="20"/>
              </w:rPr>
              <w:lastRenderedPageBreak/>
              <w:t>[22]</w:t>
            </w:r>
            <w:r w:rsidRPr="00045BDB">
              <w:rPr>
                <w:rFonts w:ascii="Palatino Linotype" w:hAnsi="Palatino Linotype"/>
                <w:sz w:val="20"/>
                <w:szCs w:val="20"/>
              </w:rPr>
              <w:t xml:space="preserve"> </w:t>
            </w:r>
            <w:hyperlink r:id="rId156">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 Demonstrate that any hydrogen programs and projects utilize clean renewable hydrogen, consistent with the definition given in D.22-12-057, or the Commission’s successor definition for clean hydrogen.</w:t>
            </w:r>
          </w:p>
        </w:tc>
        <w:tc>
          <w:tcPr>
            <w:tcW w:w="6912" w:type="dxa"/>
          </w:tcPr>
          <w:p w:rsidRPr="00045BDB" w:rsidR="002A6629" w:rsidRDefault="002A6629" w14:paraId="52E15993" w14:textId="77777777">
            <w:pPr>
              <w:rPr>
                <w:rFonts w:ascii="Palatino Linotype" w:hAnsi="Palatino Linotype"/>
                <w:color w:val="000000" w:themeColor="text1"/>
                <w:sz w:val="20"/>
                <w:szCs w:val="20"/>
              </w:rPr>
            </w:pPr>
            <w:r w:rsidRPr="00045BDB">
              <w:rPr>
                <w:rFonts w:ascii="Palatino Linotype" w:hAnsi="Palatino Linotype"/>
                <w:color w:val="000000" w:themeColor="text1"/>
                <w:sz w:val="20"/>
                <w:szCs w:val="20"/>
              </w:rPr>
              <w:t>SoCalGas has previously demonstrated that its hydrogen-related projects approved to date are consistent with the definition of clean renewable hydrogen as defined by D.22-12-057.  </w:t>
            </w:r>
          </w:p>
        </w:tc>
        <w:tc>
          <w:tcPr>
            <w:tcW w:w="3600" w:type="dxa"/>
          </w:tcPr>
          <w:p w:rsidR="0082472D" w:rsidP="0082472D" w:rsidRDefault="0082472D" w14:paraId="7FCAB5BE" w14:textId="77777777">
            <w:pPr>
              <w:rPr>
                <w:rFonts w:ascii="Palatino Linotype" w:hAnsi="Palatino Linotype"/>
                <w:b/>
                <w:color w:val="000000" w:themeColor="text1"/>
                <w:sz w:val="20"/>
                <w:szCs w:val="20"/>
              </w:rPr>
            </w:pPr>
            <w:r w:rsidRPr="0016671C">
              <w:rPr>
                <w:rFonts w:ascii="Palatino Linotype" w:hAnsi="Palatino Linotype"/>
                <w:color w:val="000000" w:themeColor="text1"/>
                <w:sz w:val="20"/>
                <w:szCs w:val="20"/>
              </w:rPr>
              <w:t xml:space="preserve">SoCalGas demonstrates that </w:t>
            </w:r>
            <w:r>
              <w:rPr>
                <w:rFonts w:ascii="Palatino Linotype" w:hAnsi="Palatino Linotype"/>
                <w:color w:val="000000" w:themeColor="text1"/>
                <w:sz w:val="20"/>
                <w:szCs w:val="20"/>
              </w:rPr>
              <w:t xml:space="preserve">previously approved </w:t>
            </w:r>
            <w:r w:rsidRPr="0016671C">
              <w:rPr>
                <w:rFonts w:ascii="Palatino Linotype" w:hAnsi="Palatino Linotype"/>
                <w:color w:val="000000" w:themeColor="text1"/>
                <w:sz w:val="20"/>
                <w:szCs w:val="20"/>
              </w:rPr>
              <w:t xml:space="preserve">hydrogen projects utilize clean renewable hydrogen. </w:t>
            </w:r>
            <w:r w:rsidRPr="0016671C">
              <w:rPr>
                <w:rFonts w:ascii="Palatino Linotype" w:hAnsi="Palatino Linotype"/>
                <w:b/>
                <w:color w:val="000000" w:themeColor="text1"/>
                <w:sz w:val="20"/>
                <w:szCs w:val="20"/>
              </w:rPr>
              <w:t>SoCalGas is compliant with this requirement.</w:t>
            </w:r>
          </w:p>
          <w:p w:rsidRPr="00045BDB" w:rsidR="002A6629" w:rsidP="0082472D" w:rsidRDefault="0082472D" w14:paraId="2A36417B" w14:textId="1EAB44A5">
            <w:pPr>
              <w:spacing w:before="240"/>
              <w:rPr>
                <w:rFonts w:ascii="Palatino Linotype" w:hAnsi="Palatino Linotype"/>
                <w:color w:val="000000" w:themeColor="text1"/>
                <w:sz w:val="20"/>
                <w:szCs w:val="20"/>
              </w:rPr>
            </w:pPr>
            <w:r w:rsidRPr="002E7297">
              <w:rPr>
                <w:rFonts w:ascii="Palatino Linotype" w:hAnsi="Palatino Linotype"/>
                <w:bCs w:val="0"/>
                <w:color w:val="000000" w:themeColor="text1"/>
                <w:sz w:val="20"/>
                <w:szCs w:val="20"/>
              </w:rPr>
              <w:t>However, this Resolution does not approve new or further funding for hydrogen-related projects.</w:t>
            </w:r>
          </w:p>
        </w:tc>
      </w:tr>
      <w:tr w:rsidR="002A6629" w14:paraId="56A18531" w14:textId="77777777">
        <w:trPr>
          <w:trHeight w:val="638"/>
          <w:tblHeader/>
        </w:trPr>
        <w:tc>
          <w:tcPr>
            <w:tcW w:w="3744" w:type="dxa"/>
          </w:tcPr>
          <w:p w:rsidRPr="00045BDB" w:rsidR="002A6629" w:rsidRDefault="002A6629" w14:paraId="4BF4F527" w14:textId="77777777">
            <w:pPr>
              <w:rPr>
                <w:rFonts w:ascii="Palatino Linotype" w:hAnsi="Palatino Linotype"/>
                <w:i/>
                <w:iCs/>
                <w:sz w:val="20"/>
                <w:szCs w:val="20"/>
              </w:rPr>
            </w:pPr>
            <w:r w:rsidRPr="00045BDB">
              <w:rPr>
                <w:rFonts w:ascii="Palatino Linotype" w:hAnsi="Palatino Linotype"/>
                <w:b/>
                <w:sz w:val="20"/>
                <w:szCs w:val="20"/>
              </w:rPr>
              <w:lastRenderedPageBreak/>
              <w:t xml:space="preserve">[23] </w:t>
            </w:r>
            <w:hyperlink r:id="rId157">
              <w:r w:rsidRPr="00045BDB">
                <w:rPr>
                  <w:rStyle w:val="Hyperlink"/>
                  <w:rFonts w:ascii="Palatino Linotype" w:hAnsi="Palatino Linotype"/>
                  <w:sz w:val="20"/>
                  <w:szCs w:val="20"/>
                </w:rPr>
                <w:t>Resolution G-3601</w:t>
              </w:r>
            </w:hyperlink>
            <w:r w:rsidRPr="00045BDB">
              <w:rPr>
                <w:rFonts w:ascii="Palatino Linotype" w:hAnsi="Palatino Linotype"/>
                <w:sz w:val="20"/>
                <w:szCs w:val="20"/>
              </w:rPr>
              <w:t xml:space="preserve"> (2023) at OP 6. </w:t>
            </w:r>
            <w:r w:rsidRPr="00045BDB">
              <w:rPr>
                <w:rFonts w:ascii="Palatino Linotype" w:hAnsi="Palatino Linotype"/>
                <w:i/>
                <w:iCs/>
                <w:sz w:val="20"/>
                <w:szCs w:val="20"/>
              </w:rPr>
              <w:t>In its 2024 Gas [RD&amp;D] Plan and beyond, [</w:t>
            </w:r>
            <w:r w:rsidRPr="00045BDB">
              <w:rPr>
                <w:rFonts w:ascii="Palatino Linotype" w:hAnsi="Palatino Linotype" w:eastAsia="Palatino Linotype" w:cs="Palatino Linotype"/>
                <w:i/>
                <w:iCs/>
                <w:color w:val="000000" w:themeColor="text1"/>
                <w:sz w:val="20"/>
                <w:szCs w:val="20"/>
              </w:rPr>
              <w:t>SoCalGas</w:t>
            </w:r>
            <w:r w:rsidRPr="00045BDB">
              <w:rPr>
                <w:rFonts w:ascii="Palatino Linotype" w:hAnsi="Palatino Linotype"/>
                <w:i/>
                <w:iCs/>
                <w:sz w:val="20"/>
                <w:szCs w:val="20"/>
              </w:rPr>
              <w:t>] shall: Demonstrate how SoCalGas coordinates in advance with other gas RD&amp;D program administrators to ensure efficiencies, avoid duplication, and optimize research that benefits California ratepayers.</w:t>
            </w:r>
          </w:p>
          <w:p w:rsidRPr="00045BDB" w:rsidR="002A6629" w:rsidRDefault="002A6629" w14:paraId="0F6DB94E" w14:textId="77777777">
            <w:pPr>
              <w:rPr>
                <w:rFonts w:ascii="Palatino Linotype" w:hAnsi="Palatino Linotype"/>
                <w:i/>
                <w:iCs/>
                <w:sz w:val="20"/>
                <w:szCs w:val="20"/>
              </w:rPr>
            </w:pPr>
          </w:p>
          <w:p w:rsidRPr="00045BDB" w:rsidR="002A6629" w:rsidRDefault="002A6629" w14:paraId="7F6A9A88" w14:textId="77777777">
            <w:pPr>
              <w:rPr>
                <w:rFonts w:ascii="Palatino Linotype" w:hAnsi="Palatino Linotype"/>
                <w:sz w:val="20"/>
                <w:szCs w:val="20"/>
              </w:rPr>
            </w:pPr>
            <w:r w:rsidRPr="00045BDB">
              <w:rPr>
                <w:rFonts w:ascii="Palatino Linotype" w:hAnsi="Palatino Linotype"/>
                <w:sz w:val="20"/>
                <w:szCs w:val="20"/>
              </w:rPr>
              <w:t>See also: [15] on integration of Energy Division feedback. </w:t>
            </w:r>
          </w:p>
        </w:tc>
        <w:tc>
          <w:tcPr>
            <w:tcW w:w="6912" w:type="dxa"/>
          </w:tcPr>
          <w:p w:rsidRPr="00E35854" w:rsidR="002A6629" w:rsidRDefault="002A6629" w14:paraId="37B75243" w14:textId="77777777">
            <w:pPr>
              <w:spacing w:after="16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SoCalGas discusses coordination and collaboration with other Gas RD&amp;D administrators, including: “knowledge-sharing conferences and events, annual stakeholder outreach efforts, and participation in research consortia to avoid duplication of existing or ongoing research.</w:t>
            </w:r>
            <w:r w:rsidRPr="00E35854">
              <w:rPr>
                <w:rStyle w:val="FootnoteReference"/>
                <w:rFonts w:ascii="Palatino Linotype" w:hAnsi="Palatino Linotype" w:eastAsia="Palatino Linotype" w:cs="Palatino Linotype"/>
                <w:color w:val="000000" w:themeColor="text1"/>
                <w:sz w:val="20"/>
                <w:szCs w:val="20"/>
              </w:rPr>
              <w:footnoteReference w:id="518"/>
            </w:r>
            <w:r w:rsidRPr="00E35854">
              <w:rPr>
                <w:rFonts w:ascii="Palatino Linotype" w:hAnsi="Palatino Linotype" w:eastAsia="Palatino Linotype" w:cs="Palatino Linotype"/>
                <w:color w:val="000000" w:themeColor="text1"/>
                <w:sz w:val="20"/>
                <w:szCs w:val="20"/>
              </w:rPr>
              <w:t xml:space="preserve"> SoCalGas additionally states that its collaboration uses a “braided approach” in which foundational research is jointly developed and then tailored to individual utility needs.”</w:t>
            </w:r>
            <w:r w:rsidRPr="00E35854">
              <w:rPr>
                <w:rStyle w:val="FootnoteReference"/>
                <w:rFonts w:ascii="Palatino Linotype" w:hAnsi="Palatino Linotype" w:eastAsia="Palatino Linotype" w:cs="Palatino Linotype"/>
                <w:color w:val="000000" w:themeColor="text1"/>
                <w:sz w:val="20"/>
                <w:szCs w:val="20"/>
              </w:rPr>
              <w:footnoteReference w:id="519"/>
            </w:r>
            <w:r w:rsidRPr="00E35854">
              <w:rPr>
                <w:rFonts w:ascii="Palatino Linotype" w:hAnsi="Palatino Linotype" w:eastAsia="Palatino Linotype" w:cs="Palatino Linotype"/>
                <w:color w:val="000000" w:themeColor="text1"/>
                <w:sz w:val="20"/>
                <w:szCs w:val="20"/>
              </w:rPr>
              <w:t xml:space="preserve"> SoCalGas notes that the 2026 workshop was held jointly to replace individual workshops by Gas RD&amp;D administrators to reduce potential duplication.</w:t>
            </w:r>
            <w:r w:rsidRPr="00E35854">
              <w:rPr>
                <w:rStyle w:val="FootnoteReference"/>
                <w:rFonts w:ascii="Palatino Linotype" w:hAnsi="Palatino Linotype" w:eastAsia="Palatino Linotype" w:cs="Palatino Linotype"/>
                <w:color w:val="000000" w:themeColor="text1"/>
                <w:sz w:val="20"/>
                <w:szCs w:val="20"/>
              </w:rPr>
              <w:footnoteReference w:id="520"/>
            </w:r>
          </w:p>
          <w:p w:rsidRPr="00E35854" w:rsidR="002A6629" w:rsidRDefault="002A6629" w14:paraId="0EDB9BC0" w14:textId="77777777">
            <w:pPr>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SoCalGas also provides a detailed description of its coordination efforts:</w:t>
            </w:r>
          </w:p>
          <w:p w:rsidRPr="00E35854" w:rsidR="002A6629" w:rsidP="002A6629" w:rsidRDefault="002A6629" w14:paraId="19F2CC33"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Bi-Weekly Administrator Coordination meetings</w:t>
            </w:r>
          </w:p>
          <w:p w:rsidRPr="00E35854" w:rsidR="002A6629" w:rsidP="002A6629" w:rsidRDefault="002A6629" w14:paraId="129083E4"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Monthly Renewable Gas Quality Collaboration meetings</w:t>
            </w:r>
          </w:p>
          <w:p w:rsidRPr="00E35854" w:rsidR="002A6629" w:rsidP="002A6629" w:rsidRDefault="002A6629" w14:paraId="4D20809E"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Annual Stakeholder Outreach Campaign</w:t>
            </w:r>
          </w:p>
          <w:p w:rsidRPr="00E35854" w:rsidR="002A6629" w:rsidP="002A6629" w:rsidRDefault="002A6629" w14:paraId="72F30F7A" w14:textId="77777777">
            <w:pPr>
              <w:pStyle w:val="ListParagraph"/>
              <w:numPr>
                <w:ilvl w:val="0"/>
                <w:numId w:val="81"/>
              </w:numPr>
              <w:ind w:left="36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Gas RD&amp;D 2026 Joint Research Plan Workshop, held on February 27, 2026.</w:t>
            </w:r>
            <w:r w:rsidRPr="00E35854">
              <w:rPr>
                <w:rStyle w:val="FootnoteReference"/>
                <w:rFonts w:ascii="Palatino Linotype" w:hAnsi="Palatino Linotype" w:eastAsia="Palatino Linotype" w:cs="Palatino Linotype"/>
                <w:color w:val="000000" w:themeColor="text1"/>
                <w:sz w:val="20"/>
                <w:szCs w:val="20"/>
              </w:rPr>
              <w:footnoteReference w:id="521"/>
            </w:r>
          </w:p>
          <w:p w:rsidRPr="00E35854" w:rsidR="002A6629" w:rsidRDefault="002A6629" w14:paraId="71A5B29A" w14:textId="77777777">
            <w:pPr>
              <w:rPr>
                <w:rFonts w:ascii="Palatino Linotype" w:hAnsi="Palatino Linotype" w:eastAsia="Palatino Linotype" w:cs="Palatino Linotype"/>
                <w:color w:val="000000" w:themeColor="text1"/>
                <w:sz w:val="20"/>
                <w:szCs w:val="20"/>
              </w:rPr>
            </w:pPr>
          </w:p>
          <w:p w:rsidRPr="00E35854" w:rsidR="002A6629" w:rsidRDefault="002A6629" w14:paraId="7CC1C4BD" w14:textId="77777777">
            <w:pPr>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During consultation prior to Plan submittal, CPUC staff flagged the following potentially duplicative research areas and programs: </w:t>
            </w:r>
          </w:p>
          <w:p w:rsidRPr="00E35854" w:rsidR="002A6629" w:rsidP="002A6629" w:rsidRDefault="002A6629" w14:paraId="30A57E2C" w14:textId="77777777">
            <w:pPr>
              <w:numPr>
                <w:ilvl w:val="0"/>
                <w:numId w:val="101"/>
              </w:numPr>
              <w:tabs>
                <w:tab w:val="num" w:pos="720"/>
              </w:tabs>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u w:val="single"/>
              </w:rPr>
              <w:t>Environmental &amp; Safety</w:t>
            </w:r>
            <w:r w:rsidRPr="00E35854">
              <w:rPr>
                <w:rFonts w:ascii="Palatino Linotype" w:hAnsi="Palatino Linotype" w:eastAsia="Palatino Linotype" w:cs="Palatino Linotype"/>
                <w:color w:val="000000" w:themeColor="text1"/>
                <w:sz w:val="20"/>
                <w:szCs w:val="20"/>
              </w:rPr>
              <w:t>: PG&amp;E RD&amp;D involving AI/ML and LiDAR and Natural Gas Leak Abatement (NGLA). </w:t>
            </w:r>
          </w:p>
          <w:p w:rsidRPr="00E35854" w:rsidR="002A6629" w:rsidP="002A6629" w:rsidRDefault="002A6629" w14:paraId="57E62D08" w14:textId="77777777">
            <w:pPr>
              <w:numPr>
                <w:ilvl w:val="0"/>
                <w:numId w:val="102"/>
              </w:numPr>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SoCalGas states that these efforts could go further than NGLA by supporting deeper system-wide reductions</w:t>
            </w:r>
            <w:r w:rsidRPr="00E35854">
              <w:rPr>
                <w:rStyle w:val="FootnoteReference"/>
                <w:rFonts w:ascii="Palatino Linotype" w:hAnsi="Palatino Linotype" w:eastAsia="Palatino Linotype" w:cs="Palatino Linotype"/>
                <w:color w:val="000000" w:themeColor="text1"/>
                <w:sz w:val="20"/>
                <w:szCs w:val="20"/>
              </w:rPr>
              <w:footnoteReference w:id="522"/>
            </w:r>
            <w:r w:rsidRPr="00E35854">
              <w:rPr>
                <w:rFonts w:ascii="Palatino Linotype" w:hAnsi="Palatino Linotype" w:eastAsia="Palatino Linotype" w:cs="Palatino Linotype"/>
                <w:color w:val="000000" w:themeColor="text1"/>
                <w:sz w:val="20"/>
                <w:szCs w:val="20"/>
              </w:rPr>
              <w:t xml:space="preserve"> and that it may test similar foundational technologies but apply them to its own system conditions.</w:t>
            </w:r>
            <w:r w:rsidRPr="00E35854">
              <w:rPr>
                <w:rStyle w:val="FootnoteReference"/>
                <w:rFonts w:ascii="Palatino Linotype" w:hAnsi="Palatino Linotype" w:eastAsia="Palatino Linotype" w:cs="Palatino Linotype"/>
                <w:color w:val="000000" w:themeColor="text1"/>
                <w:sz w:val="20"/>
                <w:szCs w:val="20"/>
              </w:rPr>
              <w:footnoteReference w:id="523"/>
            </w:r>
          </w:p>
          <w:p w:rsidRPr="00E35854" w:rsidR="002A6629" w:rsidP="002A6629" w:rsidRDefault="002A6629" w14:paraId="345A7DF3" w14:textId="77777777">
            <w:pPr>
              <w:numPr>
                <w:ilvl w:val="0"/>
                <w:numId w:val="103"/>
              </w:numPr>
              <w:tabs>
                <w:tab w:val="num" w:pos="720"/>
              </w:tabs>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u w:val="single"/>
              </w:rPr>
              <w:t>Community Impact &amp; Energy Conservation</w:t>
            </w:r>
            <w:r w:rsidRPr="00E35854">
              <w:rPr>
                <w:rFonts w:ascii="Palatino Linotype" w:hAnsi="Palatino Linotype" w:eastAsia="Palatino Linotype" w:cs="Palatino Linotype"/>
                <w:color w:val="000000" w:themeColor="text1"/>
                <w:sz w:val="20"/>
                <w:szCs w:val="20"/>
              </w:rPr>
              <w:t>: PG&amp;E RD&amp;D involving AI/ML and LiDAR; NGLA; and PG&amp;E and CEC RD&amp;D involving methane monitoring.</w:t>
            </w:r>
          </w:p>
          <w:p w:rsidRPr="00E35854" w:rsidR="002A6629" w:rsidP="002A6629" w:rsidRDefault="002A6629" w14:paraId="0E9E984A" w14:textId="77777777">
            <w:pPr>
              <w:numPr>
                <w:ilvl w:val="0"/>
                <w:numId w:val="104"/>
              </w:numPr>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SoCalGas states that it intends to focus on leveraging and integrating existing technologies and data sources across platforms to improve affordability and produce direct ratepayer savings, including by utilizing “Aerial Methane Mapping and Advanced Meter data to identify unintentional gas use, such as appliances with incomplete combustion.”</w:t>
            </w:r>
            <w:r w:rsidRPr="00E35854">
              <w:rPr>
                <w:rStyle w:val="FootnoteReference"/>
                <w:rFonts w:ascii="Palatino Linotype" w:hAnsi="Palatino Linotype" w:eastAsia="Palatino Linotype" w:cs="Palatino Linotype"/>
                <w:color w:val="000000" w:themeColor="text1"/>
                <w:sz w:val="20"/>
                <w:szCs w:val="20"/>
              </w:rPr>
              <w:footnoteReference w:id="524"/>
            </w:r>
          </w:p>
          <w:p w:rsidRPr="00E35854" w:rsidR="002A6629" w:rsidP="002A6629" w:rsidRDefault="002A6629" w14:paraId="75450D85" w14:textId="77777777">
            <w:pPr>
              <w:numPr>
                <w:ilvl w:val="0"/>
                <w:numId w:val="105"/>
              </w:numPr>
              <w:tabs>
                <w:tab w:val="num" w:pos="720"/>
              </w:tabs>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u w:val="single"/>
              </w:rPr>
              <w:lastRenderedPageBreak/>
              <w:t>Low-Carbon Fuel Technologies</w:t>
            </w:r>
            <w:r w:rsidRPr="00E35854">
              <w:rPr>
                <w:rFonts w:ascii="Palatino Linotype" w:hAnsi="Palatino Linotype" w:eastAsia="Palatino Linotype" w:cs="Palatino Linotype"/>
                <w:color w:val="000000" w:themeColor="text1"/>
                <w:sz w:val="20"/>
                <w:szCs w:val="20"/>
              </w:rPr>
              <w:t>: PG&amp;E’s Clean Fuels Integration Initiative. </w:t>
            </w:r>
          </w:p>
          <w:p w:rsidRPr="00E35854" w:rsidR="002A6629" w:rsidP="002A6629" w:rsidRDefault="002A6629" w14:paraId="7524A1D2" w14:textId="77777777">
            <w:pPr>
              <w:numPr>
                <w:ilvl w:val="0"/>
                <w:numId w:val="105"/>
              </w:numPr>
              <w:tabs>
                <w:tab w:val="num" w:pos="720"/>
              </w:tabs>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u w:val="single"/>
              </w:rPr>
              <w:t>Energy Reliability &amp; Resilience</w:t>
            </w:r>
            <w:r w:rsidRPr="00E35854">
              <w:rPr>
                <w:rFonts w:ascii="Palatino Linotype" w:hAnsi="Palatino Linotype" w:eastAsia="Palatino Linotype" w:cs="Palatino Linotype"/>
                <w:color w:val="000000" w:themeColor="text1"/>
                <w:sz w:val="20"/>
                <w:szCs w:val="20"/>
              </w:rPr>
              <w:t>: Differentiate from CEC’s RD&amp;D involving cost-effective industrial decarbonization and its Fuel-Flexible Distributed Power Generation Initiative in its proposed FY2024-25 Gas RD&amp;D Plan. </w:t>
            </w:r>
          </w:p>
          <w:p w:rsidRPr="00E35854" w:rsidR="002A6629" w:rsidP="002A6629" w:rsidRDefault="002A6629" w14:paraId="1960F4E5" w14:textId="77777777">
            <w:pPr>
              <w:numPr>
                <w:ilvl w:val="0"/>
                <w:numId w:val="105"/>
              </w:numPr>
              <w:tabs>
                <w:tab w:val="num" w:pos="720"/>
              </w:tabs>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u w:val="single"/>
              </w:rPr>
              <w:t>Building &amp; Facility Systems</w:t>
            </w:r>
            <w:r w:rsidRPr="00E35854">
              <w:rPr>
                <w:rFonts w:ascii="Palatino Linotype" w:hAnsi="Palatino Linotype" w:eastAsia="Palatino Linotype" w:cs="Palatino Linotype"/>
                <w:color w:val="000000" w:themeColor="text1"/>
                <w:sz w:val="20"/>
                <w:szCs w:val="20"/>
              </w:rPr>
              <w:t>: Building decarbonization and energy efficiency efforts and RD&amp;D activities involving thermal energy storage across Gas RD&amp;D, EPIC, and other programs. </w:t>
            </w:r>
          </w:p>
          <w:p w:rsidRPr="00E35854" w:rsidR="002A6629" w:rsidRDefault="002A6629" w14:paraId="379FB58E" w14:textId="77777777">
            <w:pPr>
              <w:spacing w:before="240"/>
              <w:rPr>
                <w:rFonts w:ascii="Palatino Linotype" w:hAnsi="Palatino Linotype" w:eastAsia="Palatino Linotype" w:cs="Palatino Linotype"/>
                <w:color w:val="000000" w:themeColor="text1"/>
                <w:sz w:val="20"/>
                <w:szCs w:val="20"/>
              </w:rPr>
            </w:pPr>
            <w:r w:rsidRPr="00E35854">
              <w:rPr>
                <w:rFonts w:ascii="Palatino Linotype" w:hAnsi="Palatino Linotype" w:eastAsia="Palatino Linotype" w:cs="Palatino Linotype"/>
                <w:color w:val="000000" w:themeColor="text1"/>
                <w:sz w:val="20"/>
                <w:szCs w:val="20"/>
              </w:rPr>
              <w:t>Further, SoCalGas includes charts for each Initiative with Research Topics, Completed Projects, Active Projects, and Future Project Areas in the 2027 Research Plan compared to those in the 2026 Plan to “[illustrate] how project focus areas in [each] initiative evolve over time to advance technologies from early research through deployment. While the overarching initiative remains consistent, specific projects and research areas of focus are refined each year to reflect emerging needs, stakeholder input, and progress toward delivering ratepayer benefits.”</w:t>
            </w:r>
            <w:r w:rsidRPr="00E35854">
              <w:rPr>
                <w:rStyle w:val="FootnoteReference"/>
                <w:rFonts w:ascii="Palatino Linotype" w:hAnsi="Palatino Linotype" w:eastAsia="Palatino Linotype" w:cs="Palatino Linotype"/>
                <w:color w:val="000000" w:themeColor="text1"/>
                <w:sz w:val="20"/>
                <w:szCs w:val="20"/>
              </w:rPr>
              <w:footnoteReference w:id="525"/>
            </w:r>
          </w:p>
        </w:tc>
        <w:tc>
          <w:tcPr>
            <w:tcW w:w="3600" w:type="dxa"/>
          </w:tcPr>
          <w:p w:rsidRPr="00E35854" w:rsidR="002A6629" w:rsidRDefault="002A6629" w14:paraId="0504E38E" w14:textId="77777777">
            <w:pPr>
              <w:pStyle w:val="paragraph"/>
              <w:spacing w:after="0" w:afterAutospacing="0"/>
              <w:rPr>
                <w:rFonts w:ascii="Palatino Linotype" w:hAnsi="Palatino Linotype" w:cs="Segoe UI"/>
                <w:color w:val="000000" w:themeColor="text1"/>
                <w:sz w:val="20"/>
                <w:szCs w:val="20"/>
              </w:rPr>
            </w:pPr>
            <w:r w:rsidRPr="00E35854">
              <w:rPr>
                <w:rFonts w:ascii="Palatino Linotype" w:hAnsi="Palatino Linotype" w:cs="Segoe UI"/>
                <w:color w:val="000000" w:themeColor="text1"/>
                <w:sz w:val="20"/>
                <w:szCs w:val="20"/>
              </w:rPr>
              <w:lastRenderedPageBreak/>
              <w:t>SoCalGas demonstrates that its 2026 Plan is differentiated from its 2027 Plan to avoid duplication via varying project areas. SoCalGas also discusses how it coordinates in advance with other Gas RD&amp;D administrators for each Initiative. However, SoCalGas does not differentiate its proposals from potentially duplicative research areas and programs flagged by CPUC staff, particularly:  </w:t>
            </w:r>
          </w:p>
          <w:p w:rsidRPr="00E35854" w:rsidR="002A6629" w:rsidP="002A6629" w:rsidRDefault="002A6629" w14:paraId="279A5F55" w14:textId="77777777">
            <w:pPr>
              <w:pStyle w:val="paragraph"/>
              <w:numPr>
                <w:ilvl w:val="0"/>
                <w:numId w:val="108"/>
              </w:numPr>
              <w:spacing w:before="0" w:beforeAutospacing="0" w:after="0" w:afterAutospacing="0"/>
              <w:rPr>
                <w:rFonts w:ascii="Palatino Linotype" w:hAnsi="Palatino Linotype" w:cs="Segoe UI"/>
                <w:color w:val="000000" w:themeColor="text1"/>
                <w:sz w:val="20"/>
                <w:szCs w:val="20"/>
              </w:rPr>
            </w:pPr>
            <w:r w:rsidRPr="00E35854">
              <w:rPr>
                <w:rFonts w:ascii="Palatino Linotype" w:hAnsi="Palatino Linotype" w:cs="Segoe UI"/>
                <w:color w:val="000000" w:themeColor="text1"/>
                <w:sz w:val="20"/>
                <w:szCs w:val="20"/>
                <w:u w:val="single"/>
              </w:rPr>
              <w:t>Environmental &amp; Safety</w:t>
            </w:r>
            <w:r w:rsidRPr="00E35854">
              <w:rPr>
                <w:rFonts w:ascii="Palatino Linotype" w:hAnsi="Palatino Linotype" w:cs="Segoe UI"/>
                <w:color w:val="000000" w:themeColor="text1"/>
                <w:sz w:val="20"/>
                <w:szCs w:val="20"/>
              </w:rPr>
              <w:t xml:space="preserve"> from PG&amp;E RD&amp;D involving AI/ML and LiDAR, including specific examples of how system conditions differ to justify parallel validation. </w:t>
            </w:r>
          </w:p>
          <w:p w:rsidRPr="00E35854" w:rsidR="002A6629" w:rsidP="002A6629" w:rsidRDefault="002A6629" w14:paraId="684801D0" w14:textId="77777777">
            <w:pPr>
              <w:pStyle w:val="paragraph"/>
              <w:numPr>
                <w:ilvl w:val="0"/>
                <w:numId w:val="109"/>
              </w:numPr>
              <w:spacing w:before="0" w:beforeAutospacing="0" w:after="0" w:afterAutospacing="0"/>
              <w:ind w:left="360"/>
              <w:rPr>
                <w:rFonts w:ascii="Palatino Linotype" w:hAnsi="Palatino Linotype" w:cs="Segoe UI"/>
                <w:color w:val="000000" w:themeColor="text1"/>
                <w:sz w:val="20"/>
                <w:szCs w:val="20"/>
              </w:rPr>
            </w:pPr>
            <w:r w:rsidRPr="00E35854">
              <w:rPr>
                <w:rFonts w:ascii="Palatino Linotype" w:hAnsi="Palatino Linotype" w:cs="Segoe UI"/>
                <w:color w:val="000000" w:themeColor="text1"/>
                <w:sz w:val="20"/>
                <w:szCs w:val="20"/>
                <w:u w:val="single"/>
              </w:rPr>
              <w:t>Community Impact &amp; Energy Conservation</w:t>
            </w:r>
            <w:r w:rsidRPr="00E35854">
              <w:rPr>
                <w:rFonts w:ascii="Palatino Linotype" w:hAnsi="Palatino Linotype" w:cs="Segoe UI"/>
                <w:color w:val="000000" w:themeColor="text1"/>
                <w:sz w:val="20"/>
                <w:szCs w:val="20"/>
              </w:rPr>
              <w:t xml:space="preserve"> from PG&amp;E RD&amp;D involving AI/ML and LiDAR in addition to PG&amp;E and CEC RD&amp;D involving methane monitoring. </w:t>
            </w:r>
          </w:p>
          <w:p w:rsidRPr="00E35854" w:rsidR="002A6629" w:rsidP="002A6629" w:rsidRDefault="002A6629" w14:paraId="2D7A82C6" w14:textId="77777777">
            <w:pPr>
              <w:pStyle w:val="paragraph"/>
              <w:numPr>
                <w:ilvl w:val="0"/>
                <w:numId w:val="110"/>
              </w:numPr>
              <w:spacing w:before="0" w:beforeAutospacing="0" w:after="0" w:afterAutospacing="0"/>
              <w:ind w:left="360"/>
              <w:rPr>
                <w:rFonts w:ascii="Palatino Linotype" w:hAnsi="Palatino Linotype" w:cs="Segoe UI"/>
                <w:color w:val="000000" w:themeColor="text1"/>
                <w:sz w:val="20"/>
                <w:szCs w:val="20"/>
              </w:rPr>
            </w:pPr>
            <w:r w:rsidRPr="00E35854">
              <w:rPr>
                <w:rFonts w:ascii="Palatino Linotype" w:hAnsi="Palatino Linotype" w:cs="Segoe UI"/>
                <w:color w:val="000000" w:themeColor="text1"/>
                <w:sz w:val="20"/>
                <w:szCs w:val="20"/>
                <w:u w:val="single"/>
              </w:rPr>
              <w:t>Low-Carbon Fuel Technologies</w:t>
            </w:r>
            <w:r w:rsidRPr="00E35854">
              <w:rPr>
                <w:rFonts w:ascii="Palatino Linotype" w:hAnsi="Palatino Linotype" w:cs="Segoe UI"/>
                <w:color w:val="000000" w:themeColor="text1"/>
                <w:sz w:val="20"/>
                <w:szCs w:val="20"/>
              </w:rPr>
              <w:t xml:space="preserve"> from PG&amp;E’s Clean Fuels Integration Initiative.   </w:t>
            </w:r>
          </w:p>
          <w:p w:rsidRPr="00E35854" w:rsidR="002A6629" w:rsidP="002A6629" w:rsidRDefault="002A6629" w14:paraId="4FF7A338" w14:textId="77777777">
            <w:pPr>
              <w:pStyle w:val="paragraph"/>
              <w:numPr>
                <w:ilvl w:val="0"/>
                <w:numId w:val="111"/>
              </w:numPr>
              <w:spacing w:before="0" w:beforeAutospacing="0" w:after="0" w:afterAutospacing="0"/>
              <w:ind w:left="360"/>
              <w:rPr>
                <w:rFonts w:ascii="Palatino Linotype" w:hAnsi="Palatino Linotype" w:cs="Segoe UI"/>
                <w:color w:val="000000" w:themeColor="text1"/>
                <w:sz w:val="20"/>
                <w:szCs w:val="20"/>
              </w:rPr>
            </w:pPr>
            <w:r w:rsidRPr="00E35854">
              <w:rPr>
                <w:rFonts w:ascii="Palatino Linotype" w:hAnsi="Palatino Linotype" w:cs="Segoe UI"/>
                <w:color w:val="000000" w:themeColor="text1"/>
                <w:sz w:val="20"/>
                <w:szCs w:val="20"/>
                <w:u w:val="single"/>
              </w:rPr>
              <w:t>Energy Reliability &amp; Resilience</w:t>
            </w:r>
            <w:r w:rsidRPr="00E35854">
              <w:rPr>
                <w:rFonts w:ascii="Palatino Linotype" w:hAnsi="Palatino Linotype" w:cs="Segoe UI"/>
                <w:color w:val="000000" w:themeColor="text1"/>
                <w:sz w:val="20"/>
                <w:szCs w:val="20"/>
              </w:rPr>
              <w:t xml:space="preserve"> from CEC’s RD&amp;D involving cost-effective industrial decarbonization and its Fuel-Flexible Distributed Power Generation Initiative in its proposed FY2024-25 Gas RD&amp;D Plan. </w:t>
            </w:r>
          </w:p>
          <w:p w:rsidRPr="00E35854" w:rsidR="002A6629" w:rsidP="002A6629" w:rsidRDefault="002A6629" w14:paraId="6A3D8B82" w14:textId="77777777">
            <w:pPr>
              <w:pStyle w:val="paragraph"/>
              <w:numPr>
                <w:ilvl w:val="0"/>
                <w:numId w:val="112"/>
              </w:numPr>
              <w:spacing w:before="0" w:beforeAutospacing="0" w:after="0" w:afterAutospacing="0"/>
              <w:ind w:left="360"/>
              <w:rPr>
                <w:rFonts w:ascii="Palatino Linotype" w:hAnsi="Palatino Linotype" w:cs="Segoe UI"/>
                <w:color w:val="000000" w:themeColor="text1"/>
                <w:sz w:val="20"/>
                <w:szCs w:val="20"/>
              </w:rPr>
            </w:pPr>
            <w:r w:rsidRPr="00E35854">
              <w:rPr>
                <w:rFonts w:ascii="Palatino Linotype" w:hAnsi="Palatino Linotype" w:cs="Segoe UI"/>
                <w:color w:val="000000" w:themeColor="text1"/>
                <w:sz w:val="20"/>
                <w:szCs w:val="20"/>
                <w:u w:val="single"/>
              </w:rPr>
              <w:lastRenderedPageBreak/>
              <w:t>Building &amp; Facility Systems</w:t>
            </w:r>
            <w:r w:rsidRPr="00E35854">
              <w:rPr>
                <w:rFonts w:ascii="Palatino Linotype" w:hAnsi="Palatino Linotype" w:cs="Segoe UI"/>
                <w:color w:val="000000" w:themeColor="text1"/>
                <w:sz w:val="20"/>
                <w:szCs w:val="20"/>
              </w:rPr>
              <w:t xml:space="preserve"> from building decarbonization and energy efficiency efforts and RD&amp;D activities involving thermal energy storage across Gas RD&amp;D, EPIC, and other programs. </w:t>
            </w:r>
          </w:p>
          <w:p w:rsidRPr="00E35854" w:rsidR="002A6629" w:rsidRDefault="002A6629" w14:paraId="561DF735" w14:textId="77777777">
            <w:pPr>
              <w:pStyle w:val="paragraph"/>
              <w:rPr>
                <w:rFonts w:ascii="Palatino Linotype" w:hAnsi="Palatino Linotype" w:cs="Segoe UI"/>
                <w:color w:val="000000" w:themeColor="text1"/>
                <w:sz w:val="20"/>
                <w:szCs w:val="20"/>
              </w:rPr>
            </w:pPr>
            <w:r w:rsidRPr="00E35854">
              <w:rPr>
                <w:rFonts w:ascii="Palatino Linotype" w:hAnsi="Palatino Linotype" w:cs="Segoe UI"/>
                <w:b/>
                <w:color w:val="000000" w:themeColor="text1"/>
                <w:sz w:val="20"/>
                <w:szCs w:val="20"/>
              </w:rPr>
              <w:t xml:space="preserve">SoCalGas is </w:t>
            </w:r>
            <w:r w:rsidRPr="00E35854">
              <w:rPr>
                <w:rFonts w:ascii="Palatino Linotype" w:hAnsi="Palatino Linotype" w:cs="Segoe UI"/>
                <w:b/>
                <w:i/>
                <w:iCs/>
                <w:color w:val="000000" w:themeColor="text1"/>
                <w:sz w:val="20"/>
                <w:szCs w:val="20"/>
              </w:rPr>
              <w:t>not</w:t>
            </w:r>
            <w:r w:rsidRPr="00E35854">
              <w:rPr>
                <w:rFonts w:ascii="Palatino Linotype" w:hAnsi="Palatino Linotype" w:cs="Segoe UI"/>
                <w:b/>
                <w:color w:val="000000" w:themeColor="text1"/>
                <w:sz w:val="20"/>
                <w:szCs w:val="20"/>
              </w:rPr>
              <w:t xml:space="preserve"> compliant with this requirement. </w:t>
            </w:r>
            <w:r w:rsidRPr="00E35854">
              <w:rPr>
                <w:rFonts w:ascii="Palatino Linotype" w:hAnsi="Palatino Linotype" w:cs="Segoe UI"/>
                <w:color w:val="000000" w:themeColor="text1"/>
                <w:sz w:val="20"/>
                <w:szCs w:val="20"/>
              </w:rPr>
              <w:t>For transparency, SoCalGas shall embed in the descriptions of each proposed Initiative detail differentiating similar RD&amp;D led by other Gas RD&amp;D administrators and conducted in other programs.</w:t>
            </w:r>
          </w:p>
        </w:tc>
      </w:tr>
    </w:tbl>
    <w:p w:rsidR="002C02FF" w:rsidP="00E851DF" w:rsidRDefault="002C02FF" w14:paraId="0C8507B7" w14:textId="77777777">
      <w:pPr>
        <w:keepNext/>
        <w:spacing w:after="0" w:line="240" w:lineRule="auto"/>
      </w:pPr>
    </w:p>
    <w:sectPr w:rsidR="002C02FF" w:rsidSect="0062004F">
      <w:footerReference w:type="default" r:id="rId158"/>
      <w:pgSz w:w="15840" w:h="12240" w:orient="landscape"/>
      <w:pgMar w:top="720" w:right="720" w:bottom="720" w:left="720" w:header="720" w:footer="6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18EC8" w14:textId="77777777" w:rsidR="002845BD" w:rsidRDefault="002845BD" w:rsidP="00A76F4A">
      <w:pPr>
        <w:spacing w:after="0" w:line="240" w:lineRule="auto"/>
      </w:pPr>
      <w:r>
        <w:separator/>
      </w:r>
    </w:p>
  </w:endnote>
  <w:endnote w:type="continuationSeparator" w:id="0">
    <w:p w14:paraId="708919EF" w14:textId="77777777" w:rsidR="002845BD" w:rsidRDefault="002845BD" w:rsidP="00A7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12E0747B"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47E76C92" w:rsidR="004A7A4C" w:rsidRPr="004A7A4C" w:rsidRDefault="00806C6B" w:rsidP="004A7A4C">
        <w:pPr>
          <w:pStyle w:val="Footer"/>
          <w:rPr>
            <w:rFonts w:ascii="Palatino Linotype" w:hAnsi="Palatino Linotype"/>
          </w:rPr>
        </w:pPr>
        <w:r w:rsidRPr="00806C6B">
          <w:rPr>
            <w:rFonts w:ascii="Tahoma" w:hAnsi="Tahoma" w:cs="Tahoma"/>
            <w:sz w:val="18"/>
          </w:rPr>
          <w:t>627149620</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4654792"/>
      <w:docPartObj>
        <w:docPartGallery w:val="Page Numbers (Bottom of Page)"/>
        <w:docPartUnique/>
      </w:docPartObj>
    </w:sdtPr>
    <w:sdtEndPr>
      <w:rPr>
        <w:noProof/>
      </w:rPr>
    </w:sdtEndPr>
    <w:sdtContent>
      <w:p w14:paraId="1FFE9CAC" w14:textId="4D3E25C7" w:rsidR="000F0EBA" w:rsidRPr="004A7A4C" w:rsidRDefault="000F0EBA" w:rsidP="003D5636">
        <w:pPr>
          <w:pStyle w:val="Footer"/>
          <w:tabs>
            <w:tab w:val="clear" w:pos="4680"/>
            <w:tab w:val="center" w:pos="6210"/>
          </w:tabs>
          <w:rPr>
            <w:rFonts w:ascii="Palatino Linotype" w:hAnsi="Palatino Linotype"/>
          </w:rPr>
        </w:pPr>
        <w:r>
          <w:rPr>
            <w:rFonts w:ascii="Palatino Linotype" w:hAnsi="Palatino Linotype"/>
          </w:rPr>
          <w:tab/>
        </w:r>
        <w:r w:rsidR="00F152AA">
          <w:rPr>
            <w:rFonts w:ascii="Palatino Linotype" w:hAnsi="Palatino Linotype"/>
          </w:rPr>
          <w:t>A-</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00987081"/>
      <w:docPartObj>
        <w:docPartGallery w:val="Page Numbers (Bottom of Page)"/>
        <w:docPartUnique/>
      </w:docPartObj>
    </w:sdtPr>
    <w:sdtEndPr>
      <w:rPr>
        <w:noProof/>
      </w:rPr>
    </w:sdtEndPr>
    <w:sdtContent>
      <w:p w14:paraId="3CA375FB" w14:textId="197C781B" w:rsidR="00103F17" w:rsidRPr="004A7A4C" w:rsidRDefault="00103F17" w:rsidP="00103F17">
        <w:pPr>
          <w:pStyle w:val="Footer"/>
          <w:tabs>
            <w:tab w:val="clear" w:pos="4680"/>
            <w:tab w:val="center" w:pos="4320"/>
          </w:tabs>
          <w:rPr>
            <w:rFonts w:ascii="Palatino Linotype" w:hAnsi="Palatino Linotype"/>
          </w:rPr>
        </w:pPr>
        <w:r>
          <w:rPr>
            <w:rFonts w:ascii="Palatino Linotype" w:hAnsi="Palatino Linotype"/>
          </w:rPr>
          <w:tab/>
        </w:r>
        <w:r w:rsidR="00F152AA">
          <w:rPr>
            <w:rFonts w:ascii="Palatino Linotype" w:hAnsi="Palatino Linotype"/>
          </w:rPr>
          <w:t>B-</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582414372"/>
      <w:docPartObj>
        <w:docPartGallery w:val="Page Numbers (Bottom of Page)"/>
        <w:docPartUnique/>
      </w:docPartObj>
    </w:sdtPr>
    <w:sdtEndPr>
      <w:rPr>
        <w:noProof/>
      </w:rPr>
    </w:sdtEndPr>
    <w:sdtContent>
      <w:p w14:paraId="03322DB0" w14:textId="36556F25" w:rsidR="00D748A3" w:rsidRPr="002514A5" w:rsidRDefault="00D748A3">
        <w:pPr>
          <w:pStyle w:val="Footer"/>
          <w:jc w:val="center"/>
          <w:rPr>
            <w:rFonts w:ascii="Palatino Linotype" w:hAnsi="Palatino Linotype"/>
          </w:rPr>
        </w:pPr>
        <w:r>
          <w:rPr>
            <w:rFonts w:ascii="Palatino Linotype" w:hAnsi="Palatino Linotype"/>
          </w:rPr>
          <w:t>B-</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582518053"/>
      <w:docPartObj>
        <w:docPartGallery w:val="Page Numbers (Bottom of Page)"/>
        <w:docPartUnique/>
      </w:docPartObj>
    </w:sdtPr>
    <w:sdtEndPr>
      <w:rPr>
        <w:noProof/>
      </w:rPr>
    </w:sdtEndPr>
    <w:sdtContent>
      <w:p w14:paraId="196C3A48" w14:textId="09F482E1" w:rsidR="00A67BD1" w:rsidRPr="004A7A4C" w:rsidRDefault="00A67BD1" w:rsidP="00103F17">
        <w:pPr>
          <w:pStyle w:val="Footer"/>
          <w:tabs>
            <w:tab w:val="clear" w:pos="4680"/>
            <w:tab w:val="center" w:pos="4320"/>
          </w:tabs>
          <w:rPr>
            <w:rFonts w:ascii="Palatino Linotype" w:hAnsi="Palatino Linotype"/>
          </w:rPr>
        </w:pPr>
        <w:r>
          <w:rPr>
            <w:rFonts w:ascii="Palatino Linotype" w:hAnsi="Palatino Linotype"/>
          </w:rPr>
          <w:tab/>
        </w:r>
        <w:r w:rsidR="0051545F">
          <w:rPr>
            <w:rFonts w:ascii="Palatino Linotype" w:hAnsi="Palatino Linotype"/>
          </w:rPr>
          <w:t>C-</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64576237"/>
      <w:docPartObj>
        <w:docPartGallery w:val="Page Numbers (Bottom of Page)"/>
        <w:docPartUnique/>
      </w:docPartObj>
    </w:sdtPr>
    <w:sdtEndPr>
      <w:rPr>
        <w:noProof/>
      </w:rPr>
    </w:sdtEndPr>
    <w:sdtContent>
      <w:p w14:paraId="67785229" w14:textId="36070BF3" w:rsidR="00B95253" w:rsidRPr="004A7A4C" w:rsidRDefault="00B95253" w:rsidP="00103F17">
        <w:pPr>
          <w:pStyle w:val="Footer"/>
          <w:tabs>
            <w:tab w:val="clear" w:pos="4680"/>
            <w:tab w:val="center" w:pos="4320"/>
          </w:tabs>
          <w:rPr>
            <w:rFonts w:ascii="Palatino Linotype" w:hAnsi="Palatino Linotype"/>
          </w:rPr>
        </w:pPr>
        <w:r>
          <w:rPr>
            <w:rFonts w:ascii="Palatino Linotype" w:hAnsi="Palatino Linotype"/>
          </w:rPr>
          <w:tab/>
        </w:r>
        <w:r w:rsidR="0051545F">
          <w:rPr>
            <w:rFonts w:ascii="Palatino Linotype" w:hAnsi="Palatino Linotype"/>
          </w:rPr>
          <w:t>D-</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930614361"/>
      <w:docPartObj>
        <w:docPartGallery w:val="Page Numbers (Bottom of Page)"/>
        <w:docPartUnique/>
      </w:docPartObj>
    </w:sdtPr>
    <w:sdtEndPr>
      <w:rPr>
        <w:noProof/>
      </w:rPr>
    </w:sdtEndPr>
    <w:sdtContent>
      <w:p w14:paraId="44CB3F99" w14:textId="3059312E" w:rsidR="00B95253" w:rsidRPr="004A7A4C" w:rsidRDefault="00B95253" w:rsidP="00103F17">
        <w:pPr>
          <w:pStyle w:val="Footer"/>
          <w:tabs>
            <w:tab w:val="clear" w:pos="4680"/>
            <w:tab w:val="center" w:pos="4320"/>
          </w:tabs>
          <w:rPr>
            <w:rFonts w:ascii="Palatino Linotype" w:hAnsi="Palatino Linotype"/>
          </w:rPr>
        </w:pPr>
        <w:r>
          <w:rPr>
            <w:rFonts w:ascii="Palatino Linotype" w:hAnsi="Palatino Linotype"/>
          </w:rPr>
          <w:tab/>
        </w:r>
        <w:r w:rsidR="0051545F">
          <w:rPr>
            <w:rFonts w:ascii="Palatino Linotype" w:hAnsi="Palatino Linotype"/>
          </w:rPr>
          <w:t>E-</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687088993"/>
      <w:docPartObj>
        <w:docPartGallery w:val="Page Numbers (Bottom of Page)"/>
        <w:docPartUnique/>
      </w:docPartObj>
    </w:sdtPr>
    <w:sdtEndPr>
      <w:rPr>
        <w:noProof/>
      </w:rPr>
    </w:sdtEndPr>
    <w:sdtContent>
      <w:p w14:paraId="6E140EA2" w14:textId="2CA645F1" w:rsidR="0051545F" w:rsidRPr="002514A5" w:rsidRDefault="0051545F">
        <w:pPr>
          <w:pStyle w:val="Footer"/>
          <w:jc w:val="center"/>
          <w:rPr>
            <w:rFonts w:ascii="Palatino Linotype" w:hAnsi="Palatino Linotype"/>
          </w:rPr>
        </w:pPr>
        <w:r>
          <w:rPr>
            <w:rFonts w:ascii="Palatino Linotype" w:hAnsi="Palatino Linotype"/>
          </w:rPr>
          <w:t>E-</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943881201"/>
      <w:docPartObj>
        <w:docPartGallery w:val="Page Numbers (Bottom of Page)"/>
        <w:docPartUnique/>
      </w:docPartObj>
    </w:sdtPr>
    <w:sdtEndPr>
      <w:rPr>
        <w:noProof/>
      </w:rPr>
    </w:sdtEndPr>
    <w:sdtContent>
      <w:p w14:paraId="1862E1A0" w14:textId="7B57D719" w:rsidR="00B95253" w:rsidRPr="004A7A4C" w:rsidRDefault="00B95253" w:rsidP="00103F17">
        <w:pPr>
          <w:pStyle w:val="Footer"/>
          <w:tabs>
            <w:tab w:val="clear" w:pos="4680"/>
            <w:tab w:val="center" w:pos="4320"/>
          </w:tabs>
          <w:rPr>
            <w:rFonts w:ascii="Palatino Linotype" w:hAnsi="Palatino Linotype"/>
          </w:rPr>
        </w:pPr>
        <w:r>
          <w:rPr>
            <w:rFonts w:ascii="Palatino Linotype" w:hAnsi="Palatino Linotype"/>
          </w:rPr>
          <w:tab/>
        </w:r>
        <w:r w:rsidR="0051545F">
          <w:rPr>
            <w:rFonts w:ascii="Palatino Linotype" w:hAnsi="Palatino Linotype"/>
          </w:rPr>
          <w:t>F-</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376243370"/>
      <w:docPartObj>
        <w:docPartGallery w:val="Page Numbers (Bottom of Page)"/>
        <w:docPartUnique/>
      </w:docPartObj>
    </w:sdtPr>
    <w:sdtEndPr>
      <w:rPr>
        <w:noProof/>
      </w:rPr>
    </w:sdtEndPr>
    <w:sdtContent>
      <w:p w14:paraId="4483D4FB" w14:textId="4271C51D" w:rsidR="009E369B" w:rsidRPr="002514A5" w:rsidRDefault="009E369B">
        <w:pPr>
          <w:pStyle w:val="Footer"/>
          <w:jc w:val="center"/>
          <w:rPr>
            <w:rFonts w:ascii="Palatino Linotype" w:hAnsi="Palatino Linotype"/>
          </w:rPr>
        </w:pPr>
        <w:r>
          <w:rPr>
            <w:rFonts w:ascii="Palatino Linotype" w:hAnsi="Palatino Linotype"/>
          </w:rPr>
          <w:t>F-</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123819342"/>
      <w:docPartObj>
        <w:docPartGallery w:val="Page Numbers (Bottom of Page)"/>
        <w:docPartUnique/>
      </w:docPartObj>
    </w:sdtPr>
    <w:sdtEndPr>
      <w:rPr>
        <w:noProof/>
      </w:rPr>
    </w:sdtEndPr>
    <w:sdtContent>
      <w:p w14:paraId="1A1002BB" w14:textId="5325FFA4" w:rsidR="009346A8" w:rsidRPr="002514A5" w:rsidRDefault="00D9128B">
        <w:pPr>
          <w:pStyle w:val="Footer"/>
          <w:jc w:val="center"/>
          <w:rPr>
            <w:rFonts w:ascii="Palatino Linotype" w:hAnsi="Palatino Linotype"/>
          </w:rPr>
        </w:pPr>
        <w:r>
          <w:rPr>
            <w:rFonts w:ascii="Palatino Linotype" w:hAnsi="Palatino Linotype"/>
          </w:rPr>
          <w:t>G</w:t>
        </w:r>
        <w:r w:rsidR="00934356">
          <w:rPr>
            <w:rFonts w:ascii="Palatino Linotype" w:hAnsi="Palatino Linotype"/>
          </w:rPr>
          <w:t>-</w:t>
        </w:r>
        <w:r w:rsidR="009346A8" w:rsidRPr="002514A5">
          <w:rPr>
            <w:rFonts w:ascii="Palatino Linotype" w:hAnsi="Palatino Linotype"/>
          </w:rPr>
          <w:fldChar w:fldCharType="begin"/>
        </w:r>
        <w:r w:rsidR="009346A8" w:rsidRPr="002514A5">
          <w:rPr>
            <w:rFonts w:ascii="Palatino Linotype" w:hAnsi="Palatino Linotype"/>
          </w:rPr>
          <w:instrText xml:space="preserve"> PAGE   \* MERGEFORMAT </w:instrText>
        </w:r>
        <w:r w:rsidR="009346A8" w:rsidRPr="002514A5">
          <w:rPr>
            <w:rFonts w:ascii="Palatino Linotype" w:hAnsi="Palatino Linotype"/>
          </w:rPr>
          <w:fldChar w:fldCharType="separate"/>
        </w:r>
        <w:r w:rsidR="009346A8" w:rsidRPr="002514A5">
          <w:rPr>
            <w:rFonts w:ascii="Palatino Linotype" w:hAnsi="Palatino Linotype"/>
            <w:noProof/>
          </w:rPr>
          <w:t>2</w:t>
        </w:r>
        <w:r w:rsidR="009346A8" w:rsidRPr="002514A5">
          <w:rPr>
            <w:rFonts w:ascii="Palatino Linotype" w:hAnsi="Palatino Linotype"/>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101083840"/>
      <w:docPartObj>
        <w:docPartGallery w:val="Page Numbers (Bottom of Page)"/>
        <w:docPartUnique/>
      </w:docPartObj>
    </w:sdtPr>
    <w:sdtEndPr>
      <w:rPr>
        <w:noProof/>
      </w:rPr>
    </w:sdtEndPr>
    <w:sdtContent>
      <w:p w14:paraId="15850F34" w14:textId="103CD0C6" w:rsidR="00063FD3" w:rsidRPr="004A7A4C" w:rsidRDefault="00063FD3" w:rsidP="00063FD3">
        <w:pPr>
          <w:pStyle w:val="Footer"/>
          <w:tabs>
            <w:tab w:val="clear" w:pos="4680"/>
            <w:tab w:val="clear" w:pos="9360"/>
            <w:tab w:val="center" w:pos="6840"/>
            <w:tab w:val="right" w:pos="12780"/>
          </w:tabs>
          <w:rPr>
            <w:rFonts w:ascii="Palatino Linotype" w:hAnsi="Palatino Linotype"/>
          </w:rPr>
        </w:pPr>
        <w:r>
          <w:rPr>
            <w:rFonts w:ascii="Palatino Linotype" w:hAnsi="Palatino Linotype"/>
          </w:rPr>
          <w:tab/>
        </w:r>
        <w:r w:rsidR="0062004F">
          <w:rPr>
            <w:rFonts w:ascii="Palatino Linotype" w:hAnsi="Palatino Linotype"/>
          </w:rPr>
          <w:t>H</w:t>
        </w:r>
        <w:r w:rsidR="00A86FDB">
          <w:rPr>
            <w:rFonts w:ascii="Palatino Linotype" w:hAnsi="Palatino Linotype"/>
          </w:rPr>
          <w:t>-</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645967826"/>
      <w:docPartObj>
        <w:docPartGallery w:val="Page Numbers (Bottom of Page)"/>
        <w:docPartUnique/>
      </w:docPartObj>
    </w:sdtPr>
    <w:sdtEndPr>
      <w:rPr>
        <w:noProof/>
      </w:rPr>
    </w:sdtEndPr>
    <w:sdtContent>
      <w:p w14:paraId="25EB5E7D" w14:textId="77777777" w:rsidR="0062004F" w:rsidRPr="004A7A4C" w:rsidRDefault="0062004F" w:rsidP="00063FD3">
        <w:pPr>
          <w:pStyle w:val="Footer"/>
          <w:tabs>
            <w:tab w:val="clear" w:pos="4680"/>
            <w:tab w:val="clear" w:pos="9360"/>
            <w:tab w:val="center" w:pos="6840"/>
            <w:tab w:val="right" w:pos="12780"/>
          </w:tabs>
          <w:rPr>
            <w:rFonts w:ascii="Palatino Linotype" w:hAnsi="Palatino Linotype"/>
          </w:rPr>
        </w:pPr>
        <w:r>
          <w:rPr>
            <w:rFonts w:ascii="Palatino Linotype" w:hAnsi="Palatino Linotype"/>
          </w:rPr>
          <w:tab/>
          <w:t>H-</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03654641"/>
      <w:docPartObj>
        <w:docPartGallery w:val="Page Numbers (Bottom of Page)"/>
        <w:docPartUnique/>
      </w:docPartObj>
    </w:sdtPr>
    <w:sdtEndPr>
      <w:rPr>
        <w:noProof/>
      </w:rPr>
    </w:sdtEndPr>
    <w:sdtContent>
      <w:p w14:paraId="4B923D9B" w14:textId="2031E14D" w:rsidR="0062004F" w:rsidRPr="002514A5" w:rsidRDefault="0062004F">
        <w:pPr>
          <w:pStyle w:val="Footer"/>
          <w:jc w:val="center"/>
          <w:rPr>
            <w:rFonts w:ascii="Palatino Linotype" w:hAnsi="Palatino Linotype"/>
          </w:rPr>
        </w:pPr>
        <w:r>
          <w:rPr>
            <w:rFonts w:ascii="Palatino Linotype" w:hAnsi="Palatino Linotype"/>
          </w:rPr>
          <w:t>H-</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708614484"/>
      <w:docPartObj>
        <w:docPartGallery w:val="Page Numbers (Bottom of Page)"/>
        <w:docPartUnique/>
      </w:docPartObj>
    </w:sdtPr>
    <w:sdtEndPr>
      <w:rPr>
        <w:noProof/>
      </w:rPr>
    </w:sdtEndPr>
    <w:sdtContent>
      <w:p w14:paraId="430B6759" w14:textId="1A7B3FC3" w:rsidR="0062004F" w:rsidRPr="004A7A4C" w:rsidRDefault="0062004F" w:rsidP="00063FD3">
        <w:pPr>
          <w:pStyle w:val="Footer"/>
          <w:tabs>
            <w:tab w:val="clear" w:pos="4680"/>
            <w:tab w:val="clear" w:pos="9360"/>
            <w:tab w:val="center" w:pos="6840"/>
            <w:tab w:val="right" w:pos="12780"/>
          </w:tabs>
          <w:rPr>
            <w:rFonts w:ascii="Palatino Linotype" w:hAnsi="Palatino Linotype"/>
          </w:rPr>
        </w:pPr>
        <w:r>
          <w:rPr>
            <w:rFonts w:ascii="Palatino Linotype" w:hAnsi="Palatino Linotype"/>
          </w:rPr>
          <w:tab/>
        </w:r>
        <w:r w:rsidR="007E25B3">
          <w:rPr>
            <w:rFonts w:ascii="Palatino Linotype" w:hAnsi="Palatino Linotype"/>
          </w:rPr>
          <w:t>I</w:t>
        </w:r>
        <w:r>
          <w:rPr>
            <w:rFonts w:ascii="Palatino Linotype" w:hAnsi="Palatino Linotype"/>
          </w:rPr>
          <w:t>-</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272171643"/>
      <w:docPartObj>
        <w:docPartGallery w:val="Page Numbers (Bottom of Page)"/>
        <w:docPartUnique/>
      </w:docPartObj>
    </w:sdtPr>
    <w:sdtEndPr>
      <w:rPr>
        <w:noProof/>
      </w:rPr>
    </w:sdtEndPr>
    <w:sdtContent>
      <w:p w14:paraId="277D1DBE" w14:textId="63A305D2" w:rsidR="007E25B3" w:rsidRPr="002514A5" w:rsidRDefault="007E25B3">
        <w:pPr>
          <w:pStyle w:val="Footer"/>
          <w:jc w:val="center"/>
          <w:rPr>
            <w:rFonts w:ascii="Palatino Linotype" w:hAnsi="Palatino Linotype"/>
          </w:rPr>
        </w:pPr>
        <w:r>
          <w:rPr>
            <w:rFonts w:ascii="Palatino Linotype" w:hAnsi="Palatino Linotype"/>
          </w:rPr>
          <w:t>I-</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364793660"/>
      <w:docPartObj>
        <w:docPartGallery w:val="Page Numbers (Bottom of Page)"/>
        <w:docPartUnique/>
      </w:docPartObj>
    </w:sdtPr>
    <w:sdtEndPr>
      <w:rPr>
        <w:noProof/>
      </w:rPr>
    </w:sdtEndPr>
    <w:sdtContent>
      <w:p w14:paraId="2BB69F46" w14:textId="77777777" w:rsidR="007E25B3" w:rsidRPr="004A7A4C" w:rsidRDefault="007E25B3" w:rsidP="00063FD3">
        <w:pPr>
          <w:pStyle w:val="Footer"/>
          <w:tabs>
            <w:tab w:val="clear" w:pos="4680"/>
            <w:tab w:val="clear" w:pos="9360"/>
            <w:tab w:val="center" w:pos="6840"/>
            <w:tab w:val="right" w:pos="12780"/>
          </w:tabs>
          <w:rPr>
            <w:rFonts w:ascii="Palatino Linotype" w:hAnsi="Palatino Linotype"/>
          </w:rPr>
        </w:pPr>
        <w:r>
          <w:rPr>
            <w:rFonts w:ascii="Palatino Linotype" w:hAnsi="Palatino Linotype"/>
          </w:rPr>
          <w:tab/>
          <w:t>I-</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1631999"/>
      <w:docPartObj>
        <w:docPartGallery w:val="Page Numbers (Bottom of Page)"/>
        <w:docPartUnique/>
      </w:docPartObj>
    </w:sdtPr>
    <w:sdtEndPr>
      <w:rPr>
        <w:noProof/>
      </w:rPr>
    </w:sdtEndPr>
    <w:sdtContent>
      <w:p w14:paraId="18336E88" w14:textId="77777777" w:rsidR="00644758" w:rsidRPr="002514A5" w:rsidRDefault="00644758">
        <w:pPr>
          <w:pStyle w:val="Footer"/>
          <w:jc w:val="center"/>
          <w:rPr>
            <w:rFonts w:ascii="Palatino Linotype" w:hAnsi="Palatino Linotype"/>
          </w:rPr>
        </w:pPr>
        <w:r>
          <w:rPr>
            <w:rFonts w:ascii="Palatino Linotype" w:hAnsi="Palatino Linotype"/>
          </w:rPr>
          <w:t>I-</w:t>
        </w: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890007419"/>
      <w:docPartObj>
        <w:docPartGallery w:val="Page Numbers (Bottom of Page)"/>
        <w:docPartUnique/>
      </w:docPartObj>
    </w:sdtPr>
    <w:sdtEndPr>
      <w:rPr>
        <w:noProof/>
      </w:rPr>
    </w:sdtEndPr>
    <w:sdtContent>
      <w:p w14:paraId="106831C1" w14:textId="0555FD55" w:rsidR="007B5857" w:rsidRPr="004A7A4C" w:rsidRDefault="007B5857" w:rsidP="00063FD3">
        <w:pPr>
          <w:pStyle w:val="Footer"/>
          <w:tabs>
            <w:tab w:val="clear" w:pos="4680"/>
            <w:tab w:val="clear" w:pos="9360"/>
            <w:tab w:val="center" w:pos="6840"/>
            <w:tab w:val="right" w:pos="12780"/>
          </w:tabs>
          <w:rPr>
            <w:rFonts w:ascii="Palatino Linotype" w:hAnsi="Palatino Linotype"/>
          </w:rPr>
        </w:pPr>
        <w:r>
          <w:rPr>
            <w:rFonts w:ascii="Palatino Linotype" w:hAnsi="Palatino Linotype"/>
          </w:rPr>
          <w:tab/>
          <w:t>J-</w:t>
        </w:r>
        <w:r w:rsidRPr="004A7A4C">
          <w:rPr>
            <w:rFonts w:ascii="Palatino Linotype" w:hAnsi="Palatino Linotype"/>
          </w:rPr>
          <w:fldChar w:fldCharType="begin"/>
        </w:r>
        <w:r w:rsidRPr="004A7A4C">
          <w:rPr>
            <w:rFonts w:ascii="Palatino Linotype" w:hAnsi="Palatino Linotype"/>
          </w:rPr>
          <w:instrText xml:space="preserve"> PAGE   \* MERGEFORMAT </w:instrText>
        </w:r>
        <w:r w:rsidRPr="004A7A4C">
          <w:rPr>
            <w:rFonts w:ascii="Palatino Linotype" w:hAnsi="Palatino Linotype"/>
          </w:rPr>
          <w:fldChar w:fldCharType="separate"/>
        </w:r>
        <w:r w:rsidRPr="004A7A4C">
          <w:rPr>
            <w:rFonts w:ascii="Palatino Linotype" w:hAnsi="Palatino Linotype"/>
            <w:noProof/>
          </w:rPr>
          <w:t>2</w:t>
        </w:r>
        <w:r w:rsidRPr="004A7A4C">
          <w:rPr>
            <w:rFonts w:ascii="Palatino Linotype" w:hAnsi="Palatino Linotype"/>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973566706"/>
      <w:docPartObj>
        <w:docPartGallery w:val="Page Numbers (Bottom of Page)"/>
        <w:docPartUnique/>
      </w:docPartObj>
    </w:sdtPr>
    <w:sdtEndPr>
      <w:rPr>
        <w:noProof/>
      </w:rPr>
    </w:sdtEndPr>
    <w:sdtContent>
      <w:p w14:paraId="0011751F" w14:textId="4A41E192" w:rsidR="00644758" w:rsidRPr="002514A5" w:rsidRDefault="009C1A0D">
        <w:pPr>
          <w:pStyle w:val="Footer"/>
          <w:jc w:val="center"/>
          <w:rPr>
            <w:rFonts w:ascii="Palatino Linotype" w:hAnsi="Palatino Linotype"/>
          </w:rPr>
        </w:pPr>
        <w:r>
          <w:rPr>
            <w:rFonts w:ascii="Palatino Linotype" w:hAnsi="Palatino Linotype"/>
          </w:rPr>
          <w:t>J</w:t>
        </w:r>
        <w:r w:rsidR="00644758">
          <w:rPr>
            <w:rFonts w:ascii="Palatino Linotype" w:hAnsi="Palatino Linotype"/>
          </w:rPr>
          <w:t>-</w:t>
        </w:r>
        <w:r w:rsidR="00644758" w:rsidRPr="002514A5">
          <w:rPr>
            <w:rFonts w:ascii="Palatino Linotype" w:hAnsi="Palatino Linotype"/>
          </w:rPr>
          <w:fldChar w:fldCharType="begin"/>
        </w:r>
        <w:r w:rsidR="00644758" w:rsidRPr="002514A5">
          <w:rPr>
            <w:rFonts w:ascii="Palatino Linotype" w:hAnsi="Palatino Linotype"/>
          </w:rPr>
          <w:instrText xml:space="preserve"> PAGE   \* MERGEFORMAT </w:instrText>
        </w:r>
        <w:r w:rsidR="00644758" w:rsidRPr="002514A5">
          <w:rPr>
            <w:rFonts w:ascii="Palatino Linotype" w:hAnsi="Palatino Linotype"/>
          </w:rPr>
          <w:fldChar w:fldCharType="separate"/>
        </w:r>
        <w:r w:rsidR="00644758" w:rsidRPr="002514A5">
          <w:rPr>
            <w:rFonts w:ascii="Palatino Linotype" w:hAnsi="Palatino Linotype"/>
            <w:noProof/>
          </w:rPr>
          <w:t>2</w:t>
        </w:r>
        <w:r w:rsidR="00644758" w:rsidRPr="002514A5">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CC09" w14:textId="77777777" w:rsidR="002845BD" w:rsidRDefault="002845BD" w:rsidP="00A76F4A">
      <w:pPr>
        <w:spacing w:after="0" w:line="240" w:lineRule="auto"/>
      </w:pPr>
      <w:r>
        <w:separator/>
      </w:r>
    </w:p>
  </w:footnote>
  <w:footnote w:type="continuationSeparator" w:id="0">
    <w:p w14:paraId="51989ACC" w14:textId="77777777" w:rsidR="002845BD" w:rsidRDefault="002845BD" w:rsidP="00A76F4A">
      <w:pPr>
        <w:spacing w:after="0" w:line="240" w:lineRule="auto"/>
      </w:pPr>
      <w:r>
        <w:continuationSeparator/>
      </w:r>
    </w:p>
  </w:footnote>
  <w:footnote w:id="1">
    <w:p w14:paraId="5C5E2CFF" w14:textId="4B80C946" w:rsidR="00913687" w:rsidRPr="009F330C" w:rsidRDefault="00913687" w:rsidP="00913687">
      <w:pPr>
        <w:pStyle w:val="FootnoteText"/>
        <w:rPr>
          <w:rFonts w:ascii="Palatino Linotype" w:hAnsi="Palatino Linotype"/>
          <w:color w:val="000000" w:themeColor="text1"/>
        </w:rPr>
      </w:pPr>
      <w:r w:rsidRPr="009F330C">
        <w:rPr>
          <w:rStyle w:val="FootnoteReference"/>
          <w:rFonts w:ascii="Palatino Linotype" w:hAnsi="Palatino Linotype"/>
        </w:rPr>
        <w:footnoteRef/>
      </w:r>
      <w:r w:rsidR="00641AEB" w:rsidRPr="009F330C">
        <w:rPr>
          <w:rFonts w:ascii="Palatino Linotype" w:hAnsi="Palatino Linotype"/>
          <w:color w:val="FF0000"/>
          <w:szCs w:val="16"/>
        </w:rPr>
        <w:t xml:space="preserve"> </w:t>
      </w:r>
      <w:hyperlink r:id="rId1" w:history="1">
        <w:r w:rsidR="00641AEB" w:rsidRPr="009F330C">
          <w:rPr>
            <w:rStyle w:val="Hyperlink"/>
            <w:rFonts w:ascii="Palatino Linotype" w:hAnsi="Palatino Linotype"/>
            <w:szCs w:val="16"/>
          </w:rPr>
          <w:t>D.19-09-051</w:t>
        </w:r>
      </w:hyperlink>
      <w:r w:rsidRPr="009F330C">
        <w:rPr>
          <w:rFonts w:ascii="Palatino Linotype" w:hAnsi="Palatino Linotype"/>
          <w:color w:val="000000" w:themeColor="text1"/>
          <w:szCs w:val="16"/>
        </w:rPr>
        <w:t>: Decision on Test Year 20</w:t>
      </w:r>
      <w:r w:rsidR="00641AEB" w:rsidRPr="009F330C">
        <w:rPr>
          <w:rFonts w:ascii="Palatino Linotype" w:hAnsi="Palatino Linotype"/>
          <w:color w:val="000000" w:themeColor="text1"/>
          <w:szCs w:val="16"/>
        </w:rPr>
        <w:t>19</w:t>
      </w:r>
      <w:r w:rsidRPr="009F330C">
        <w:rPr>
          <w:rFonts w:ascii="Palatino Linotype" w:hAnsi="Palatino Linotype"/>
          <w:color w:val="000000" w:themeColor="text1"/>
          <w:szCs w:val="16"/>
        </w:rPr>
        <w:t xml:space="preserve"> </w:t>
      </w:r>
      <w:r w:rsidR="005A7DA3" w:rsidRPr="009F330C">
        <w:rPr>
          <w:rFonts w:ascii="Palatino Linotype" w:hAnsi="Palatino Linotype"/>
          <w:color w:val="000000" w:themeColor="text1"/>
          <w:szCs w:val="16"/>
        </w:rPr>
        <w:t>GRC</w:t>
      </w:r>
      <w:r w:rsidRPr="009F330C">
        <w:rPr>
          <w:rFonts w:ascii="Palatino Linotype" w:hAnsi="Palatino Linotype"/>
          <w:color w:val="000000" w:themeColor="text1"/>
          <w:szCs w:val="16"/>
        </w:rPr>
        <w:t xml:space="preserve"> </w:t>
      </w:r>
      <w:r w:rsidR="00641AEB" w:rsidRPr="009F330C">
        <w:rPr>
          <w:rFonts w:ascii="Palatino Linotype" w:hAnsi="Palatino Linotype"/>
          <w:color w:val="000000" w:themeColor="text1"/>
          <w:szCs w:val="16"/>
        </w:rPr>
        <w:t xml:space="preserve">for </w:t>
      </w:r>
      <w:r w:rsidR="00F664DC" w:rsidRPr="009F330C">
        <w:rPr>
          <w:rFonts w:ascii="Palatino Linotype" w:hAnsi="Palatino Linotype"/>
          <w:color w:val="000000" w:themeColor="text1"/>
          <w:szCs w:val="16"/>
        </w:rPr>
        <w:t xml:space="preserve">San Diego Gas &amp; Electric (SDG&amp;E) and SoCalGas </w:t>
      </w:r>
      <w:r w:rsidR="000D62CD" w:rsidRPr="009F330C">
        <w:rPr>
          <w:rFonts w:ascii="Palatino Linotype" w:hAnsi="Palatino Linotype"/>
          <w:color w:val="000000" w:themeColor="text1"/>
          <w:szCs w:val="16"/>
        </w:rPr>
        <w:t xml:space="preserve">at </w:t>
      </w:r>
      <w:r w:rsidR="00553EF4">
        <w:rPr>
          <w:rFonts w:ascii="Palatino Linotype" w:hAnsi="Palatino Linotype"/>
          <w:color w:val="000000" w:themeColor="text1"/>
          <w:szCs w:val="16"/>
        </w:rPr>
        <w:br/>
      </w:r>
      <w:r w:rsidR="000D62CD" w:rsidRPr="009F330C">
        <w:rPr>
          <w:rFonts w:ascii="Palatino Linotype" w:hAnsi="Palatino Linotype"/>
          <w:color w:val="000000" w:themeColor="text1"/>
          <w:szCs w:val="16"/>
        </w:rPr>
        <w:t xml:space="preserve">p. </w:t>
      </w:r>
      <w:r w:rsidR="00576CEC" w:rsidRPr="009F330C">
        <w:rPr>
          <w:rFonts w:ascii="Palatino Linotype" w:hAnsi="Palatino Linotype"/>
          <w:color w:val="000000" w:themeColor="text1"/>
          <w:szCs w:val="16"/>
        </w:rPr>
        <w:t>378-</w:t>
      </w:r>
      <w:r w:rsidR="000D62CD" w:rsidRPr="009F330C">
        <w:rPr>
          <w:rFonts w:ascii="Palatino Linotype" w:hAnsi="Palatino Linotype"/>
          <w:color w:val="000000" w:themeColor="text1"/>
          <w:szCs w:val="16"/>
        </w:rPr>
        <w:t>379</w:t>
      </w:r>
      <w:r w:rsidR="00AD4CBF" w:rsidRPr="009F330C">
        <w:rPr>
          <w:rFonts w:ascii="Palatino Linotype" w:hAnsi="Palatino Linotype"/>
          <w:color w:val="000000" w:themeColor="text1"/>
          <w:szCs w:val="16"/>
        </w:rPr>
        <w:t xml:space="preserve"> &amp; </w:t>
      </w:r>
      <w:hyperlink r:id="rId2" w:history="1">
        <w:r w:rsidR="00AD4CBF" w:rsidRPr="009F330C">
          <w:rPr>
            <w:rStyle w:val="Hyperlink"/>
            <w:rFonts w:ascii="Palatino Linotype" w:hAnsi="Palatino Linotype"/>
          </w:rPr>
          <w:t>D.24-12-074</w:t>
        </w:r>
      </w:hyperlink>
      <w:r w:rsidR="00AD4CBF" w:rsidRPr="009F330C">
        <w:rPr>
          <w:rFonts w:ascii="Palatino Linotype" w:hAnsi="Palatino Linotype"/>
        </w:rPr>
        <w:t xml:space="preserve">: Decision </w:t>
      </w:r>
      <w:r w:rsidR="005A7DA3" w:rsidRPr="009F330C">
        <w:rPr>
          <w:rFonts w:ascii="Palatino Linotype" w:hAnsi="Palatino Linotype"/>
        </w:rPr>
        <w:t xml:space="preserve">Addressing the 2024 Test Year GRC of SoCalGas &amp; SDG&amp;E at </w:t>
      </w:r>
      <w:r w:rsidR="009F330C" w:rsidRPr="009F330C">
        <w:rPr>
          <w:rFonts w:ascii="Palatino Linotype" w:hAnsi="Palatino Linotype"/>
        </w:rPr>
        <w:t>p. 327.</w:t>
      </w:r>
    </w:p>
  </w:footnote>
  <w:footnote w:id="2">
    <w:p w14:paraId="23F119AA" w14:textId="536AB774" w:rsidR="00913687" w:rsidRDefault="00913687" w:rsidP="00913687">
      <w:pPr>
        <w:pStyle w:val="FootnoteText"/>
      </w:pPr>
      <w:r>
        <w:rPr>
          <w:rStyle w:val="FootnoteReference"/>
        </w:rPr>
        <w:footnoteRef/>
      </w:r>
      <w:r>
        <w:t xml:space="preserve"> </w:t>
      </w:r>
      <w:r w:rsidRPr="00B7366C">
        <w:rPr>
          <w:rFonts w:ascii="Palatino Linotype" w:hAnsi="Palatino Linotype"/>
        </w:rPr>
        <w:t xml:space="preserve">See </w:t>
      </w:r>
      <w:r>
        <w:rPr>
          <w:rFonts w:ascii="Palatino Linotype" w:hAnsi="Palatino Linotype"/>
        </w:rPr>
        <w:t xml:space="preserve">Resolution </w:t>
      </w:r>
      <w:r w:rsidR="00190664">
        <w:rPr>
          <w:rFonts w:ascii="Palatino Linotype" w:eastAsia="Times New Roman" w:hAnsi="Palatino Linotype" w:cs="Times New Roman"/>
          <w:kern w:val="0"/>
          <w14:ligatures w14:val="none"/>
        </w:rPr>
        <w:t>G-3624</w:t>
      </w:r>
      <w:r>
        <w:rPr>
          <w:rFonts w:ascii="Palatino Linotype" w:hAnsi="Palatino Linotype"/>
        </w:rPr>
        <w:t xml:space="preserve"> at </w:t>
      </w:r>
      <w:r w:rsidRPr="00CC2B38">
        <w:rPr>
          <w:rFonts w:ascii="Palatino Linotype" w:hAnsi="Palatino Linotype"/>
        </w:rPr>
        <w:t>Append</w:t>
      </w:r>
      <w:r w:rsidR="00BA0EE1">
        <w:rPr>
          <w:rFonts w:ascii="Palatino Linotype" w:hAnsi="Palatino Linotype"/>
        </w:rPr>
        <w:t>ix</w:t>
      </w:r>
      <w:r w:rsidRPr="00CC2B38">
        <w:rPr>
          <w:rFonts w:ascii="Palatino Linotype" w:hAnsi="Palatino Linotype"/>
        </w:rPr>
        <w:t xml:space="preserve"> A</w:t>
      </w:r>
      <w:r w:rsidR="008D5692">
        <w:rPr>
          <w:rFonts w:ascii="Palatino Linotype" w:hAnsi="Palatino Linotype"/>
        </w:rPr>
        <w:t xml:space="preserve"> for</w:t>
      </w:r>
      <w:r w:rsidRPr="00CC2B38">
        <w:rPr>
          <w:rFonts w:ascii="Palatino Linotype" w:hAnsi="Palatino Linotype"/>
        </w:rPr>
        <w:t xml:space="preserve"> </w:t>
      </w:r>
      <w:r w:rsidR="00B61C2E">
        <w:rPr>
          <w:rFonts w:ascii="Palatino Linotype" w:hAnsi="Palatino Linotype"/>
        </w:rPr>
        <w:t>S</w:t>
      </w:r>
      <w:r w:rsidR="00BA0EE1">
        <w:rPr>
          <w:rFonts w:ascii="Palatino Linotype" w:hAnsi="Palatino Linotype"/>
        </w:rPr>
        <w:t>oCalGas’</w:t>
      </w:r>
      <w:r w:rsidR="00B61C2E">
        <w:rPr>
          <w:rFonts w:ascii="Palatino Linotype" w:hAnsi="Palatino Linotype"/>
        </w:rPr>
        <w:t xml:space="preserve"> </w:t>
      </w:r>
      <w:r w:rsidRPr="00CC2B38">
        <w:rPr>
          <w:rFonts w:ascii="Palatino Linotype" w:hAnsi="Palatino Linotype"/>
        </w:rPr>
        <w:t>2024</w:t>
      </w:r>
      <w:r w:rsidR="008D5692">
        <w:rPr>
          <w:rFonts w:ascii="Palatino Linotype" w:hAnsi="Palatino Linotype"/>
        </w:rPr>
        <w:t>-2027</w:t>
      </w:r>
      <w:r w:rsidRPr="00CC2B38">
        <w:rPr>
          <w:rFonts w:ascii="Palatino Linotype" w:hAnsi="Palatino Linotype"/>
        </w:rPr>
        <w:t xml:space="preserve"> Plans Proposed Budgets.</w:t>
      </w:r>
    </w:p>
  </w:footnote>
  <w:footnote w:id="3">
    <w:p w14:paraId="44A20EAC" w14:textId="5E4F2C7E" w:rsidR="007E1950" w:rsidRDefault="007E1950" w:rsidP="007E1950">
      <w:pPr>
        <w:pStyle w:val="FootnoteText"/>
      </w:pPr>
      <w:r>
        <w:rPr>
          <w:rStyle w:val="FootnoteReference"/>
        </w:rPr>
        <w:footnoteRef/>
      </w:r>
      <w:r>
        <w:t xml:space="preserve"> </w:t>
      </w:r>
      <w:r w:rsidRPr="007E1950">
        <w:rPr>
          <w:rFonts w:ascii="Palatino Linotype" w:hAnsi="Palatino Linotype"/>
        </w:rPr>
        <w:t xml:space="preserve">Consistent with </w:t>
      </w:r>
      <w:hyperlink r:id="rId3" w:history="1">
        <w:r w:rsidRPr="00933A55">
          <w:rPr>
            <w:rStyle w:val="Hyperlink"/>
            <w:rFonts w:ascii="Palatino Linotype" w:hAnsi="Palatino Linotype"/>
            <w:szCs w:val="16"/>
          </w:rPr>
          <w:t>D.19-09-051</w:t>
        </w:r>
      </w:hyperlink>
      <w:r>
        <w:rPr>
          <w:rFonts w:ascii="Palatino Linotype" w:hAnsi="Palatino Linotype"/>
          <w:color w:val="000000" w:themeColor="text1"/>
          <w:szCs w:val="16"/>
        </w:rPr>
        <w:t xml:space="preserve"> at p. 378</w:t>
      </w:r>
      <w:r w:rsidR="001721D3">
        <w:rPr>
          <w:rFonts w:ascii="Palatino Linotype" w:hAnsi="Palatino Linotype"/>
          <w:color w:val="000000" w:themeColor="text1"/>
          <w:szCs w:val="16"/>
        </w:rPr>
        <w:t>.</w:t>
      </w:r>
    </w:p>
  </w:footnote>
  <w:footnote w:id="4">
    <w:p w14:paraId="2C2ED3A7" w14:textId="77777777" w:rsidR="00895CB9" w:rsidRPr="00960D65" w:rsidRDefault="00895CB9" w:rsidP="00895CB9">
      <w:pPr>
        <w:pStyle w:val="FootnoteText"/>
        <w:rPr>
          <w:b/>
          <w:bCs/>
        </w:rPr>
      </w:pPr>
      <w:r w:rsidRPr="00A40394">
        <w:rPr>
          <w:rStyle w:val="FootnoteReference"/>
        </w:rPr>
        <w:footnoteRef/>
      </w:r>
      <w:r w:rsidRPr="00A40394">
        <w:rPr>
          <w:rStyle w:val="FootnoteReference"/>
        </w:rPr>
        <w:t xml:space="preserve"> </w:t>
      </w:r>
      <w:r w:rsidRPr="000C20B9">
        <w:rPr>
          <w:rFonts w:ascii="Palatino Linotype" w:hAnsi="Palatino Linotype"/>
        </w:rPr>
        <w:t>California Public Utilities Code Section 740.1.</w:t>
      </w:r>
      <w:r>
        <w:rPr>
          <w:rFonts w:ascii="Palatino Linotype" w:hAnsi="Palatino Linotype"/>
        </w:rPr>
        <w:t xml:space="preserve"> </w:t>
      </w:r>
    </w:p>
  </w:footnote>
  <w:footnote w:id="5">
    <w:p w14:paraId="65EEFD73" w14:textId="65DF1B6C" w:rsidR="00895CB9" w:rsidRPr="009A7088" w:rsidRDefault="00895CB9" w:rsidP="00895CB9">
      <w:pPr>
        <w:pStyle w:val="FootnoteText"/>
        <w:rPr>
          <w:rFonts w:ascii="Palatino Linotype" w:hAnsi="Palatino Linotype"/>
        </w:rPr>
      </w:pPr>
      <w:r w:rsidRPr="00E50573">
        <w:rPr>
          <w:rStyle w:val="FootnoteReference"/>
        </w:rPr>
        <w:footnoteRef/>
      </w:r>
      <w:r w:rsidRPr="00E50573">
        <w:t xml:space="preserve"> </w:t>
      </w:r>
      <w:r w:rsidR="00FE4E62" w:rsidRPr="00E50573">
        <w:rPr>
          <w:rFonts w:ascii="Palatino Linotype" w:hAnsi="Palatino Linotype"/>
        </w:rPr>
        <w:t xml:space="preserve">The Commission’s compliance assessment of this requirement is captured in </w:t>
      </w:r>
      <w:r w:rsidR="00190664">
        <w:rPr>
          <w:rFonts w:ascii="Palatino Linotype" w:hAnsi="Palatino Linotype"/>
        </w:rPr>
        <w:t xml:space="preserve">Resolution </w:t>
      </w:r>
      <w:r w:rsidR="00190664">
        <w:rPr>
          <w:rFonts w:ascii="Palatino Linotype" w:eastAsia="Times New Roman" w:hAnsi="Palatino Linotype" w:cs="Times New Roman"/>
          <w:kern w:val="0"/>
          <w14:ligatures w14:val="none"/>
        </w:rPr>
        <w:t xml:space="preserve">G-3624 </w:t>
      </w:r>
      <w:r w:rsidR="00C72C5E" w:rsidRPr="00E50573">
        <w:rPr>
          <w:rFonts w:ascii="Palatino Linotype" w:hAnsi="Palatino Linotype"/>
        </w:rPr>
        <w:t xml:space="preserve">Appendix </w:t>
      </w:r>
      <w:r w:rsidR="00F5463F">
        <w:rPr>
          <w:rFonts w:ascii="Palatino Linotype" w:hAnsi="Palatino Linotype"/>
        </w:rPr>
        <w:t>G</w:t>
      </w:r>
      <w:r w:rsidR="00C72C5E" w:rsidRPr="00E50573">
        <w:rPr>
          <w:rFonts w:ascii="Palatino Linotype" w:hAnsi="Palatino Linotype"/>
        </w:rPr>
        <w:t xml:space="preserve"> at </w:t>
      </w:r>
      <w:r w:rsidR="00F95222" w:rsidRPr="00E50573">
        <w:rPr>
          <w:rFonts w:ascii="Palatino Linotype" w:hAnsi="Palatino Linotype"/>
        </w:rPr>
        <w:t xml:space="preserve">CPUC </w:t>
      </w:r>
      <w:r w:rsidR="00F95222" w:rsidRPr="00825903">
        <w:rPr>
          <w:rFonts w:ascii="Palatino Linotype" w:hAnsi="Palatino Linotype"/>
        </w:rPr>
        <w:t>Requirement</w:t>
      </w:r>
      <w:r w:rsidR="00EF5C6C" w:rsidRPr="00825903">
        <w:rPr>
          <w:rFonts w:ascii="Palatino Linotype" w:hAnsi="Palatino Linotype"/>
        </w:rPr>
        <w:t xml:space="preserve"> [</w:t>
      </w:r>
      <w:r w:rsidR="00E50573" w:rsidRPr="00825903">
        <w:rPr>
          <w:rFonts w:ascii="Palatino Linotype" w:hAnsi="Palatino Linotype"/>
        </w:rPr>
        <w:t>2</w:t>
      </w:r>
      <w:r w:rsidR="00825903" w:rsidRPr="00825903">
        <w:rPr>
          <w:rFonts w:ascii="Palatino Linotype" w:hAnsi="Palatino Linotype"/>
        </w:rPr>
        <w:t>5</w:t>
      </w:r>
      <w:r w:rsidR="00EF5C6C" w:rsidRPr="00825903">
        <w:rPr>
          <w:rFonts w:ascii="Palatino Linotype" w:hAnsi="Palatino Linotype"/>
        </w:rPr>
        <w:t>]</w:t>
      </w:r>
      <w:r w:rsidR="00EF5C6C" w:rsidRPr="00E50573">
        <w:rPr>
          <w:rFonts w:ascii="Palatino Linotype" w:hAnsi="Palatino Linotype"/>
        </w:rPr>
        <w:t xml:space="preserve"> </w:t>
      </w:r>
      <w:r w:rsidR="00C72C5E" w:rsidRPr="00E50573">
        <w:rPr>
          <w:rFonts w:ascii="Palatino Linotype" w:hAnsi="Palatino Linotype"/>
        </w:rPr>
        <w:t xml:space="preserve">for AL 6495-G-A </w:t>
      </w:r>
      <w:r w:rsidR="00EF5C6C" w:rsidRPr="00E50573">
        <w:rPr>
          <w:rFonts w:ascii="Palatino Linotype" w:hAnsi="Palatino Linotype"/>
        </w:rPr>
        <w:t xml:space="preserve">and </w:t>
      </w:r>
      <w:r w:rsidR="00C72C5E" w:rsidRPr="00E50573">
        <w:rPr>
          <w:rFonts w:ascii="Palatino Linotype" w:hAnsi="Palatino Linotype"/>
        </w:rPr>
        <w:t xml:space="preserve">Appendices </w:t>
      </w:r>
      <w:r w:rsidR="007305CD">
        <w:rPr>
          <w:rFonts w:ascii="Palatino Linotype" w:hAnsi="Palatino Linotype"/>
        </w:rPr>
        <w:t>H</w:t>
      </w:r>
      <w:r w:rsidR="00C72C5E" w:rsidRPr="00E50573">
        <w:rPr>
          <w:rFonts w:ascii="Palatino Linotype" w:hAnsi="Palatino Linotype"/>
        </w:rPr>
        <w:t>-</w:t>
      </w:r>
      <w:r w:rsidR="007305CD">
        <w:rPr>
          <w:rFonts w:ascii="Palatino Linotype" w:hAnsi="Palatino Linotype"/>
        </w:rPr>
        <w:t>J</w:t>
      </w:r>
      <w:r w:rsidR="00C72C5E" w:rsidRPr="00E50573">
        <w:rPr>
          <w:rFonts w:ascii="Palatino Linotype" w:hAnsi="Palatino Linotype"/>
        </w:rPr>
        <w:t xml:space="preserve"> </w:t>
      </w:r>
      <w:r w:rsidR="00562A0D" w:rsidRPr="00E50573">
        <w:rPr>
          <w:rFonts w:ascii="Palatino Linotype" w:hAnsi="Palatino Linotype"/>
          <w:color w:val="000000" w:themeColor="text1"/>
        </w:rPr>
        <w:t>at</w:t>
      </w:r>
      <w:r w:rsidR="00C72C5E" w:rsidRPr="00E50573">
        <w:rPr>
          <w:rFonts w:ascii="Palatino Linotype" w:hAnsi="Palatino Linotype"/>
          <w:color w:val="000000" w:themeColor="text1"/>
        </w:rPr>
        <w:t xml:space="preserve"> CPUC </w:t>
      </w:r>
      <w:r w:rsidR="00C72C5E" w:rsidRPr="00825903">
        <w:rPr>
          <w:rFonts w:ascii="Palatino Linotype" w:hAnsi="Palatino Linotype"/>
          <w:color w:val="000000" w:themeColor="text1"/>
        </w:rPr>
        <w:t xml:space="preserve">Requirement </w:t>
      </w:r>
      <w:r w:rsidR="00C72C5E" w:rsidRPr="00825903">
        <w:rPr>
          <w:rFonts w:ascii="Palatino Linotype" w:hAnsi="Palatino Linotype"/>
        </w:rPr>
        <w:t>[</w:t>
      </w:r>
      <w:r w:rsidR="00E50573" w:rsidRPr="00825903">
        <w:rPr>
          <w:rFonts w:ascii="Palatino Linotype" w:hAnsi="Palatino Linotype"/>
        </w:rPr>
        <w:t>2</w:t>
      </w:r>
      <w:r w:rsidR="00825903" w:rsidRPr="00825903">
        <w:rPr>
          <w:rFonts w:ascii="Palatino Linotype" w:hAnsi="Palatino Linotype"/>
        </w:rPr>
        <w:t>3</w:t>
      </w:r>
      <w:r w:rsidR="00C72C5E" w:rsidRPr="00825903">
        <w:rPr>
          <w:rFonts w:ascii="Palatino Linotype" w:hAnsi="Palatino Linotype"/>
        </w:rPr>
        <w:t>]</w:t>
      </w:r>
      <w:r w:rsidR="00C72C5E" w:rsidRPr="00E50573">
        <w:rPr>
          <w:rFonts w:ascii="Palatino Linotype" w:hAnsi="Palatino Linotype"/>
        </w:rPr>
        <w:t xml:space="preserve"> for </w:t>
      </w:r>
      <w:r w:rsidR="00EF5C6C" w:rsidRPr="00E50573">
        <w:rPr>
          <w:rFonts w:ascii="Palatino Linotype" w:hAnsi="Palatino Linotype"/>
        </w:rPr>
        <w:t>AL</w:t>
      </w:r>
      <w:r w:rsidR="00C72C5E" w:rsidRPr="00E50573">
        <w:rPr>
          <w:rFonts w:ascii="Palatino Linotype" w:hAnsi="Palatino Linotype"/>
        </w:rPr>
        <w:t>s</w:t>
      </w:r>
      <w:r w:rsidR="00FE4E62" w:rsidRPr="00E50573">
        <w:rPr>
          <w:rFonts w:ascii="Palatino Linotype" w:hAnsi="Palatino Linotype"/>
        </w:rPr>
        <w:t xml:space="preserve"> 6496-G-A, </w:t>
      </w:r>
      <w:r w:rsidR="00EF5C6C" w:rsidRPr="00E50573">
        <w:rPr>
          <w:rFonts w:ascii="Palatino Linotype" w:hAnsi="Palatino Linotype"/>
          <w:color w:val="000000" w:themeColor="text1"/>
        </w:rPr>
        <w:t>6645-</w:t>
      </w:r>
      <w:r w:rsidR="00FE4E62" w:rsidRPr="00E50573">
        <w:rPr>
          <w:rFonts w:ascii="Palatino Linotype" w:hAnsi="Palatino Linotype"/>
          <w:color w:val="000000" w:themeColor="text1"/>
        </w:rPr>
        <w:t xml:space="preserve">G, and </w:t>
      </w:r>
      <w:r w:rsidR="00EF5C6C" w:rsidRPr="00E50573">
        <w:rPr>
          <w:rFonts w:ascii="Palatino Linotype" w:hAnsi="Palatino Linotype"/>
          <w:color w:val="000000" w:themeColor="text1"/>
        </w:rPr>
        <w:t>6646-</w:t>
      </w:r>
      <w:r w:rsidR="00FE4E62" w:rsidRPr="00E50573">
        <w:rPr>
          <w:rFonts w:ascii="Palatino Linotype" w:hAnsi="Palatino Linotype"/>
          <w:color w:val="000000" w:themeColor="text1"/>
        </w:rPr>
        <w:t>G</w:t>
      </w:r>
      <w:r w:rsidR="00C72C5E" w:rsidRPr="00E50573">
        <w:rPr>
          <w:rFonts w:ascii="Palatino Linotype" w:hAnsi="Palatino Linotype"/>
          <w:color w:val="000000" w:themeColor="text1"/>
        </w:rPr>
        <w:t>.</w:t>
      </w:r>
    </w:p>
  </w:footnote>
  <w:footnote w:id="6">
    <w:p w14:paraId="1C7E158C" w14:textId="77777777" w:rsidR="00895CB9" w:rsidRDefault="00895CB9" w:rsidP="00895CB9">
      <w:pPr>
        <w:pStyle w:val="FootnoteText"/>
      </w:pPr>
      <w:r>
        <w:rPr>
          <w:rStyle w:val="FootnoteReference"/>
        </w:rPr>
        <w:footnoteRef/>
      </w:r>
      <w:r>
        <w:t xml:space="preserve"> </w:t>
      </w:r>
      <w:r>
        <w:rPr>
          <w:rFonts w:ascii="Palatino Linotype" w:hAnsi="Palatino Linotype"/>
        </w:rPr>
        <w:t xml:space="preserve">Consistent with </w:t>
      </w:r>
      <w:hyperlink r:id="rId4" w:history="1">
        <w:r w:rsidRPr="0084476C">
          <w:rPr>
            <w:rStyle w:val="Hyperlink"/>
            <w:rFonts w:ascii="Palatino Linotype" w:hAnsi="Palatino Linotype"/>
          </w:rPr>
          <w:t>Executive Order (EO) N-5-24</w:t>
        </w:r>
      </w:hyperlink>
      <w:r w:rsidRPr="00960D65">
        <w:rPr>
          <w:rFonts w:ascii="Palatino Linotype" w:hAnsi="Palatino Linotype"/>
        </w:rPr>
        <w:t xml:space="preserve"> (Newsom, 2024) </w:t>
      </w:r>
      <w:r>
        <w:rPr>
          <w:rFonts w:ascii="Palatino Linotype" w:hAnsi="Palatino Linotype"/>
        </w:rPr>
        <w:t>O</w:t>
      </w:r>
      <w:r w:rsidRPr="00960D65">
        <w:rPr>
          <w:rFonts w:ascii="Palatino Linotype" w:hAnsi="Palatino Linotype"/>
        </w:rPr>
        <w:t>n reducing rates</w:t>
      </w:r>
      <w:r>
        <w:rPr>
          <w:rFonts w:ascii="Palatino Linotype" w:hAnsi="Palatino Linotype"/>
        </w:rPr>
        <w:t>.</w:t>
      </w:r>
    </w:p>
  </w:footnote>
  <w:footnote w:id="7">
    <w:p w14:paraId="6CE571D0" w14:textId="2E524F2C" w:rsidR="007F2FB3" w:rsidRDefault="007F2FB3">
      <w:pPr>
        <w:pStyle w:val="FootnoteText"/>
      </w:pPr>
      <w:r>
        <w:rPr>
          <w:rStyle w:val="FootnoteReference"/>
        </w:rPr>
        <w:footnoteRef/>
      </w:r>
      <w:r>
        <w:t xml:space="preserve"> </w:t>
      </w:r>
      <w:hyperlink r:id="rId5" w:history="1">
        <w:r w:rsidRPr="00933A55">
          <w:rPr>
            <w:rStyle w:val="Hyperlink"/>
            <w:rFonts w:ascii="Palatino Linotype" w:hAnsi="Palatino Linotype"/>
            <w:szCs w:val="16"/>
          </w:rPr>
          <w:t>D.19-09-051</w:t>
        </w:r>
      </w:hyperlink>
      <w:r>
        <w:rPr>
          <w:rFonts w:ascii="Palatino Linotype" w:hAnsi="Palatino Linotype"/>
          <w:color w:val="000000" w:themeColor="text1"/>
          <w:szCs w:val="16"/>
        </w:rPr>
        <w:t xml:space="preserve"> at p. 374 &amp; 377.</w:t>
      </w:r>
    </w:p>
  </w:footnote>
  <w:footnote w:id="8">
    <w:p w14:paraId="03CADC47" w14:textId="77777777" w:rsidR="00EA3092" w:rsidRDefault="00EA3092" w:rsidP="00EA3092">
      <w:pPr>
        <w:pStyle w:val="FootnoteText"/>
      </w:pPr>
      <w:r w:rsidRPr="004C4E7D">
        <w:rPr>
          <w:rStyle w:val="FootnoteReference"/>
          <w:color w:val="000000" w:themeColor="text1"/>
        </w:rPr>
        <w:footnoteRef/>
      </w:r>
      <w:r w:rsidRPr="004C4E7D">
        <w:rPr>
          <w:color w:val="000000" w:themeColor="text1"/>
        </w:rPr>
        <w:t xml:space="preserve"> </w:t>
      </w:r>
      <w:hyperlink r:id="rId6" w:history="1">
        <w:r w:rsidRPr="00933A55">
          <w:rPr>
            <w:rStyle w:val="Hyperlink"/>
            <w:rFonts w:ascii="Palatino Linotype" w:hAnsi="Palatino Linotype"/>
            <w:szCs w:val="16"/>
          </w:rPr>
          <w:t>D.19-09-051</w:t>
        </w:r>
      </w:hyperlink>
      <w:r>
        <w:rPr>
          <w:rFonts w:ascii="Palatino Linotype" w:hAnsi="Palatino Linotype"/>
          <w:color w:val="000000" w:themeColor="text1"/>
          <w:szCs w:val="16"/>
        </w:rPr>
        <w:t xml:space="preserve"> at p. 377-379.</w:t>
      </w:r>
    </w:p>
  </w:footnote>
  <w:footnote w:id="9">
    <w:p w14:paraId="60D5295D" w14:textId="7725954D" w:rsidR="00212911" w:rsidRDefault="00212911">
      <w:pPr>
        <w:pStyle w:val="FootnoteText"/>
      </w:pPr>
      <w:r>
        <w:rPr>
          <w:rStyle w:val="FootnoteReference"/>
        </w:rPr>
        <w:footnoteRef/>
      </w:r>
      <w:r>
        <w:t xml:space="preserve"> </w:t>
      </w:r>
      <w:r w:rsidRPr="00CF1411">
        <w:rPr>
          <w:rFonts w:ascii="Palatino Linotype" w:hAnsi="Palatino Linotype"/>
        </w:rPr>
        <w:t xml:space="preserve">The Commission’s compliance assessment of the requirement for SoCalGas to </w:t>
      </w:r>
      <w:r w:rsidR="00EB6440">
        <w:rPr>
          <w:rFonts w:ascii="Palatino Linotype" w:hAnsi="Palatino Linotype"/>
        </w:rPr>
        <w:t xml:space="preserve">meet these objectives </w:t>
      </w:r>
      <w:r w:rsidRPr="00CF1411">
        <w:rPr>
          <w:rFonts w:ascii="Palatino Linotype" w:hAnsi="Palatino Linotype"/>
        </w:rPr>
        <w:t xml:space="preserve">is captured in </w:t>
      </w:r>
      <w:r w:rsidR="00190664">
        <w:rPr>
          <w:rFonts w:ascii="Palatino Linotype" w:hAnsi="Palatino Linotype"/>
        </w:rPr>
        <w:t xml:space="preserve">Resolution </w:t>
      </w:r>
      <w:r w:rsidR="00190664">
        <w:rPr>
          <w:rFonts w:ascii="Palatino Linotype" w:eastAsia="Times New Roman" w:hAnsi="Palatino Linotype" w:cs="Times New Roman"/>
          <w:kern w:val="0"/>
          <w14:ligatures w14:val="none"/>
        </w:rPr>
        <w:t xml:space="preserve">G-3624 </w:t>
      </w:r>
      <w:r w:rsidRPr="00CF1411">
        <w:rPr>
          <w:rFonts w:ascii="Palatino Linotype" w:hAnsi="Palatino Linotype"/>
        </w:rPr>
        <w:t xml:space="preserve">Appendix </w:t>
      </w:r>
      <w:r>
        <w:rPr>
          <w:rFonts w:ascii="Palatino Linotype" w:hAnsi="Palatino Linotype"/>
        </w:rPr>
        <w:t>G</w:t>
      </w:r>
      <w:r w:rsidRPr="00CF1411">
        <w:rPr>
          <w:rFonts w:ascii="Palatino Linotype" w:hAnsi="Palatino Linotype"/>
        </w:rPr>
        <w:t xml:space="preserve"> at CPUC Requirement [</w:t>
      </w:r>
      <w:r w:rsidR="00B27C16">
        <w:rPr>
          <w:rFonts w:ascii="Palatino Linotype" w:hAnsi="Palatino Linotype"/>
        </w:rPr>
        <w:t>8</w:t>
      </w:r>
      <w:r w:rsidRPr="00CF1411">
        <w:rPr>
          <w:rFonts w:ascii="Palatino Linotype" w:hAnsi="Palatino Linotype"/>
        </w:rPr>
        <w:t>] &amp; [</w:t>
      </w:r>
      <w:r>
        <w:rPr>
          <w:rFonts w:ascii="Palatino Linotype" w:hAnsi="Palatino Linotype"/>
        </w:rPr>
        <w:t>2</w:t>
      </w:r>
      <w:r w:rsidR="00A26657">
        <w:rPr>
          <w:rFonts w:ascii="Palatino Linotype" w:hAnsi="Palatino Linotype"/>
        </w:rPr>
        <w:t>1</w:t>
      </w:r>
      <w:r w:rsidRPr="00CF1411">
        <w:rPr>
          <w:rFonts w:ascii="Palatino Linotype" w:hAnsi="Palatino Linotype"/>
        </w:rPr>
        <w:t xml:space="preserve">] for AL 6495-G-A and Appendices </w:t>
      </w:r>
      <w:r>
        <w:rPr>
          <w:rFonts w:ascii="Palatino Linotype" w:hAnsi="Palatino Linotype"/>
        </w:rPr>
        <w:t>H-J</w:t>
      </w:r>
      <w:r w:rsidRPr="00CF1411">
        <w:rPr>
          <w:rFonts w:ascii="Palatino Linotype" w:hAnsi="Palatino Linotype"/>
        </w:rPr>
        <w:t xml:space="preserve"> </w:t>
      </w:r>
      <w:r w:rsidRPr="00CF1411">
        <w:rPr>
          <w:rFonts w:ascii="Palatino Linotype" w:hAnsi="Palatino Linotype"/>
          <w:color w:val="000000" w:themeColor="text1"/>
        </w:rPr>
        <w:t xml:space="preserve">at CPUC Requirement </w:t>
      </w:r>
      <w:r w:rsidRPr="00CF1411">
        <w:rPr>
          <w:rFonts w:ascii="Palatino Linotype" w:hAnsi="Palatino Linotype"/>
        </w:rPr>
        <w:t>[</w:t>
      </w:r>
      <w:r w:rsidR="00AD4D99">
        <w:rPr>
          <w:rFonts w:ascii="Palatino Linotype" w:hAnsi="Palatino Linotype"/>
        </w:rPr>
        <w:t>8</w:t>
      </w:r>
      <w:r w:rsidRPr="00CF1411">
        <w:rPr>
          <w:rFonts w:ascii="Palatino Linotype" w:hAnsi="Palatino Linotype"/>
        </w:rPr>
        <w:t>] &amp; [</w:t>
      </w:r>
      <w:r w:rsidR="00CA0AFF">
        <w:rPr>
          <w:rFonts w:ascii="Palatino Linotype" w:hAnsi="Palatino Linotype"/>
        </w:rPr>
        <w:t>1</w:t>
      </w:r>
      <w:r w:rsidR="00AD4D99">
        <w:rPr>
          <w:rFonts w:ascii="Palatino Linotype" w:hAnsi="Palatino Linotype"/>
        </w:rPr>
        <w:t>9</w:t>
      </w:r>
      <w:r w:rsidRPr="00CF1411">
        <w:rPr>
          <w:rFonts w:ascii="Palatino Linotype" w:hAnsi="Palatino Linotype"/>
        </w:rPr>
        <w:t xml:space="preserve">] for ALs 6496-G-A, </w:t>
      </w:r>
      <w:r w:rsidRPr="00CF1411">
        <w:rPr>
          <w:rFonts w:ascii="Palatino Linotype" w:hAnsi="Palatino Linotype"/>
          <w:color w:val="000000" w:themeColor="text1"/>
        </w:rPr>
        <w:t>6645-G, and 6646-G.</w:t>
      </w:r>
    </w:p>
  </w:footnote>
  <w:footnote w:id="10">
    <w:p w14:paraId="6DC99A69" w14:textId="1BF61208" w:rsidR="00C5008C" w:rsidRPr="00C5018E" w:rsidRDefault="00C5008C">
      <w:pPr>
        <w:pStyle w:val="FootnoteText"/>
        <w:rPr>
          <w:rFonts w:ascii="Palatino Linotype" w:hAnsi="Palatino Linotype"/>
        </w:rPr>
      </w:pPr>
      <w:r>
        <w:rPr>
          <w:rStyle w:val="FootnoteReference"/>
        </w:rPr>
        <w:footnoteRef/>
      </w:r>
      <w:r>
        <w:t xml:space="preserve"> </w:t>
      </w:r>
      <w:hyperlink r:id="rId7" w:history="1">
        <w:r w:rsidRPr="00933A55">
          <w:rPr>
            <w:rStyle w:val="Hyperlink"/>
            <w:rFonts w:ascii="Palatino Linotype" w:hAnsi="Palatino Linotype"/>
            <w:szCs w:val="16"/>
          </w:rPr>
          <w:t>D.19-09-051</w:t>
        </w:r>
      </w:hyperlink>
      <w:r>
        <w:rPr>
          <w:rFonts w:ascii="Palatino Linotype" w:hAnsi="Palatino Linotype"/>
          <w:color w:val="000000" w:themeColor="text1"/>
          <w:szCs w:val="16"/>
        </w:rPr>
        <w:t xml:space="preserve"> at p. </w:t>
      </w:r>
      <w:r w:rsidR="008F33F1">
        <w:rPr>
          <w:rFonts w:ascii="Palatino Linotype" w:hAnsi="Palatino Linotype"/>
          <w:color w:val="000000" w:themeColor="text1"/>
          <w:szCs w:val="16"/>
        </w:rPr>
        <w:t>378-</w:t>
      </w:r>
      <w:r>
        <w:rPr>
          <w:rFonts w:ascii="Palatino Linotype" w:hAnsi="Palatino Linotype"/>
          <w:color w:val="000000" w:themeColor="text1"/>
          <w:szCs w:val="16"/>
        </w:rPr>
        <w:t>379</w:t>
      </w:r>
      <w:r w:rsidRPr="00CF1411">
        <w:rPr>
          <w:rFonts w:ascii="Palatino Linotype" w:hAnsi="Palatino Linotype"/>
          <w:color w:val="000000" w:themeColor="text1"/>
          <w:szCs w:val="16"/>
        </w:rPr>
        <w:t>.</w:t>
      </w:r>
      <w:r w:rsidR="00135184" w:rsidRPr="00CF1411">
        <w:rPr>
          <w:rFonts w:ascii="Palatino Linotype" w:hAnsi="Palatino Linotype"/>
          <w:color w:val="000000" w:themeColor="text1"/>
          <w:szCs w:val="16"/>
        </w:rPr>
        <w:t xml:space="preserve"> </w:t>
      </w:r>
      <w:r w:rsidR="007C5EE5" w:rsidRPr="00CF1411">
        <w:rPr>
          <w:rFonts w:ascii="Palatino Linotype" w:hAnsi="Palatino Linotype"/>
        </w:rPr>
        <w:t xml:space="preserve">The Commission’s compliance assessment of the requirement for SoCalGas to incorporate feedback from Commission staff </w:t>
      </w:r>
      <w:r w:rsidR="007C5EE5">
        <w:rPr>
          <w:rFonts w:ascii="Palatino Linotype" w:hAnsi="Palatino Linotype"/>
        </w:rPr>
        <w:t xml:space="preserve">and </w:t>
      </w:r>
      <w:r w:rsidR="007C5EE5" w:rsidRPr="00CF1411">
        <w:rPr>
          <w:rFonts w:ascii="Palatino Linotype" w:hAnsi="Palatino Linotype"/>
        </w:rPr>
        <w:t xml:space="preserve">workshop stakeholders is captured in </w:t>
      </w:r>
      <w:r w:rsidR="007C5EE5">
        <w:rPr>
          <w:rFonts w:ascii="Palatino Linotype" w:hAnsi="Palatino Linotype"/>
        </w:rPr>
        <w:t xml:space="preserve">Resolution </w:t>
      </w:r>
      <w:r w:rsidR="009A5EBF">
        <w:rPr>
          <w:rFonts w:ascii="Palatino Linotype" w:hAnsi="Palatino Linotype"/>
        </w:rPr>
        <w:br/>
      </w:r>
      <w:r w:rsidR="007C5EE5">
        <w:rPr>
          <w:rFonts w:ascii="Palatino Linotype" w:eastAsia="Times New Roman" w:hAnsi="Palatino Linotype" w:cs="Times New Roman"/>
          <w:kern w:val="0"/>
          <w14:ligatures w14:val="none"/>
        </w:rPr>
        <w:t xml:space="preserve">G-3624 </w:t>
      </w:r>
      <w:r w:rsidR="007C5EE5" w:rsidRPr="00CF1411">
        <w:rPr>
          <w:rFonts w:ascii="Palatino Linotype" w:hAnsi="Palatino Linotype"/>
        </w:rPr>
        <w:t xml:space="preserve">Appendix </w:t>
      </w:r>
      <w:r w:rsidR="007C5EE5">
        <w:rPr>
          <w:rFonts w:ascii="Palatino Linotype" w:hAnsi="Palatino Linotype"/>
        </w:rPr>
        <w:t>G</w:t>
      </w:r>
      <w:r w:rsidR="007C5EE5" w:rsidRPr="00CF1411">
        <w:rPr>
          <w:rFonts w:ascii="Palatino Linotype" w:hAnsi="Palatino Linotype"/>
        </w:rPr>
        <w:t xml:space="preserve"> at CPUC Requirement [</w:t>
      </w:r>
      <w:r w:rsidR="007C5EE5">
        <w:rPr>
          <w:rFonts w:ascii="Palatino Linotype" w:hAnsi="Palatino Linotype"/>
        </w:rPr>
        <w:t>17</w:t>
      </w:r>
      <w:r w:rsidR="007C5EE5" w:rsidRPr="00CF1411">
        <w:rPr>
          <w:rFonts w:ascii="Palatino Linotype" w:hAnsi="Palatino Linotype"/>
        </w:rPr>
        <w:t>] &amp; [</w:t>
      </w:r>
      <w:r w:rsidR="007C5EE5">
        <w:rPr>
          <w:rFonts w:ascii="Palatino Linotype" w:hAnsi="Palatino Linotype"/>
        </w:rPr>
        <w:t>20</w:t>
      </w:r>
      <w:r w:rsidR="007C5EE5" w:rsidRPr="00CF1411">
        <w:rPr>
          <w:rFonts w:ascii="Palatino Linotype" w:hAnsi="Palatino Linotype"/>
        </w:rPr>
        <w:t xml:space="preserve">] for AL 6495-G-A and Appendices </w:t>
      </w:r>
      <w:r w:rsidR="007C5EE5">
        <w:rPr>
          <w:rFonts w:ascii="Palatino Linotype" w:hAnsi="Palatino Linotype"/>
        </w:rPr>
        <w:t>H-J</w:t>
      </w:r>
      <w:r w:rsidR="007C5EE5" w:rsidRPr="00CF1411">
        <w:rPr>
          <w:rFonts w:ascii="Palatino Linotype" w:hAnsi="Palatino Linotype"/>
        </w:rPr>
        <w:t xml:space="preserve"> </w:t>
      </w:r>
      <w:r w:rsidR="007C5EE5" w:rsidRPr="00CF1411">
        <w:rPr>
          <w:rFonts w:ascii="Palatino Linotype" w:hAnsi="Palatino Linotype"/>
          <w:color w:val="000000" w:themeColor="text1"/>
        </w:rPr>
        <w:t xml:space="preserve">at CPUC Requirement </w:t>
      </w:r>
      <w:r w:rsidR="007C5EE5" w:rsidRPr="00CF1411">
        <w:rPr>
          <w:rFonts w:ascii="Palatino Linotype" w:hAnsi="Palatino Linotype"/>
        </w:rPr>
        <w:t>[1</w:t>
      </w:r>
      <w:r w:rsidR="007C5EE5">
        <w:rPr>
          <w:rFonts w:ascii="Palatino Linotype" w:hAnsi="Palatino Linotype"/>
        </w:rPr>
        <w:t>5</w:t>
      </w:r>
      <w:r w:rsidR="007C5EE5" w:rsidRPr="00CF1411">
        <w:rPr>
          <w:rFonts w:ascii="Palatino Linotype" w:hAnsi="Palatino Linotype"/>
        </w:rPr>
        <w:t>] &amp; [</w:t>
      </w:r>
      <w:r w:rsidR="007C5EE5">
        <w:rPr>
          <w:rFonts w:ascii="Palatino Linotype" w:hAnsi="Palatino Linotype"/>
        </w:rPr>
        <w:t>18</w:t>
      </w:r>
      <w:r w:rsidR="007C5EE5" w:rsidRPr="00CF1411">
        <w:rPr>
          <w:rFonts w:ascii="Palatino Linotype" w:hAnsi="Palatino Linotype"/>
        </w:rPr>
        <w:t xml:space="preserve">] for ALs 6496-G-A, </w:t>
      </w:r>
      <w:r w:rsidR="007C5EE5" w:rsidRPr="00CF1411">
        <w:rPr>
          <w:rFonts w:ascii="Palatino Linotype" w:hAnsi="Palatino Linotype"/>
          <w:color w:val="000000" w:themeColor="text1"/>
        </w:rPr>
        <w:t>6645-G, and 6646-G.</w:t>
      </w:r>
    </w:p>
  </w:footnote>
  <w:footnote w:id="11">
    <w:p w14:paraId="7526CC8F" w14:textId="6E980C23" w:rsidR="00DA7F60" w:rsidRDefault="00DA7F60" w:rsidP="00DA7F60">
      <w:pPr>
        <w:pStyle w:val="FootnoteText"/>
      </w:pPr>
      <w:r>
        <w:rPr>
          <w:rStyle w:val="FootnoteReference"/>
        </w:rPr>
        <w:footnoteRef/>
      </w:r>
      <w:r>
        <w:t xml:space="preserve"> </w:t>
      </w:r>
      <w:hyperlink r:id="rId8" w:history="1">
        <w:r w:rsidRPr="00C73E2D">
          <w:rPr>
            <w:rStyle w:val="Hyperlink"/>
            <w:rFonts w:ascii="Palatino Linotype" w:hAnsi="Palatino Linotype"/>
          </w:rPr>
          <w:t>D.24-12-074</w:t>
        </w:r>
      </w:hyperlink>
      <w:r w:rsidRPr="00C73E2D">
        <w:rPr>
          <w:rFonts w:ascii="Palatino Linotype" w:hAnsi="Palatino Linotype"/>
        </w:rPr>
        <w:t xml:space="preserve"> at p</w:t>
      </w:r>
      <w:r>
        <w:rPr>
          <w:rFonts w:ascii="Palatino Linotype" w:hAnsi="Palatino Linotype"/>
        </w:rPr>
        <w:t>. 32</w:t>
      </w:r>
      <w:r w:rsidR="00214F12">
        <w:rPr>
          <w:rFonts w:ascii="Palatino Linotype" w:hAnsi="Palatino Linotype"/>
        </w:rPr>
        <w:t>7</w:t>
      </w:r>
      <w:r>
        <w:rPr>
          <w:rFonts w:ascii="Palatino Linotype" w:hAnsi="Palatino Linotype"/>
        </w:rPr>
        <w:t>-330.</w:t>
      </w:r>
    </w:p>
  </w:footnote>
  <w:footnote w:id="12">
    <w:p w14:paraId="7562B613" w14:textId="134E169A" w:rsidR="00C73E2D" w:rsidRDefault="00C73E2D">
      <w:pPr>
        <w:pStyle w:val="FootnoteText"/>
      </w:pPr>
      <w:r>
        <w:rPr>
          <w:rStyle w:val="FootnoteReference"/>
        </w:rPr>
        <w:footnoteRef/>
      </w:r>
      <w:r>
        <w:t xml:space="preserve"> </w:t>
      </w:r>
      <w:hyperlink r:id="rId9" w:history="1">
        <w:r w:rsidR="00BD648C" w:rsidRPr="00C73E2D">
          <w:rPr>
            <w:rStyle w:val="Hyperlink"/>
            <w:rFonts w:ascii="Palatino Linotype" w:hAnsi="Palatino Linotype"/>
          </w:rPr>
          <w:t>D.24-12-074</w:t>
        </w:r>
      </w:hyperlink>
      <w:r w:rsidR="00BD648C" w:rsidRPr="00C73E2D">
        <w:rPr>
          <w:rFonts w:ascii="Palatino Linotype" w:hAnsi="Palatino Linotype"/>
        </w:rPr>
        <w:t xml:space="preserve"> at </w:t>
      </w:r>
      <w:r w:rsidRPr="00C73E2D">
        <w:rPr>
          <w:rFonts w:ascii="Palatino Linotype" w:hAnsi="Palatino Linotype"/>
        </w:rPr>
        <w:t>p. 32</w:t>
      </w:r>
      <w:r w:rsidR="000B3B59">
        <w:rPr>
          <w:rFonts w:ascii="Palatino Linotype" w:hAnsi="Palatino Linotype"/>
        </w:rPr>
        <w:t>7</w:t>
      </w:r>
      <w:r w:rsidR="001023B9">
        <w:rPr>
          <w:rFonts w:ascii="Palatino Linotype" w:hAnsi="Palatino Linotype"/>
        </w:rPr>
        <w:t>-330</w:t>
      </w:r>
      <w:r w:rsidR="004862BA">
        <w:rPr>
          <w:rFonts w:ascii="Palatino Linotype" w:hAnsi="Palatino Linotype"/>
        </w:rPr>
        <w:t xml:space="preserve"> &amp;</w:t>
      </w:r>
      <w:r w:rsidR="0016362F">
        <w:rPr>
          <w:rFonts w:ascii="Palatino Linotype" w:hAnsi="Palatino Linotype"/>
        </w:rPr>
        <w:t xml:space="preserve"> F</w:t>
      </w:r>
      <w:r w:rsidR="00DD4AB8">
        <w:rPr>
          <w:rFonts w:ascii="Palatino Linotype" w:hAnsi="Palatino Linotype"/>
        </w:rPr>
        <w:t>inding of Fact (F</w:t>
      </w:r>
      <w:r w:rsidR="00CC053B">
        <w:rPr>
          <w:rFonts w:ascii="Palatino Linotype" w:hAnsi="Palatino Linotype"/>
        </w:rPr>
        <w:t>O</w:t>
      </w:r>
      <w:r w:rsidR="0016362F">
        <w:rPr>
          <w:rFonts w:ascii="Palatino Linotype" w:hAnsi="Palatino Linotype"/>
        </w:rPr>
        <w:t>F</w:t>
      </w:r>
      <w:r w:rsidR="00DD4AB8">
        <w:rPr>
          <w:rFonts w:ascii="Palatino Linotype" w:hAnsi="Palatino Linotype"/>
        </w:rPr>
        <w:t>)</w:t>
      </w:r>
      <w:r w:rsidR="0016362F">
        <w:rPr>
          <w:rFonts w:ascii="Palatino Linotype" w:hAnsi="Palatino Linotype"/>
        </w:rPr>
        <w:t xml:space="preserve"> </w:t>
      </w:r>
      <w:r w:rsidR="00107EDB">
        <w:rPr>
          <w:rFonts w:ascii="Palatino Linotype" w:hAnsi="Palatino Linotype"/>
        </w:rPr>
        <w:t>110</w:t>
      </w:r>
      <w:r w:rsidR="004862BA">
        <w:rPr>
          <w:rFonts w:ascii="Palatino Linotype" w:hAnsi="Palatino Linotype"/>
        </w:rPr>
        <w:t>.</w:t>
      </w:r>
    </w:p>
  </w:footnote>
  <w:footnote w:id="13">
    <w:p w14:paraId="42E6F237" w14:textId="5D812A55" w:rsidR="002060E2" w:rsidRDefault="002060E2">
      <w:pPr>
        <w:pStyle w:val="FootnoteText"/>
      </w:pPr>
      <w:r>
        <w:rPr>
          <w:rStyle w:val="FootnoteReference"/>
        </w:rPr>
        <w:footnoteRef/>
      </w:r>
      <w:r>
        <w:t xml:space="preserve"> </w:t>
      </w:r>
      <w:hyperlink r:id="rId10" w:history="1">
        <w:r w:rsidR="00BD648C" w:rsidRPr="00C73E2D">
          <w:rPr>
            <w:rStyle w:val="Hyperlink"/>
            <w:rFonts w:ascii="Palatino Linotype" w:hAnsi="Palatino Linotype"/>
          </w:rPr>
          <w:t>D.24-12-074</w:t>
        </w:r>
      </w:hyperlink>
      <w:r w:rsidR="00BD648C" w:rsidRPr="00C73E2D">
        <w:rPr>
          <w:rFonts w:ascii="Palatino Linotype" w:hAnsi="Palatino Linotype"/>
        </w:rPr>
        <w:t xml:space="preserve"> at </w:t>
      </w:r>
      <w:r w:rsidRPr="00C73E2D">
        <w:rPr>
          <w:rFonts w:ascii="Palatino Linotype" w:hAnsi="Palatino Linotype"/>
        </w:rPr>
        <w:t>p.</w:t>
      </w:r>
      <w:r>
        <w:rPr>
          <w:rFonts w:ascii="Palatino Linotype" w:hAnsi="Palatino Linotype"/>
        </w:rPr>
        <w:t xml:space="preserve"> 21-24. Section 4.2. Rate Formula &amp; 4.3. Use of Recorded and Forecasted Costs.</w:t>
      </w:r>
    </w:p>
  </w:footnote>
  <w:footnote w:id="14">
    <w:p w14:paraId="591E994F" w14:textId="0224B007" w:rsidR="003D3EEF" w:rsidRPr="00ED0BF7" w:rsidRDefault="003D3EEF">
      <w:pPr>
        <w:pStyle w:val="FootnoteText"/>
        <w:rPr>
          <w:rFonts w:ascii="Palatino Linotype" w:hAnsi="Palatino Linotype"/>
        </w:rPr>
      </w:pPr>
      <w:r>
        <w:rPr>
          <w:rStyle w:val="FootnoteReference"/>
        </w:rPr>
        <w:footnoteRef/>
      </w:r>
      <w:r>
        <w:t xml:space="preserve"> </w:t>
      </w:r>
      <w:hyperlink r:id="rId11" w:history="1">
        <w:r w:rsidR="00BD648C" w:rsidRPr="00C73E2D">
          <w:rPr>
            <w:rStyle w:val="Hyperlink"/>
            <w:rFonts w:ascii="Palatino Linotype" w:hAnsi="Palatino Linotype"/>
          </w:rPr>
          <w:t>D.24-12-074</w:t>
        </w:r>
      </w:hyperlink>
      <w:r w:rsidR="00BD648C" w:rsidRPr="00C73E2D">
        <w:rPr>
          <w:rFonts w:ascii="Palatino Linotype" w:hAnsi="Palatino Linotype"/>
        </w:rPr>
        <w:t xml:space="preserve"> at </w:t>
      </w:r>
      <w:r w:rsidRPr="00C73E2D">
        <w:rPr>
          <w:rFonts w:ascii="Palatino Linotype" w:hAnsi="Palatino Linotype"/>
        </w:rPr>
        <w:t>p.</w:t>
      </w:r>
      <w:r>
        <w:rPr>
          <w:rFonts w:ascii="Palatino Linotype" w:hAnsi="Palatino Linotype"/>
        </w:rPr>
        <w:t xml:space="preserve"> </w:t>
      </w:r>
      <w:r w:rsidR="00D47BE0">
        <w:rPr>
          <w:rFonts w:ascii="Palatino Linotype" w:hAnsi="Palatino Linotype"/>
        </w:rPr>
        <w:t>895</w:t>
      </w:r>
      <w:r w:rsidR="00BC0968">
        <w:rPr>
          <w:rFonts w:ascii="Palatino Linotype" w:hAnsi="Palatino Linotype"/>
        </w:rPr>
        <w:t xml:space="preserve"> &amp; 901</w:t>
      </w:r>
      <w:r w:rsidR="00C72B2B">
        <w:rPr>
          <w:rFonts w:ascii="Palatino Linotype" w:hAnsi="Palatino Linotype"/>
        </w:rPr>
        <w:t xml:space="preserve">; </w:t>
      </w:r>
      <w:r w:rsidR="00DD4AB8">
        <w:rPr>
          <w:rFonts w:ascii="Palatino Linotype" w:hAnsi="Palatino Linotype"/>
        </w:rPr>
        <w:t>Conclusion of Law (</w:t>
      </w:r>
      <w:r w:rsidR="00C72B2B">
        <w:rPr>
          <w:rFonts w:ascii="Palatino Linotype" w:hAnsi="Palatino Linotype"/>
        </w:rPr>
        <w:t>C</w:t>
      </w:r>
      <w:r w:rsidR="00CC053B">
        <w:rPr>
          <w:rFonts w:ascii="Palatino Linotype" w:hAnsi="Palatino Linotype"/>
        </w:rPr>
        <w:t>O</w:t>
      </w:r>
      <w:r w:rsidR="00DD4AB8">
        <w:rPr>
          <w:rFonts w:ascii="Palatino Linotype" w:hAnsi="Palatino Linotype"/>
        </w:rPr>
        <w:t>L)</w:t>
      </w:r>
      <w:r w:rsidR="00C72B2B">
        <w:rPr>
          <w:rFonts w:ascii="Palatino Linotype" w:hAnsi="Palatino Linotype"/>
        </w:rPr>
        <w:t xml:space="preserve"> 305.</w:t>
      </w:r>
    </w:p>
  </w:footnote>
  <w:footnote w:id="15">
    <w:p w14:paraId="0E55A49F" w14:textId="77777777" w:rsidR="00C15850" w:rsidRDefault="00C15850" w:rsidP="00C15850">
      <w:pPr>
        <w:pStyle w:val="FootnoteText"/>
      </w:pPr>
      <w:r>
        <w:rPr>
          <w:rStyle w:val="FootnoteReference"/>
        </w:rPr>
        <w:footnoteRef/>
      </w:r>
      <w:r>
        <w:t xml:space="preserve"> </w:t>
      </w:r>
      <w:r w:rsidRPr="00C736B0">
        <w:rPr>
          <w:rFonts w:ascii="Palatino Linotype" w:hAnsi="Palatino Linotype"/>
        </w:rPr>
        <w:t>AL 649</w:t>
      </w:r>
      <w:r>
        <w:rPr>
          <w:rFonts w:ascii="Palatino Linotype" w:hAnsi="Palatino Linotype"/>
        </w:rPr>
        <w:t>5</w:t>
      </w:r>
      <w:r w:rsidRPr="00C736B0">
        <w:rPr>
          <w:rFonts w:ascii="Palatino Linotype" w:hAnsi="Palatino Linotype"/>
        </w:rPr>
        <w:t>-G-A</w:t>
      </w:r>
      <w:r>
        <w:rPr>
          <w:rFonts w:ascii="Palatino Linotype" w:hAnsi="Palatino Linotype"/>
        </w:rPr>
        <w:t xml:space="preserve"> at p. 14.</w:t>
      </w:r>
    </w:p>
  </w:footnote>
  <w:footnote w:id="16">
    <w:p w14:paraId="3D4ECC49" w14:textId="77777777" w:rsidR="00BE17A9" w:rsidRPr="007246F7" w:rsidRDefault="00BE17A9" w:rsidP="00BE17A9">
      <w:pPr>
        <w:pStyle w:val="FootnoteText"/>
        <w:rPr>
          <w:rFonts w:ascii="Palatino Linotype" w:hAnsi="Palatino Linotype"/>
        </w:rPr>
      </w:pPr>
      <w:r w:rsidRPr="007246F7">
        <w:rPr>
          <w:rStyle w:val="FootnoteReference"/>
          <w:rFonts w:ascii="Palatino Linotype" w:hAnsi="Palatino Linotype"/>
        </w:rPr>
        <w:footnoteRef/>
      </w:r>
      <w:r w:rsidRPr="007246F7">
        <w:rPr>
          <w:rFonts w:ascii="Palatino Linotype" w:hAnsi="Palatino Linotype"/>
        </w:rPr>
        <w:t xml:space="preserve"> AL 6495-G-A at p. 6 &amp; Attachment A at p. 9-10, 14, &amp; 41.</w:t>
      </w:r>
    </w:p>
  </w:footnote>
  <w:footnote w:id="17">
    <w:p w14:paraId="2A081580" w14:textId="70FEB234" w:rsidR="00502079" w:rsidRPr="007246F7" w:rsidRDefault="00502079">
      <w:pPr>
        <w:pStyle w:val="FootnoteText"/>
        <w:rPr>
          <w:rFonts w:ascii="Palatino Linotype" w:hAnsi="Palatino Linotype"/>
        </w:rPr>
      </w:pPr>
      <w:r w:rsidRPr="007246F7">
        <w:rPr>
          <w:rStyle w:val="FootnoteReference"/>
          <w:rFonts w:ascii="Palatino Linotype" w:hAnsi="Palatino Linotype"/>
        </w:rPr>
        <w:footnoteRef/>
      </w:r>
      <w:r w:rsidRPr="007246F7">
        <w:rPr>
          <w:rFonts w:ascii="Palatino Linotype" w:hAnsi="Palatino Linotype"/>
        </w:rPr>
        <w:t xml:space="preserve"> Renewable natural gas.</w:t>
      </w:r>
    </w:p>
  </w:footnote>
  <w:footnote w:id="18">
    <w:p w14:paraId="799DC54D" w14:textId="77777777" w:rsidR="002B01ED" w:rsidRDefault="002B01ED" w:rsidP="002B01ED">
      <w:pPr>
        <w:pStyle w:val="FootnoteText"/>
      </w:pPr>
      <w:r w:rsidRPr="007246F7">
        <w:rPr>
          <w:rStyle w:val="FootnoteReference"/>
          <w:rFonts w:ascii="Palatino Linotype" w:hAnsi="Palatino Linotype"/>
        </w:rPr>
        <w:footnoteRef/>
      </w:r>
      <w:r w:rsidRPr="007246F7">
        <w:rPr>
          <w:rFonts w:ascii="Palatino Linotype" w:hAnsi="Palatino Linotype"/>
        </w:rPr>
        <w:t xml:space="preserve"> AL 6495-G-A Attachment A at p. 14.</w:t>
      </w:r>
    </w:p>
  </w:footnote>
  <w:footnote w:id="19">
    <w:p w14:paraId="608CB11A" w14:textId="42B7F994" w:rsidR="00AE5447" w:rsidRDefault="00AE5447">
      <w:pPr>
        <w:pStyle w:val="FootnoteText"/>
      </w:pPr>
      <w:r>
        <w:rPr>
          <w:rStyle w:val="FootnoteReference"/>
        </w:rPr>
        <w:footnoteRef/>
      </w:r>
      <w:r>
        <w:t xml:space="preserve"> </w:t>
      </w:r>
      <w:r w:rsidRPr="0063476E">
        <w:rPr>
          <w:rFonts w:ascii="Palatino Linotype" w:hAnsi="Palatino Linotype"/>
        </w:rPr>
        <w:t>AL 6495-G-A Attachment A at p. 1</w:t>
      </w:r>
      <w:r>
        <w:rPr>
          <w:rFonts w:ascii="Palatino Linotype" w:hAnsi="Palatino Linotype"/>
        </w:rPr>
        <w:t>7-21.</w:t>
      </w:r>
    </w:p>
  </w:footnote>
  <w:footnote w:id="20">
    <w:p w14:paraId="14C733FE" w14:textId="77777777" w:rsidR="00AE5447" w:rsidRDefault="00AE5447" w:rsidP="00AE5447">
      <w:pPr>
        <w:pStyle w:val="FootnoteText"/>
      </w:pPr>
      <w:r>
        <w:rPr>
          <w:rStyle w:val="FootnoteReference"/>
        </w:rPr>
        <w:footnoteRef/>
      </w:r>
      <w:r>
        <w:t xml:space="preserve"> </w:t>
      </w:r>
      <w:r w:rsidRPr="0063476E">
        <w:rPr>
          <w:rFonts w:ascii="Palatino Linotype" w:hAnsi="Palatino Linotype"/>
        </w:rPr>
        <w:t>AL 6495-G-A Attachment A at p.</w:t>
      </w:r>
      <w:r>
        <w:rPr>
          <w:rFonts w:ascii="Palatino Linotype" w:hAnsi="Palatino Linotype"/>
        </w:rPr>
        <w:t xml:space="preserve"> 21-24.</w:t>
      </w:r>
    </w:p>
  </w:footnote>
  <w:footnote w:id="21">
    <w:p w14:paraId="4ADC38B0"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 xml:space="preserve">AL 6495-G-A Attachment A </w:t>
      </w:r>
      <w:r w:rsidRPr="0063476E">
        <w:rPr>
          <w:rFonts w:ascii="Palatino Linotype" w:hAnsi="Palatino Linotype"/>
        </w:rPr>
        <w:t>at p.</w:t>
      </w:r>
      <w:r>
        <w:rPr>
          <w:rFonts w:ascii="Palatino Linotype" w:hAnsi="Palatino Linotype"/>
        </w:rPr>
        <w:t xml:space="preserve"> 25-28.</w:t>
      </w:r>
    </w:p>
  </w:footnote>
  <w:footnote w:id="22">
    <w:p w14:paraId="387A50EC"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29-33.</w:t>
      </w:r>
    </w:p>
  </w:footnote>
  <w:footnote w:id="23">
    <w:p w14:paraId="021FB634"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33-36.</w:t>
      </w:r>
    </w:p>
  </w:footnote>
  <w:footnote w:id="24">
    <w:p w14:paraId="373F3224"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36-39.</w:t>
      </w:r>
    </w:p>
  </w:footnote>
  <w:footnote w:id="25">
    <w:p w14:paraId="5FD4A1E7" w14:textId="27483122" w:rsidR="0054393F" w:rsidRDefault="0054393F">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41.</w:t>
      </w:r>
    </w:p>
  </w:footnote>
  <w:footnote w:id="26">
    <w:p w14:paraId="56E3EFBD"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43-48.</w:t>
      </w:r>
    </w:p>
  </w:footnote>
  <w:footnote w:id="27">
    <w:p w14:paraId="614BB9BA"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48-53.</w:t>
      </w:r>
    </w:p>
  </w:footnote>
  <w:footnote w:id="28">
    <w:p w14:paraId="058D5888"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53-58.</w:t>
      </w:r>
    </w:p>
  </w:footnote>
  <w:footnote w:id="29">
    <w:p w14:paraId="5A8E4FB7" w14:textId="77777777" w:rsidR="002953A9" w:rsidRDefault="002953A9" w:rsidP="002953A9">
      <w:pPr>
        <w:pStyle w:val="FootnoteText"/>
      </w:pPr>
      <w:r>
        <w:rPr>
          <w:rStyle w:val="FootnoteReference"/>
        </w:rPr>
        <w:footnoteRef/>
      </w:r>
      <w:r>
        <w:t xml:space="preserve"> </w:t>
      </w:r>
      <w:r w:rsidRPr="0063476E">
        <w:rPr>
          <w:rFonts w:ascii="Palatino Linotype" w:hAnsi="Palatino Linotype"/>
        </w:rPr>
        <w:t>AL 6495-G-A Attachment A at</w:t>
      </w:r>
      <w:r>
        <w:rPr>
          <w:rFonts w:ascii="Palatino Linotype" w:hAnsi="Palatino Linotype"/>
        </w:rPr>
        <w:t xml:space="preserve"> p. 59-62.</w:t>
      </w:r>
    </w:p>
  </w:footnote>
  <w:footnote w:id="30">
    <w:p w14:paraId="435242A7" w14:textId="79858A8C" w:rsidR="00A72DB6" w:rsidRDefault="00A72DB6">
      <w:pPr>
        <w:pStyle w:val="FootnoteText"/>
      </w:pPr>
      <w:r>
        <w:rPr>
          <w:rStyle w:val="FootnoteReference"/>
        </w:rPr>
        <w:footnoteRef/>
      </w:r>
      <w:r>
        <w:t xml:space="preserve"> </w:t>
      </w:r>
      <w:r w:rsidRPr="00C736B0">
        <w:rPr>
          <w:rFonts w:ascii="Palatino Linotype" w:hAnsi="Palatino Linotype"/>
        </w:rPr>
        <w:t>AL 6495-G-A at p. 6</w:t>
      </w:r>
      <w:r>
        <w:rPr>
          <w:rFonts w:ascii="Palatino Linotype" w:hAnsi="Palatino Linotype"/>
        </w:rPr>
        <w:t xml:space="preserve"> &amp; Attachment A at p. 9</w:t>
      </w:r>
      <w:r w:rsidR="00D651B8">
        <w:rPr>
          <w:rFonts w:ascii="Palatino Linotype" w:hAnsi="Palatino Linotype"/>
        </w:rPr>
        <w:t xml:space="preserve"> &amp; 11-12.</w:t>
      </w:r>
    </w:p>
  </w:footnote>
  <w:footnote w:id="31">
    <w:p w14:paraId="2B2787AA" w14:textId="4AE65CD4" w:rsidR="00A72DB6" w:rsidRDefault="00A72DB6">
      <w:pPr>
        <w:pStyle w:val="FootnoteText"/>
      </w:pPr>
      <w:r>
        <w:rPr>
          <w:rStyle w:val="FootnoteReference"/>
        </w:rPr>
        <w:footnoteRef/>
      </w:r>
      <w:r>
        <w:t xml:space="preserve"> </w:t>
      </w:r>
      <w:r w:rsidRPr="00C736B0">
        <w:rPr>
          <w:rFonts w:ascii="Palatino Linotype" w:hAnsi="Palatino Linotype"/>
        </w:rPr>
        <w:t>AL 6495-G-A at p. 6</w:t>
      </w:r>
      <w:r>
        <w:rPr>
          <w:rFonts w:ascii="Palatino Linotype" w:hAnsi="Palatino Linotype"/>
        </w:rPr>
        <w:t xml:space="preserve"> &amp; Attachment A at p. 9</w:t>
      </w:r>
      <w:r w:rsidR="00103BC8">
        <w:rPr>
          <w:rFonts w:ascii="Palatino Linotype" w:hAnsi="Palatino Linotype"/>
        </w:rPr>
        <w:t xml:space="preserve"> &amp; 11-12.</w:t>
      </w:r>
    </w:p>
  </w:footnote>
  <w:footnote w:id="32">
    <w:p w14:paraId="3C15BADA" w14:textId="77777777" w:rsidR="00A72DB6" w:rsidRDefault="00A72DB6" w:rsidP="00A72DB6">
      <w:pPr>
        <w:pStyle w:val="FootnoteText"/>
      </w:pPr>
      <w:r>
        <w:rPr>
          <w:rStyle w:val="FootnoteReference"/>
        </w:rPr>
        <w:footnoteRef/>
      </w:r>
      <w:r>
        <w:t xml:space="preserve"> </w:t>
      </w:r>
      <w:r w:rsidRPr="00C736B0">
        <w:rPr>
          <w:rFonts w:ascii="Palatino Linotype" w:hAnsi="Palatino Linotype"/>
        </w:rPr>
        <w:t>AL 6495-G-A at p. 6</w:t>
      </w:r>
      <w:r>
        <w:rPr>
          <w:rFonts w:ascii="Palatino Linotype" w:hAnsi="Palatino Linotype"/>
        </w:rPr>
        <w:t xml:space="preserve"> &amp; Attachment A at p. 9-10.</w:t>
      </w:r>
    </w:p>
  </w:footnote>
  <w:footnote w:id="33">
    <w:p w14:paraId="7FEBD9D3" w14:textId="77777777" w:rsidR="007740F7" w:rsidRDefault="007740F7" w:rsidP="007740F7">
      <w:pPr>
        <w:pStyle w:val="FootnoteText"/>
      </w:pPr>
      <w:r>
        <w:rPr>
          <w:rStyle w:val="FootnoteReference"/>
        </w:rPr>
        <w:footnoteRef/>
      </w:r>
      <w:r>
        <w:t xml:space="preserve"> </w:t>
      </w:r>
      <w:r w:rsidRPr="00C736B0">
        <w:rPr>
          <w:rFonts w:ascii="Palatino Linotype" w:hAnsi="Palatino Linotype"/>
        </w:rPr>
        <w:t>AL 649</w:t>
      </w:r>
      <w:r>
        <w:rPr>
          <w:rFonts w:ascii="Palatino Linotype" w:hAnsi="Palatino Linotype"/>
        </w:rPr>
        <w:t>6</w:t>
      </w:r>
      <w:r w:rsidRPr="00C736B0">
        <w:rPr>
          <w:rFonts w:ascii="Palatino Linotype" w:hAnsi="Palatino Linotype"/>
        </w:rPr>
        <w:t>-G-A at p.</w:t>
      </w:r>
      <w:r>
        <w:rPr>
          <w:rFonts w:ascii="Palatino Linotype" w:hAnsi="Palatino Linotype"/>
        </w:rPr>
        <w:t xml:space="preserve"> 13.</w:t>
      </w:r>
    </w:p>
  </w:footnote>
  <w:footnote w:id="34">
    <w:p w14:paraId="0C597A19" w14:textId="77777777" w:rsidR="00D94874" w:rsidRDefault="00D94874" w:rsidP="00D94874">
      <w:pPr>
        <w:pStyle w:val="FootnoteText"/>
      </w:pPr>
      <w:r>
        <w:rPr>
          <w:rStyle w:val="FootnoteReference"/>
        </w:rPr>
        <w:footnoteRef/>
      </w:r>
      <w:r>
        <w:t xml:space="preserve"> </w:t>
      </w:r>
      <w:r w:rsidRPr="00C736B0">
        <w:rPr>
          <w:rFonts w:ascii="Palatino Linotype" w:hAnsi="Palatino Linotype"/>
        </w:rPr>
        <w:t>AL 649</w:t>
      </w:r>
      <w:r>
        <w:rPr>
          <w:rFonts w:ascii="Palatino Linotype" w:hAnsi="Palatino Linotype"/>
        </w:rPr>
        <w:t>6</w:t>
      </w:r>
      <w:r w:rsidRPr="00C736B0">
        <w:rPr>
          <w:rFonts w:ascii="Palatino Linotype" w:hAnsi="Palatino Linotype"/>
        </w:rPr>
        <w:t>-G-A at p. 6</w:t>
      </w:r>
      <w:r>
        <w:rPr>
          <w:rFonts w:ascii="Palatino Linotype" w:hAnsi="Palatino Linotype"/>
        </w:rPr>
        <w:t xml:space="preserve"> &amp; Attachment A at p. 9-10, 13, &amp; 38.</w:t>
      </w:r>
    </w:p>
  </w:footnote>
  <w:footnote w:id="35">
    <w:p w14:paraId="386CB753" w14:textId="7AF0A1AF" w:rsidR="004A7DB6" w:rsidRDefault="004A7DB6" w:rsidP="004A7DB6">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 p. 1</w:t>
      </w:r>
      <w:r>
        <w:rPr>
          <w:rFonts w:ascii="Palatino Linotype" w:hAnsi="Palatino Linotype"/>
        </w:rPr>
        <w:t>3</w:t>
      </w:r>
      <w:r w:rsidRPr="0063476E">
        <w:rPr>
          <w:rFonts w:ascii="Palatino Linotype" w:hAnsi="Palatino Linotype"/>
        </w:rPr>
        <w:t>.</w:t>
      </w:r>
    </w:p>
  </w:footnote>
  <w:footnote w:id="36">
    <w:p w14:paraId="43361E56" w14:textId="77777777" w:rsidR="00186164" w:rsidRDefault="00186164" w:rsidP="00186164">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 p. 1</w:t>
      </w:r>
      <w:r>
        <w:rPr>
          <w:rFonts w:ascii="Palatino Linotype" w:hAnsi="Palatino Linotype"/>
        </w:rPr>
        <w:t>6-20.</w:t>
      </w:r>
    </w:p>
  </w:footnote>
  <w:footnote w:id="37">
    <w:p w14:paraId="35B82077" w14:textId="77777777" w:rsidR="00186164" w:rsidRDefault="00186164" w:rsidP="00186164">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 p.</w:t>
      </w:r>
      <w:r>
        <w:rPr>
          <w:rFonts w:ascii="Palatino Linotype" w:hAnsi="Palatino Linotype"/>
        </w:rPr>
        <w:t xml:space="preserve"> 20-24.</w:t>
      </w:r>
    </w:p>
  </w:footnote>
  <w:footnote w:id="38">
    <w:p w14:paraId="74A43DAC" w14:textId="77777777" w:rsidR="00186164" w:rsidRDefault="00186164" w:rsidP="00186164">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 p.</w:t>
      </w:r>
      <w:r>
        <w:rPr>
          <w:rFonts w:ascii="Palatino Linotype" w:hAnsi="Palatino Linotype"/>
        </w:rPr>
        <w:t xml:space="preserve"> 24-28.</w:t>
      </w:r>
    </w:p>
  </w:footnote>
  <w:footnote w:id="39">
    <w:p w14:paraId="369585C3" w14:textId="77777777" w:rsidR="00186164" w:rsidRDefault="00186164" w:rsidP="00186164">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w:t>
      </w:r>
      <w:r>
        <w:rPr>
          <w:rFonts w:ascii="Palatino Linotype" w:hAnsi="Palatino Linotype"/>
        </w:rPr>
        <w:t xml:space="preserve"> p. 29-33.</w:t>
      </w:r>
    </w:p>
  </w:footnote>
  <w:footnote w:id="40">
    <w:p w14:paraId="3ABE038B" w14:textId="77777777" w:rsidR="00186164" w:rsidRDefault="00186164" w:rsidP="00186164">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w:t>
      </w:r>
      <w:r>
        <w:rPr>
          <w:rFonts w:ascii="Palatino Linotype" w:hAnsi="Palatino Linotype"/>
        </w:rPr>
        <w:t xml:space="preserve"> p. 33-37.</w:t>
      </w:r>
    </w:p>
  </w:footnote>
  <w:footnote w:id="41">
    <w:p w14:paraId="2F161F7A" w14:textId="6E7FE0B5" w:rsidR="004A7DB6" w:rsidRDefault="004A7DB6" w:rsidP="004A7DB6">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w:t>
      </w:r>
      <w:r>
        <w:rPr>
          <w:rFonts w:ascii="Palatino Linotype" w:hAnsi="Palatino Linotype"/>
        </w:rPr>
        <w:t xml:space="preserve"> p. 38.</w:t>
      </w:r>
    </w:p>
  </w:footnote>
  <w:footnote w:id="42">
    <w:p w14:paraId="30550EF5" w14:textId="77777777" w:rsidR="00186164" w:rsidRDefault="00186164" w:rsidP="00186164">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w:t>
      </w:r>
      <w:r>
        <w:rPr>
          <w:rFonts w:ascii="Palatino Linotype" w:hAnsi="Palatino Linotype"/>
        </w:rPr>
        <w:t xml:space="preserve"> p. 39-46.</w:t>
      </w:r>
    </w:p>
  </w:footnote>
  <w:footnote w:id="43">
    <w:p w14:paraId="2CC07533" w14:textId="77777777" w:rsidR="00186164" w:rsidRDefault="00186164" w:rsidP="00186164">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w:t>
      </w:r>
      <w:r>
        <w:rPr>
          <w:rFonts w:ascii="Palatino Linotype" w:hAnsi="Palatino Linotype"/>
        </w:rPr>
        <w:t xml:space="preserve"> p. 46-52.</w:t>
      </w:r>
    </w:p>
  </w:footnote>
  <w:footnote w:id="44">
    <w:p w14:paraId="09F97012" w14:textId="77777777" w:rsidR="00032EFC" w:rsidRDefault="00032EFC" w:rsidP="00032EFC">
      <w:pPr>
        <w:pStyle w:val="FootnoteText"/>
      </w:pPr>
      <w:r>
        <w:rPr>
          <w:rStyle w:val="FootnoteReference"/>
        </w:rPr>
        <w:footnoteRef/>
      </w:r>
      <w:r>
        <w:t xml:space="preserve"> </w:t>
      </w:r>
      <w:r w:rsidRPr="0063476E">
        <w:rPr>
          <w:rFonts w:ascii="Palatino Linotype" w:hAnsi="Palatino Linotype"/>
        </w:rPr>
        <w:t>AL 649</w:t>
      </w:r>
      <w:r>
        <w:rPr>
          <w:rFonts w:ascii="Palatino Linotype" w:hAnsi="Palatino Linotype"/>
        </w:rPr>
        <w:t>6</w:t>
      </w:r>
      <w:r w:rsidRPr="0063476E">
        <w:rPr>
          <w:rFonts w:ascii="Palatino Linotype" w:hAnsi="Palatino Linotype"/>
        </w:rPr>
        <w:t>-G-A Attachment A at</w:t>
      </w:r>
      <w:r>
        <w:rPr>
          <w:rFonts w:ascii="Palatino Linotype" w:hAnsi="Palatino Linotype"/>
        </w:rPr>
        <w:t xml:space="preserve"> p. 52-56.</w:t>
      </w:r>
    </w:p>
  </w:footnote>
  <w:footnote w:id="45">
    <w:p w14:paraId="6CA7E952" w14:textId="2A58E3DE" w:rsidR="00847F3C" w:rsidRDefault="00847F3C" w:rsidP="00847F3C">
      <w:pPr>
        <w:pStyle w:val="FootnoteText"/>
      </w:pPr>
      <w:r>
        <w:rPr>
          <w:rStyle w:val="FootnoteReference"/>
        </w:rPr>
        <w:footnoteRef/>
      </w:r>
      <w:r>
        <w:t xml:space="preserve"> </w:t>
      </w:r>
      <w:r w:rsidR="00E42441" w:rsidRPr="00C736B0">
        <w:rPr>
          <w:rFonts w:ascii="Palatino Linotype" w:hAnsi="Palatino Linotype"/>
        </w:rPr>
        <w:t>AL 649</w:t>
      </w:r>
      <w:r w:rsidR="00E42441">
        <w:rPr>
          <w:rFonts w:ascii="Palatino Linotype" w:hAnsi="Palatino Linotype"/>
        </w:rPr>
        <w:t>6</w:t>
      </w:r>
      <w:r w:rsidR="00E42441" w:rsidRPr="00C736B0">
        <w:rPr>
          <w:rFonts w:ascii="Palatino Linotype" w:hAnsi="Palatino Linotype"/>
        </w:rPr>
        <w:t>-G-A at p. 6</w:t>
      </w:r>
      <w:r w:rsidR="00E42441">
        <w:rPr>
          <w:rFonts w:ascii="Palatino Linotype" w:hAnsi="Palatino Linotype"/>
        </w:rPr>
        <w:t xml:space="preserve"> &amp; Attachment A at p. 9-10.</w:t>
      </w:r>
    </w:p>
  </w:footnote>
  <w:footnote w:id="46">
    <w:p w14:paraId="1E0CE4A5" w14:textId="02A07DA8" w:rsidR="693F203E" w:rsidRDefault="693F203E" w:rsidP="693F203E">
      <w:pPr>
        <w:pStyle w:val="FootnoteText"/>
      </w:pPr>
      <w:r w:rsidRPr="693F203E">
        <w:rPr>
          <w:rStyle w:val="FootnoteReference"/>
        </w:rPr>
        <w:footnoteRef/>
      </w:r>
      <w:r w:rsidR="7510854C">
        <w:t xml:space="preserve"> </w:t>
      </w:r>
      <w:r w:rsidR="007133BC" w:rsidRPr="00DA299C">
        <w:rPr>
          <w:rFonts w:ascii="Palatino Linotype" w:hAnsi="Palatino Linotype"/>
        </w:rPr>
        <w:t>AL 6645-G at p. 6 &amp; Attachment A at p. 17-18.</w:t>
      </w:r>
    </w:p>
    <w:p w14:paraId="4BF93089" w14:textId="566D9D3B" w:rsidR="693F203E" w:rsidRDefault="693F203E" w:rsidP="693F203E">
      <w:pPr>
        <w:pStyle w:val="FootnoteText"/>
      </w:pPr>
    </w:p>
  </w:footnote>
  <w:footnote w:id="47">
    <w:p w14:paraId="2517FB14" w14:textId="1E17D7F8" w:rsidR="003D53F8" w:rsidRPr="005F4A50" w:rsidRDefault="003D53F8">
      <w:pPr>
        <w:pStyle w:val="FootnoteText"/>
        <w:rPr>
          <w:rFonts w:ascii="Palatino Linotype" w:hAnsi="Palatino Linotype"/>
        </w:rPr>
      </w:pPr>
      <w:r w:rsidRPr="005F4A50">
        <w:rPr>
          <w:rStyle w:val="FootnoteReference"/>
          <w:rFonts w:ascii="Palatino Linotype" w:hAnsi="Palatino Linotype"/>
          <w:color w:val="000000" w:themeColor="text1"/>
        </w:rPr>
        <w:footnoteRef/>
      </w:r>
      <w:r w:rsidRPr="005F4A50">
        <w:rPr>
          <w:rFonts w:ascii="Palatino Linotype" w:hAnsi="Palatino Linotype"/>
          <w:color w:val="000000" w:themeColor="text1"/>
        </w:rPr>
        <w:t xml:space="preserve"> In SoCalGas’ 2026 Plan, the Operations Technology, Gas &amp; Energy Storage, and Low-Carbon Fuels Integration Initiatives were removed from previous years; the </w:t>
      </w:r>
      <w:r w:rsidRPr="005F4A50">
        <w:rPr>
          <w:rFonts w:ascii="Palatino Linotype" w:eastAsia="Palatino Linotype" w:hAnsi="Palatino Linotype" w:cs="Palatino Linotype"/>
          <w:color w:val="000000" w:themeColor="text1"/>
        </w:rPr>
        <w:t xml:space="preserve">Community Impact &amp; Energy Conservation Initiative </w:t>
      </w:r>
      <w:r w:rsidR="001D40D4" w:rsidRPr="005F4A50">
        <w:rPr>
          <w:rFonts w:ascii="Palatino Linotype" w:eastAsia="Palatino Linotype" w:hAnsi="Palatino Linotype" w:cs="Palatino Linotype"/>
          <w:color w:val="000000" w:themeColor="text1"/>
        </w:rPr>
        <w:t>was</w:t>
      </w:r>
      <w:r w:rsidRPr="005F4A50">
        <w:rPr>
          <w:rFonts w:ascii="Palatino Linotype" w:eastAsia="Palatino Linotype" w:hAnsi="Palatino Linotype" w:cs="Palatino Linotype"/>
          <w:color w:val="000000" w:themeColor="text1"/>
        </w:rPr>
        <w:t xml:space="preserve"> added.</w:t>
      </w:r>
    </w:p>
  </w:footnote>
  <w:footnote w:id="48">
    <w:p w14:paraId="712B08B3" w14:textId="498FDE90" w:rsidR="693F203E" w:rsidRDefault="693F203E" w:rsidP="693F203E">
      <w:pPr>
        <w:pStyle w:val="FootnoteText"/>
      </w:pPr>
      <w:r w:rsidRPr="005F4A50">
        <w:rPr>
          <w:rStyle w:val="FootnoteReference"/>
          <w:rFonts w:ascii="Palatino Linotype" w:hAnsi="Palatino Linotype"/>
        </w:rPr>
        <w:footnoteRef/>
      </w:r>
      <w:r w:rsidR="7510854C" w:rsidRPr="005F4A50">
        <w:rPr>
          <w:rFonts w:ascii="Palatino Linotype" w:hAnsi="Palatino Linotype"/>
        </w:rPr>
        <w:t xml:space="preserve"> </w:t>
      </w:r>
      <w:r w:rsidR="7510854C" w:rsidRPr="005F4A50">
        <w:rPr>
          <w:rFonts w:ascii="Palatino Linotype" w:eastAsia="Palatino Linotype" w:hAnsi="Palatino Linotype" w:cs="Palatino Linotype"/>
        </w:rPr>
        <w:t xml:space="preserve">AL 6645-G at p. </w:t>
      </w:r>
      <w:r w:rsidR="1033E26C" w:rsidRPr="005F4A50">
        <w:rPr>
          <w:rFonts w:ascii="Palatino Linotype" w:eastAsia="Palatino Linotype" w:hAnsi="Palatino Linotype" w:cs="Palatino Linotype"/>
        </w:rPr>
        <w:t>5</w:t>
      </w:r>
      <w:r w:rsidR="1033E26C" w:rsidRPr="1033E26C">
        <w:rPr>
          <w:rFonts w:ascii="Palatino Linotype" w:eastAsia="Palatino Linotype" w:hAnsi="Palatino Linotype" w:cs="Palatino Linotype"/>
        </w:rPr>
        <w:t xml:space="preserve"> &amp; Attachment A at p. 23.</w:t>
      </w:r>
    </w:p>
  </w:footnote>
  <w:footnote w:id="49">
    <w:p w14:paraId="52CC1BEF" w14:textId="7FED40DA" w:rsidR="6F1FEA14" w:rsidRDefault="6F1FEA14" w:rsidP="6F1FEA14">
      <w:pPr>
        <w:pStyle w:val="FootnoteText"/>
        <w:rPr>
          <w:rFonts w:ascii="Palatino Linotype" w:hAnsi="Palatino Linotype"/>
        </w:rPr>
      </w:pPr>
      <w:r w:rsidRPr="6F1FEA14">
        <w:rPr>
          <w:rStyle w:val="FootnoteReference"/>
        </w:rPr>
        <w:footnoteRef/>
      </w:r>
      <w:r>
        <w:t xml:space="preserve"> </w:t>
      </w:r>
      <w:r w:rsidRPr="6F1FEA14">
        <w:rPr>
          <w:rFonts w:ascii="Palatino Linotype" w:eastAsia="Palatino Linotype" w:hAnsi="Palatino Linotype" w:cs="Palatino Linotype"/>
        </w:rPr>
        <w:t xml:space="preserve">AL 6645-G Attachment A </w:t>
      </w:r>
      <w:r w:rsidRPr="6F1FEA14">
        <w:rPr>
          <w:rFonts w:ascii="Palatino Linotype" w:eastAsia="Palatino Linotype" w:hAnsi="Palatino Linotype" w:cs="Palatino Linotype"/>
        </w:rPr>
        <w:t>at p. 24-29.</w:t>
      </w:r>
    </w:p>
  </w:footnote>
  <w:footnote w:id="50">
    <w:p w14:paraId="00167E33" w14:textId="5ED72570" w:rsidR="6F1FEA14" w:rsidRPr="00B03157" w:rsidRDefault="6F1FEA14" w:rsidP="6F1FEA14">
      <w:pPr>
        <w:pStyle w:val="FootnoteText"/>
        <w:rPr>
          <w:rFonts w:ascii="Palatino Linotype" w:hAnsi="Palatino Linotype"/>
        </w:rPr>
      </w:pPr>
      <w:r w:rsidRPr="00B03157">
        <w:rPr>
          <w:rStyle w:val="FootnoteReference"/>
          <w:rFonts w:ascii="Palatino Linotype" w:hAnsi="Palatino Linotype"/>
        </w:rPr>
        <w:footnoteRef/>
      </w:r>
      <w:r w:rsidRPr="00B03157">
        <w:rPr>
          <w:rFonts w:ascii="Palatino Linotype" w:hAnsi="Palatino Linotype"/>
        </w:rPr>
        <w:t xml:space="preserve"> </w:t>
      </w:r>
      <w:r w:rsidRPr="00B03157">
        <w:rPr>
          <w:rFonts w:ascii="Palatino Linotype" w:eastAsia="Palatino Linotype" w:hAnsi="Palatino Linotype" w:cs="Palatino Linotype"/>
        </w:rPr>
        <w:t xml:space="preserve">AL 6645-G Attachment A </w:t>
      </w:r>
      <w:r w:rsidRPr="00B03157">
        <w:rPr>
          <w:rFonts w:ascii="Palatino Linotype" w:eastAsia="Palatino Linotype" w:hAnsi="Palatino Linotype" w:cs="Palatino Linotype"/>
        </w:rPr>
        <w:t>at p. 30-35.</w:t>
      </w:r>
    </w:p>
  </w:footnote>
  <w:footnote w:id="51">
    <w:p w14:paraId="5E20758A" w14:textId="18310879" w:rsidR="6F1FEA14" w:rsidRPr="00207085" w:rsidRDefault="6F1FEA14" w:rsidP="6F1FEA14">
      <w:pPr>
        <w:pStyle w:val="FootnoteText"/>
        <w:rPr>
          <w:rFonts w:ascii="Palatino Linotype" w:hAnsi="Palatino Linotype"/>
        </w:rPr>
      </w:pPr>
      <w:r w:rsidRPr="00B03157">
        <w:rPr>
          <w:rStyle w:val="FootnoteReference"/>
          <w:rFonts w:ascii="Palatino Linotype" w:hAnsi="Palatino Linotype"/>
        </w:rPr>
        <w:footnoteRef/>
      </w:r>
      <w:r w:rsidRPr="00B03157">
        <w:rPr>
          <w:rFonts w:ascii="Palatino Linotype" w:hAnsi="Palatino Linotype"/>
        </w:rPr>
        <w:t xml:space="preserve"> </w:t>
      </w:r>
      <w:r w:rsidRPr="00B03157">
        <w:rPr>
          <w:rFonts w:ascii="Palatino Linotype" w:eastAsia="Palatino Linotype" w:hAnsi="Palatino Linotype" w:cs="Palatino Linotype"/>
          <w:color w:val="000000" w:themeColor="text1"/>
        </w:rPr>
        <w:t>AL 6645-G Attachment A</w:t>
      </w:r>
      <w:r w:rsidRPr="00B03157">
        <w:rPr>
          <w:rFonts w:ascii="Palatino Linotype" w:eastAsia="Palatino Linotype" w:hAnsi="Palatino Linotype" w:cs="Palatino Linotype"/>
        </w:rPr>
        <w:t xml:space="preserve"> </w:t>
      </w:r>
      <w:r w:rsidRPr="00B03157">
        <w:rPr>
          <w:rFonts w:ascii="Palatino Linotype" w:eastAsia="Palatino Linotype" w:hAnsi="Palatino Linotype" w:cs="Palatino Linotype"/>
        </w:rPr>
        <w:t>at p. 35-39.</w:t>
      </w:r>
    </w:p>
  </w:footnote>
  <w:footnote w:id="52">
    <w:p w14:paraId="51A8E715" w14:textId="2D5C4853" w:rsidR="005314A4" w:rsidRPr="007B4BB3" w:rsidRDefault="005314A4" w:rsidP="005314A4">
      <w:pPr>
        <w:pStyle w:val="FootnoteText"/>
        <w:rPr>
          <w:rFonts w:ascii="Palatino Linotype" w:eastAsia="Palatino Linotype" w:hAnsi="Palatino Linotype" w:cs="Palatino Linotype"/>
        </w:rPr>
      </w:pPr>
      <w:r w:rsidRPr="007B4BB3">
        <w:rPr>
          <w:rStyle w:val="FootnoteReference"/>
          <w:rFonts w:ascii="Palatino Linotype" w:hAnsi="Palatino Linotype"/>
        </w:rPr>
        <w:footnoteRef/>
      </w:r>
      <w:r w:rsidRPr="007B4BB3">
        <w:rPr>
          <w:rFonts w:ascii="Palatino Linotype" w:hAnsi="Palatino Linotype"/>
        </w:rPr>
        <w:t xml:space="preserve"> </w:t>
      </w:r>
      <w:r w:rsidR="007B4BB3" w:rsidRPr="007B4BB3">
        <w:rPr>
          <w:rFonts w:ascii="Palatino Linotype" w:eastAsia="Palatino Linotype" w:hAnsi="Palatino Linotype" w:cs="Palatino Linotype"/>
          <w:color w:val="000000" w:themeColor="text1"/>
        </w:rPr>
        <w:t>AL</w:t>
      </w:r>
      <w:r w:rsidRPr="007B4BB3">
        <w:rPr>
          <w:rFonts w:ascii="Palatino Linotype" w:eastAsia="Palatino Linotype" w:hAnsi="Palatino Linotype" w:cs="Palatino Linotype"/>
          <w:color w:val="000000" w:themeColor="text1"/>
        </w:rPr>
        <w:t xml:space="preserve"> 6645-G Attachment A</w:t>
      </w:r>
      <w:r w:rsidRPr="007B4BB3">
        <w:rPr>
          <w:rFonts w:ascii="Palatino Linotype" w:eastAsia="Palatino Linotype" w:hAnsi="Palatino Linotype" w:cs="Palatino Linotype"/>
        </w:rPr>
        <w:t xml:space="preserve"> at p. 39-44.</w:t>
      </w:r>
    </w:p>
  </w:footnote>
  <w:footnote w:id="53">
    <w:p w14:paraId="63BF3D1C" w14:textId="4DA7550D" w:rsidR="6F1FEA14" w:rsidRPr="007B4BB3" w:rsidRDefault="6F1FEA14" w:rsidP="6F1FEA14">
      <w:pPr>
        <w:pStyle w:val="FootnoteText"/>
        <w:rPr>
          <w:rFonts w:ascii="Palatino Linotype" w:hAnsi="Palatino Linotype"/>
        </w:rPr>
      </w:pPr>
      <w:r w:rsidRPr="007B4BB3">
        <w:rPr>
          <w:rStyle w:val="FootnoteReference"/>
          <w:rFonts w:ascii="Palatino Linotype" w:hAnsi="Palatino Linotype"/>
        </w:rPr>
        <w:footnoteRef/>
      </w:r>
      <w:r w:rsidRPr="007B4BB3">
        <w:rPr>
          <w:rFonts w:ascii="Palatino Linotype" w:hAnsi="Palatino Linotype"/>
        </w:rPr>
        <w:t xml:space="preserve"> AL </w:t>
      </w:r>
      <w:r w:rsidRPr="007B4BB3">
        <w:rPr>
          <w:rFonts w:ascii="Palatino Linotype" w:eastAsia="Palatino Linotype" w:hAnsi="Palatino Linotype" w:cs="Palatino Linotype"/>
          <w:color w:val="000000" w:themeColor="text1"/>
        </w:rPr>
        <w:t>6645-G Attachment A</w:t>
      </w:r>
      <w:r w:rsidRPr="007B4BB3">
        <w:rPr>
          <w:rFonts w:ascii="Palatino Linotype" w:eastAsia="Palatino Linotype" w:hAnsi="Palatino Linotype" w:cs="Palatino Linotype"/>
        </w:rPr>
        <w:t xml:space="preserve"> at p. 45-49.</w:t>
      </w:r>
    </w:p>
  </w:footnote>
  <w:footnote w:id="54">
    <w:p w14:paraId="5283E7F7" w14:textId="408F81EC" w:rsidR="1648E9B2" w:rsidRDefault="1648E9B2" w:rsidP="1648E9B2">
      <w:pPr>
        <w:pStyle w:val="FootnoteText"/>
        <w:rPr>
          <w:rFonts w:ascii="Palatino Linotype" w:eastAsia="Palatino Linotype" w:hAnsi="Palatino Linotype" w:cs="Palatino Linotype"/>
        </w:rPr>
      </w:pPr>
      <w:r w:rsidRPr="007B4BB3">
        <w:rPr>
          <w:rStyle w:val="FootnoteReference"/>
          <w:rFonts w:ascii="Palatino Linotype" w:hAnsi="Palatino Linotype"/>
        </w:rPr>
        <w:footnoteRef/>
      </w:r>
      <w:r w:rsidRPr="007B4BB3">
        <w:rPr>
          <w:rFonts w:ascii="Palatino Linotype" w:hAnsi="Palatino Linotype"/>
        </w:rPr>
        <w:t xml:space="preserve"> </w:t>
      </w:r>
      <w:r w:rsidRPr="007B4BB3">
        <w:rPr>
          <w:rFonts w:ascii="Palatino Linotype" w:eastAsia="Palatino Linotype" w:hAnsi="Palatino Linotype" w:cs="Palatino Linotype"/>
        </w:rPr>
        <w:t>AL 6645-G at p.</w:t>
      </w:r>
      <w:r w:rsidR="00101B6B" w:rsidRPr="007B4BB3">
        <w:rPr>
          <w:rFonts w:ascii="Palatino Linotype" w:eastAsia="Palatino Linotype" w:hAnsi="Palatino Linotype" w:cs="Palatino Linotype"/>
        </w:rPr>
        <w:t xml:space="preserve"> </w:t>
      </w:r>
      <w:r w:rsidR="1033E26C" w:rsidRPr="007B4BB3">
        <w:rPr>
          <w:rFonts w:ascii="Palatino Linotype" w:eastAsia="Palatino Linotype" w:hAnsi="Palatino Linotype" w:cs="Palatino Linotype"/>
        </w:rPr>
        <w:t>5 &amp; Attachment A at p. 54.</w:t>
      </w:r>
    </w:p>
  </w:footnote>
  <w:footnote w:id="55">
    <w:p w14:paraId="77D9B69F" w14:textId="0311A0A8" w:rsidR="6F1FEA14" w:rsidRDefault="6F1FEA14" w:rsidP="6F1FEA14">
      <w:pPr>
        <w:pStyle w:val="FootnoteText"/>
      </w:pPr>
      <w:r w:rsidRPr="6F1FEA14">
        <w:rPr>
          <w:rStyle w:val="FootnoteReference"/>
        </w:rPr>
        <w:footnoteRef/>
      </w:r>
      <w:r>
        <w:t xml:space="preserve"> </w:t>
      </w:r>
      <w:r w:rsidRPr="6F1FEA14">
        <w:rPr>
          <w:rFonts w:ascii="Palatino Linotype" w:eastAsia="Palatino Linotype" w:hAnsi="Palatino Linotype" w:cs="Palatino Linotype"/>
          <w:color w:val="000000" w:themeColor="text1"/>
        </w:rPr>
        <w:t>AL-6645-G Attachment A</w:t>
      </w:r>
      <w:r w:rsidRPr="6F1FEA14">
        <w:rPr>
          <w:rFonts w:ascii="Palatino Linotype" w:eastAsia="Palatino Linotype" w:hAnsi="Palatino Linotype" w:cs="Palatino Linotype"/>
        </w:rPr>
        <w:t xml:space="preserve"> at p. 54-60.</w:t>
      </w:r>
    </w:p>
  </w:footnote>
  <w:footnote w:id="56">
    <w:p w14:paraId="288E5504" w14:textId="524054FE" w:rsidR="6F1FEA14" w:rsidRDefault="6F1FEA14" w:rsidP="6F1FEA14">
      <w:pPr>
        <w:pStyle w:val="FootnoteText"/>
      </w:pPr>
      <w:r w:rsidRPr="6F1FEA14">
        <w:rPr>
          <w:rStyle w:val="FootnoteReference"/>
        </w:rPr>
        <w:footnoteRef/>
      </w:r>
      <w:r>
        <w:t xml:space="preserve"> </w:t>
      </w:r>
      <w:r w:rsidRPr="6F1FEA14">
        <w:rPr>
          <w:rFonts w:ascii="Palatino Linotype" w:eastAsia="Palatino Linotype" w:hAnsi="Palatino Linotype" w:cs="Palatino Linotype"/>
          <w:color w:val="000000" w:themeColor="text1"/>
        </w:rPr>
        <w:t>AL 6645-G Attachment A</w:t>
      </w:r>
      <w:r w:rsidRPr="6F1FEA14">
        <w:rPr>
          <w:rFonts w:ascii="Palatino Linotype" w:eastAsia="Palatino Linotype" w:hAnsi="Palatino Linotype" w:cs="Palatino Linotype"/>
        </w:rPr>
        <w:t xml:space="preserve"> at p. 61-67.</w:t>
      </w:r>
    </w:p>
  </w:footnote>
  <w:footnote w:id="57">
    <w:p w14:paraId="166E5064" w14:textId="1D9135BA" w:rsidR="6F1FEA14" w:rsidRPr="00F914A8" w:rsidRDefault="6F1FEA14" w:rsidP="6F1FEA14">
      <w:pPr>
        <w:pStyle w:val="FootnoteText"/>
        <w:rPr>
          <w:rFonts w:ascii="Palatino Linotype" w:hAnsi="Palatino Linotype"/>
        </w:rPr>
      </w:pPr>
      <w:r w:rsidRPr="00F914A8">
        <w:rPr>
          <w:rStyle w:val="FootnoteReference"/>
          <w:rFonts w:ascii="Palatino Linotype" w:hAnsi="Palatino Linotype"/>
        </w:rPr>
        <w:footnoteRef/>
      </w:r>
      <w:r w:rsidRPr="00F914A8">
        <w:rPr>
          <w:rFonts w:ascii="Palatino Linotype" w:hAnsi="Palatino Linotype"/>
        </w:rPr>
        <w:t xml:space="preserve"> </w:t>
      </w:r>
      <w:r w:rsidR="1033E26C" w:rsidRPr="00F914A8">
        <w:rPr>
          <w:rFonts w:ascii="Palatino Linotype" w:eastAsia="Palatino Linotype" w:hAnsi="Palatino Linotype" w:cs="Palatino Linotype"/>
          <w:color w:val="000000" w:themeColor="text1"/>
        </w:rPr>
        <w:t>AL</w:t>
      </w:r>
      <w:r w:rsidRPr="00F914A8">
        <w:rPr>
          <w:rFonts w:ascii="Palatino Linotype" w:eastAsia="Palatino Linotype" w:hAnsi="Palatino Linotype" w:cs="Palatino Linotype"/>
          <w:color w:val="000000" w:themeColor="text1"/>
        </w:rPr>
        <w:t xml:space="preserve"> 6645-</w:t>
      </w:r>
      <w:r w:rsidR="00F914A8" w:rsidRPr="00F914A8">
        <w:rPr>
          <w:rFonts w:ascii="Palatino Linotype" w:eastAsia="Palatino Linotype" w:hAnsi="Palatino Linotype" w:cs="Palatino Linotype"/>
          <w:color w:val="000000" w:themeColor="text1"/>
        </w:rPr>
        <w:t>G</w:t>
      </w:r>
      <w:r w:rsidRPr="00F914A8">
        <w:rPr>
          <w:rFonts w:ascii="Palatino Linotype" w:eastAsia="Palatino Linotype" w:hAnsi="Palatino Linotype" w:cs="Palatino Linotype"/>
          <w:color w:val="000000" w:themeColor="text1"/>
        </w:rPr>
        <w:t xml:space="preserve"> Attachment A at</w:t>
      </w:r>
      <w:r w:rsidRPr="00F914A8">
        <w:rPr>
          <w:rFonts w:ascii="Palatino Linotype" w:eastAsia="Palatino Linotype" w:hAnsi="Palatino Linotype" w:cs="Palatino Linotype"/>
        </w:rPr>
        <w:t xml:space="preserve"> p 68-74.</w:t>
      </w:r>
    </w:p>
  </w:footnote>
  <w:footnote w:id="58">
    <w:p w14:paraId="1E9B19D2" w14:textId="23D6AE46" w:rsidR="7510854C" w:rsidRPr="001B18E8" w:rsidRDefault="7510854C" w:rsidP="7510854C">
      <w:pPr>
        <w:pStyle w:val="FootnoteText"/>
        <w:rPr>
          <w:rFonts w:ascii="Palatino Linotype" w:hAnsi="Palatino Linotype"/>
        </w:rPr>
      </w:pPr>
      <w:r w:rsidRPr="001B18E8">
        <w:rPr>
          <w:rStyle w:val="FootnoteReference"/>
          <w:rFonts w:ascii="Palatino Linotype" w:hAnsi="Palatino Linotype"/>
        </w:rPr>
        <w:footnoteRef/>
      </w:r>
      <w:r w:rsidRPr="001B18E8">
        <w:rPr>
          <w:rFonts w:ascii="Palatino Linotype" w:hAnsi="Palatino Linotype"/>
        </w:rPr>
        <w:t xml:space="preserve"> </w:t>
      </w:r>
      <w:r w:rsidR="002A47BB" w:rsidRPr="001B18E8">
        <w:rPr>
          <w:rFonts w:ascii="Palatino Linotype" w:hAnsi="Palatino Linotype"/>
        </w:rPr>
        <w:t>AL 6646-G at p. 6 &amp; Attachment A at p. 17-18.</w:t>
      </w:r>
    </w:p>
  </w:footnote>
  <w:footnote w:id="59">
    <w:p w14:paraId="111266CB" w14:textId="0EB30A9E" w:rsidR="1648E9B2" w:rsidRPr="001B18E8" w:rsidRDefault="1648E9B2" w:rsidP="1648E9B2">
      <w:pPr>
        <w:pStyle w:val="FootnoteText"/>
        <w:rPr>
          <w:rFonts w:ascii="Palatino Linotype" w:hAnsi="Palatino Linotype"/>
        </w:rPr>
      </w:pPr>
      <w:r w:rsidRPr="001B18E8">
        <w:rPr>
          <w:rStyle w:val="FootnoteReference"/>
          <w:rFonts w:ascii="Palatino Linotype" w:hAnsi="Palatino Linotype"/>
        </w:rPr>
        <w:footnoteRef/>
      </w:r>
      <w:r w:rsidRPr="001B18E8">
        <w:rPr>
          <w:rFonts w:ascii="Palatino Linotype" w:hAnsi="Palatino Linotype"/>
        </w:rPr>
        <w:t xml:space="preserve"> </w:t>
      </w:r>
      <w:r w:rsidRPr="001B18E8">
        <w:rPr>
          <w:rFonts w:ascii="Palatino Linotype" w:eastAsia="Palatino Linotype" w:hAnsi="Palatino Linotype" w:cs="Palatino Linotype"/>
        </w:rPr>
        <w:t>AL 6646-G at p</w:t>
      </w:r>
      <w:r w:rsidRPr="001B18E8">
        <w:rPr>
          <w:rFonts w:ascii="Palatino Linotype" w:eastAsia="Palatino Linotype" w:hAnsi="Palatino Linotype" w:cs="Palatino Linotype"/>
        </w:rPr>
        <w:t xml:space="preserve">. </w:t>
      </w:r>
      <w:r w:rsidR="1033E26C" w:rsidRPr="001B18E8">
        <w:rPr>
          <w:rFonts w:ascii="Palatino Linotype" w:eastAsia="Palatino Linotype" w:hAnsi="Palatino Linotype" w:cs="Palatino Linotype"/>
        </w:rPr>
        <w:t>5 &amp; Attachment A at p. 22.</w:t>
      </w:r>
    </w:p>
  </w:footnote>
  <w:footnote w:id="60">
    <w:p w14:paraId="3C291E4E" w14:textId="354D991C" w:rsidR="6F1FEA14" w:rsidRDefault="6F1FEA14" w:rsidP="6F1FEA14">
      <w:pPr>
        <w:pStyle w:val="FootnoteText"/>
      </w:pPr>
      <w:r w:rsidRPr="001B18E8">
        <w:rPr>
          <w:rStyle w:val="FootnoteReference"/>
          <w:rFonts w:ascii="Palatino Linotype" w:hAnsi="Palatino Linotype"/>
        </w:rPr>
        <w:footnoteRef/>
      </w:r>
      <w:r w:rsidRPr="001B18E8">
        <w:rPr>
          <w:rFonts w:ascii="Palatino Linotype" w:hAnsi="Palatino Linotype"/>
        </w:rPr>
        <w:t xml:space="preserve"> </w:t>
      </w:r>
      <w:r w:rsidRPr="001B18E8">
        <w:rPr>
          <w:rFonts w:ascii="Palatino Linotype" w:eastAsia="Palatino Linotype" w:hAnsi="Palatino Linotype" w:cs="Palatino Linotype"/>
        </w:rPr>
        <w:t>AL 6646-G Attachment A at p. 23-28.</w:t>
      </w:r>
    </w:p>
  </w:footnote>
  <w:footnote w:id="61">
    <w:p w14:paraId="000BEB76" w14:textId="0A9E0A65" w:rsidR="6F1FEA14" w:rsidRDefault="6F1FEA14" w:rsidP="6F1FEA14">
      <w:pPr>
        <w:pStyle w:val="FootnoteText"/>
        <w:rPr>
          <w:rFonts w:ascii="Palatino Linotype" w:hAnsi="Palatino Linotype"/>
        </w:rPr>
      </w:pPr>
      <w:r w:rsidRPr="6F1FEA14">
        <w:rPr>
          <w:rStyle w:val="FootnoteReference"/>
        </w:rPr>
        <w:footnoteRef/>
      </w:r>
      <w:r>
        <w:t xml:space="preserve"> </w:t>
      </w:r>
      <w:r w:rsidRPr="1033E26C">
        <w:rPr>
          <w:rFonts w:ascii="Palatino Linotype" w:eastAsia="Palatino Linotype" w:hAnsi="Palatino Linotype" w:cs="Palatino Linotype"/>
          <w:color w:val="000000" w:themeColor="text1"/>
        </w:rPr>
        <w:t xml:space="preserve">AL </w:t>
      </w:r>
      <w:r w:rsidRPr="6F1FEA14">
        <w:rPr>
          <w:rFonts w:ascii="Palatino Linotype" w:eastAsia="Palatino Linotype" w:hAnsi="Palatino Linotype" w:cs="Palatino Linotype"/>
          <w:color w:val="000000" w:themeColor="text1"/>
        </w:rPr>
        <w:t>6646-G Attachment A</w:t>
      </w:r>
      <w:r w:rsidRPr="6F1FEA14">
        <w:rPr>
          <w:rFonts w:ascii="Palatino Linotype" w:eastAsia="Palatino Linotype" w:hAnsi="Palatino Linotype" w:cs="Palatino Linotype"/>
        </w:rPr>
        <w:t xml:space="preserve"> at p. 29-34.</w:t>
      </w:r>
    </w:p>
  </w:footnote>
  <w:footnote w:id="62">
    <w:p w14:paraId="5DA628DC" w14:textId="6C017CF6" w:rsidR="6F1FEA14" w:rsidRDefault="6F1FEA14" w:rsidP="6F1FEA14">
      <w:pPr>
        <w:pStyle w:val="FootnoteText"/>
        <w:rPr>
          <w:rFonts w:ascii="Palatino Linotype" w:eastAsia="Palatino Linotype" w:hAnsi="Palatino Linotype" w:cs="Palatino Linotype"/>
        </w:rPr>
      </w:pPr>
      <w:r w:rsidRPr="6F1FEA14">
        <w:rPr>
          <w:rStyle w:val="FootnoteReference"/>
        </w:rPr>
        <w:footnoteRef/>
      </w:r>
      <w:r>
        <w:t xml:space="preserve"> </w:t>
      </w:r>
      <w:r w:rsidRPr="6F1FEA14">
        <w:rPr>
          <w:rFonts w:ascii="Palatino Linotype" w:eastAsia="Palatino Linotype" w:hAnsi="Palatino Linotype" w:cs="Palatino Linotype"/>
          <w:color w:val="000000" w:themeColor="text1"/>
        </w:rPr>
        <w:t>AL 6646-G Attachment A at p. 34-</w:t>
      </w:r>
      <w:r w:rsidR="1033E26C" w:rsidRPr="1033E26C">
        <w:rPr>
          <w:rFonts w:ascii="Palatino Linotype" w:eastAsia="Palatino Linotype" w:hAnsi="Palatino Linotype" w:cs="Palatino Linotype"/>
          <w:color w:val="000000" w:themeColor="text1"/>
        </w:rPr>
        <w:t>38</w:t>
      </w:r>
      <w:r w:rsidRPr="6F1FEA14">
        <w:rPr>
          <w:rFonts w:ascii="Palatino Linotype" w:eastAsia="Palatino Linotype" w:hAnsi="Palatino Linotype" w:cs="Palatino Linotype"/>
          <w:color w:val="000000" w:themeColor="text1"/>
        </w:rPr>
        <w:t>.</w:t>
      </w:r>
    </w:p>
  </w:footnote>
  <w:footnote w:id="63">
    <w:p w14:paraId="0E544502" w14:textId="3DFCD1C1" w:rsidR="1033E26C" w:rsidRDefault="1033E26C" w:rsidP="1033E26C">
      <w:pPr>
        <w:pStyle w:val="FootnoteText"/>
        <w:rPr>
          <w:rFonts w:ascii="Palatino Linotype" w:eastAsia="Palatino Linotype" w:hAnsi="Palatino Linotype" w:cs="Palatino Linotype"/>
          <w:highlight w:val="yellow"/>
        </w:rPr>
      </w:pPr>
      <w:r w:rsidRPr="1033E26C">
        <w:rPr>
          <w:rStyle w:val="FootnoteReference"/>
        </w:rPr>
        <w:footnoteRef/>
      </w:r>
      <w:r>
        <w:t xml:space="preserve"> </w:t>
      </w:r>
      <w:r w:rsidRPr="1033E26C">
        <w:rPr>
          <w:rFonts w:ascii="Palatino Linotype" w:eastAsia="Palatino Linotype" w:hAnsi="Palatino Linotype" w:cs="Palatino Linotype"/>
          <w:color w:val="000000" w:themeColor="text1"/>
        </w:rPr>
        <w:t>AL 6646-G Attachment A at p. 38-43.</w:t>
      </w:r>
    </w:p>
  </w:footnote>
  <w:footnote w:id="64">
    <w:p w14:paraId="3D042C94" w14:textId="6D40CE1F" w:rsidR="1033E26C" w:rsidRDefault="1033E26C" w:rsidP="1033E26C">
      <w:pPr>
        <w:pStyle w:val="FootnoteText"/>
        <w:rPr>
          <w:rFonts w:ascii="Palatino Linotype" w:eastAsia="Palatino Linotype" w:hAnsi="Palatino Linotype" w:cs="Palatino Linotype"/>
        </w:rPr>
      </w:pPr>
      <w:r w:rsidRPr="1033E26C">
        <w:rPr>
          <w:rStyle w:val="FootnoteReference"/>
        </w:rPr>
        <w:footnoteRef/>
      </w:r>
      <w:r>
        <w:t xml:space="preserve"> </w:t>
      </w:r>
      <w:r w:rsidRPr="1033E26C">
        <w:rPr>
          <w:rFonts w:ascii="Palatino Linotype" w:eastAsia="Palatino Linotype" w:hAnsi="Palatino Linotype" w:cs="Palatino Linotype"/>
          <w:color w:val="000000" w:themeColor="text1"/>
        </w:rPr>
        <w:t>AL 6646-G Attachment A at p. 44-48.</w:t>
      </w:r>
    </w:p>
  </w:footnote>
  <w:footnote w:id="65">
    <w:p w14:paraId="770D59EC" w14:textId="2F36E478" w:rsidR="6AE203D8" w:rsidRPr="0034781D" w:rsidRDefault="6AE203D8" w:rsidP="6AE203D8">
      <w:pPr>
        <w:pStyle w:val="FootnoteText"/>
        <w:rPr>
          <w:rFonts w:ascii="Palatino Linotype" w:eastAsia="Palatino Linotype" w:hAnsi="Palatino Linotype" w:cs="Palatino Linotype"/>
        </w:rPr>
      </w:pPr>
      <w:r w:rsidRPr="1033E26C">
        <w:rPr>
          <w:rStyle w:val="FootnoteReference"/>
          <w:rFonts w:ascii="Palatino Linotype" w:hAnsi="Palatino Linotype"/>
        </w:rPr>
        <w:footnoteRef/>
      </w:r>
      <w:r w:rsidR="7510854C" w:rsidRPr="1033E26C">
        <w:rPr>
          <w:rFonts w:ascii="Palatino Linotype" w:hAnsi="Palatino Linotype"/>
        </w:rPr>
        <w:t xml:space="preserve"> </w:t>
      </w:r>
      <w:r w:rsidR="1033E26C" w:rsidRPr="1033E26C">
        <w:rPr>
          <w:rFonts w:ascii="Palatino Linotype" w:eastAsia="Palatino Linotype" w:hAnsi="Palatino Linotype" w:cs="Palatino Linotype"/>
          <w:color w:val="000000" w:themeColor="text1"/>
        </w:rPr>
        <w:t>AL</w:t>
      </w:r>
      <w:r w:rsidR="7510854C" w:rsidRPr="1033E26C">
        <w:rPr>
          <w:rFonts w:ascii="Palatino Linotype" w:eastAsia="Palatino Linotype" w:hAnsi="Palatino Linotype" w:cs="Palatino Linotype"/>
          <w:color w:val="000000" w:themeColor="text1"/>
        </w:rPr>
        <w:t xml:space="preserve"> 6646-G</w:t>
      </w:r>
      <w:r w:rsidR="00CE7519">
        <w:rPr>
          <w:rFonts w:ascii="Palatino Linotype" w:eastAsia="Palatino Linotype" w:hAnsi="Palatino Linotype" w:cs="Palatino Linotype"/>
          <w:color w:val="000000" w:themeColor="text1"/>
        </w:rPr>
        <w:t xml:space="preserve"> at</w:t>
      </w:r>
      <w:r w:rsidR="7510854C" w:rsidRPr="1033E26C">
        <w:rPr>
          <w:rFonts w:ascii="Palatino Linotype" w:eastAsia="Palatino Linotype" w:hAnsi="Palatino Linotype" w:cs="Palatino Linotype"/>
          <w:color w:val="000000" w:themeColor="text1"/>
        </w:rPr>
        <w:t xml:space="preserve"> </w:t>
      </w:r>
      <w:r w:rsidR="1033E26C" w:rsidRPr="1033E26C">
        <w:rPr>
          <w:rFonts w:ascii="Palatino Linotype" w:eastAsia="Palatino Linotype" w:hAnsi="Palatino Linotype" w:cs="Palatino Linotype"/>
          <w:color w:val="000000" w:themeColor="text1"/>
        </w:rPr>
        <w:t xml:space="preserve">p. 5 &amp; </w:t>
      </w:r>
      <w:r w:rsidR="7510854C" w:rsidRPr="1033E26C">
        <w:rPr>
          <w:rFonts w:ascii="Palatino Linotype" w:eastAsia="Palatino Linotype" w:hAnsi="Palatino Linotype" w:cs="Palatino Linotype"/>
          <w:color w:val="000000" w:themeColor="text1"/>
        </w:rPr>
        <w:t>Attachment A at p. 53.</w:t>
      </w:r>
    </w:p>
  </w:footnote>
  <w:footnote w:id="66">
    <w:p w14:paraId="041BA1FD" w14:textId="67E7ADA0" w:rsidR="1033E26C" w:rsidRDefault="1033E26C" w:rsidP="1033E26C">
      <w:pPr>
        <w:pStyle w:val="FootnoteText"/>
        <w:rPr>
          <w:rFonts w:ascii="Palatino Linotype" w:eastAsia="Palatino Linotype" w:hAnsi="Palatino Linotype" w:cs="Palatino Linotype"/>
        </w:rPr>
      </w:pPr>
      <w:r w:rsidRPr="1033E26C">
        <w:rPr>
          <w:rStyle w:val="FootnoteReference"/>
        </w:rPr>
        <w:footnoteRef/>
      </w:r>
      <w:r>
        <w:t xml:space="preserve"> </w:t>
      </w:r>
      <w:r w:rsidRPr="1033E26C">
        <w:rPr>
          <w:rFonts w:ascii="Palatino Linotype" w:eastAsia="Palatino Linotype" w:hAnsi="Palatino Linotype" w:cs="Palatino Linotype"/>
          <w:color w:val="000000" w:themeColor="text1"/>
        </w:rPr>
        <w:t>AL 6646-G Attachment A at p. 53-59.</w:t>
      </w:r>
    </w:p>
    <w:p w14:paraId="2E28DBB2" w14:textId="3F61EF8C" w:rsidR="1033E26C" w:rsidRDefault="1033E26C" w:rsidP="1033E26C">
      <w:pPr>
        <w:pStyle w:val="FootnoteText"/>
      </w:pPr>
    </w:p>
  </w:footnote>
  <w:footnote w:id="67">
    <w:p w14:paraId="710D6500" w14:textId="360B0F6D" w:rsidR="1033E26C" w:rsidRPr="00CE7519" w:rsidRDefault="1033E26C" w:rsidP="1033E26C">
      <w:pPr>
        <w:pStyle w:val="FootnoteText"/>
        <w:rPr>
          <w:rFonts w:ascii="Palatino Linotype" w:eastAsia="Palatino Linotype" w:hAnsi="Palatino Linotype" w:cs="Palatino Linotype"/>
        </w:rPr>
      </w:pPr>
      <w:r w:rsidRPr="1033E26C">
        <w:rPr>
          <w:rStyle w:val="FootnoteReference"/>
        </w:rPr>
        <w:footnoteRef/>
      </w:r>
      <w:r>
        <w:t xml:space="preserve"> </w:t>
      </w:r>
      <w:r w:rsidRPr="1033E26C">
        <w:rPr>
          <w:rFonts w:ascii="Palatino Linotype" w:eastAsia="Palatino Linotype" w:hAnsi="Palatino Linotype" w:cs="Palatino Linotype"/>
          <w:color w:val="000000" w:themeColor="text1"/>
        </w:rPr>
        <w:t>AL 6646-G Attachment A at p. 60-66.</w:t>
      </w:r>
    </w:p>
  </w:footnote>
  <w:footnote w:id="68">
    <w:p w14:paraId="787603A9" w14:textId="62D8E661" w:rsidR="1033E26C" w:rsidRDefault="1033E26C" w:rsidP="1033E26C">
      <w:pPr>
        <w:pStyle w:val="FootnoteText"/>
        <w:rPr>
          <w:rFonts w:ascii="Palatino Linotype" w:eastAsia="Palatino Linotype" w:hAnsi="Palatino Linotype" w:cs="Palatino Linotype"/>
          <w:color w:val="000000" w:themeColor="text1"/>
        </w:rPr>
      </w:pPr>
      <w:r w:rsidRPr="1033E26C">
        <w:rPr>
          <w:rStyle w:val="FootnoteReference"/>
        </w:rPr>
        <w:footnoteRef/>
      </w:r>
      <w:r>
        <w:t xml:space="preserve"> </w:t>
      </w:r>
      <w:r w:rsidRPr="1033E26C">
        <w:rPr>
          <w:rFonts w:ascii="Palatino Linotype" w:eastAsia="Palatino Linotype" w:hAnsi="Palatino Linotype" w:cs="Palatino Linotype"/>
          <w:color w:val="000000" w:themeColor="text1"/>
        </w:rPr>
        <w:t>AL 6646-G Attachment A at p. 66-73.</w:t>
      </w:r>
    </w:p>
    <w:p w14:paraId="3F21E533" w14:textId="551E2C27" w:rsidR="1033E26C" w:rsidRDefault="1033E26C" w:rsidP="1033E26C">
      <w:pPr>
        <w:pStyle w:val="FootnoteText"/>
      </w:pPr>
    </w:p>
  </w:footnote>
  <w:footnote w:id="69">
    <w:p w14:paraId="40B203F7" w14:textId="21572B32" w:rsidR="00F0784E" w:rsidRDefault="00F0784E">
      <w:pPr>
        <w:pStyle w:val="FootnoteText"/>
      </w:pPr>
      <w:r>
        <w:rPr>
          <w:rStyle w:val="FootnoteReference"/>
        </w:rPr>
        <w:footnoteRef/>
      </w:r>
      <w:r>
        <w:t xml:space="preserve"> </w:t>
      </w:r>
      <w:r w:rsidRPr="00275A4C">
        <w:rPr>
          <w:rFonts w:ascii="Palatino Linotype" w:hAnsi="Palatino Linotype"/>
        </w:rPr>
        <w:t>AL 6495-G-A at p. 14</w:t>
      </w:r>
      <w:r w:rsidR="00275A4C" w:rsidRPr="00275A4C">
        <w:rPr>
          <w:rFonts w:ascii="Palatino Linotype" w:hAnsi="Palatino Linotype"/>
        </w:rPr>
        <w:t xml:space="preserve"> &amp; AL 6496-G-A at p. 14.</w:t>
      </w:r>
    </w:p>
  </w:footnote>
  <w:footnote w:id="70">
    <w:p w14:paraId="0A899609" w14:textId="7E5DDE9F" w:rsidR="00385610" w:rsidRPr="00BA5357" w:rsidRDefault="00385610">
      <w:pPr>
        <w:pStyle w:val="FootnoteText"/>
        <w:rPr>
          <w:rFonts w:ascii="Palatino Linotype" w:hAnsi="Palatino Linotype"/>
        </w:rPr>
      </w:pPr>
      <w:r w:rsidRPr="00BA5357">
        <w:rPr>
          <w:rStyle w:val="FootnoteReference"/>
          <w:rFonts w:ascii="Palatino Linotype" w:hAnsi="Palatino Linotype"/>
        </w:rPr>
        <w:footnoteRef/>
      </w:r>
      <w:r w:rsidRPr="00BA5357">
        <w:rPr>
          <w:rFonts w:ascii="Palatino Linotype" w:hAnsi="Palatino Linotype"/>
        </w:rPr>
        <w:t xml:space="preserve"> </w:t>
      </w:r>
      <w:r w:rsidR="004D30EB" w:rsidRPr="00BA5357">
        <w:rPr>
          <w:rFonts w:ascii="Palatino Linotype" w:hAnsi="Palatino Linotype"/>
        </w:rPr>
        <w:t xml:space="preserve">Per </w:t>
      </w:r>
      <w:hyperlink r:id="rId12" w:history="1">
        <w:r w:rsidR="004D30EB" w:rsidRPr="00BA5357">
          <w:rPr>
            <w:rStyle w:val="Hyperlink"/>
            <w:rFonts w:ascii="Palatino Linotype" w:hAnsi="Palatino Linotype"/>
          </w:rPr>
          <w:t>D.19-09-051</w:t>
        </w:r>
      </w:hyperlink>
      <w:r w:rsidR="004D30EB" w:rsidRPr="00BA5357">
        <w:rPr>
          <w:rFonts w:ascii="Palatino Linotype" w:hAnsi="Palatino Linotype"/>
        </w:rPr>
        <w:t xml:space="preserve"> at p. 378 &amp; OP 30.</w:t>
      </w:r>
      <w:r w:rsidR="009E4106" w:rsidRPr="00BA5357">
        <w:rPr>
          <w:rFonts w:ascii="Palatino Linotype" w:hAnsi="Palatino Linotype"/>
        </w:rPr>
        <w:t xml:space="preserve"> See Resolution </w:t>
      </w:r>
      <w:r w:rsidR="00190664" w:rsidRPr="00BA5357">
        <w:rPr>
          <w:rFonts w:ascii="Palatino Linotype" w:eastAsia="Times New Roman" w:hAnsi="Palatino Linotype" w:cs="Times New Roman"/>
          <w:kern w:val="0"/>
          <w14:ligatures w14:val="none"/>
        </w:rPr>
        <w:t xml:space="preserve">G-3624 </w:t>
      </w:r>
      <w:r w:rsidR="009E4106" w:rsidRPr="00BA5357">
        <w:rPr>
          <w:rFonts w:ascii="Palatino Linotype" w:hAnsi="Palatino Linotype"/>
        </w:rPr>
        <w:t>at Appendix</w:t>
      </w:r>
      <w:r w:rsidR="009E4106" w:rsidRPr="00BA5357">
        <w:rPr>
          <w:rFonts w:ascii="Palatino Linotype" w:hAnsi="Palatino Linotype"/>
          <w:color w:val="000000" w:themeColor="text1"/>
        </w:rPr>
        <w:t xml:space="preserve"> </w:t>
      </w:r>
      <w:r w:rsidR="004001BD" w:rsidRPr="00BA5357">
        <w:rPr>
          <w:rFonts w:ascii="Palatino Linotype" w:hAnsi="Palatino Linotype"/>
          <w:color w:val="000000" w:themeColor="text1"/>
        </w:rPr>
        <w:t>G</w:t>
      </w:r>
      <w:r w:rsidR="009E4106" w:rsidRPr="00BA5357">
        <w:rPr>
          <w:rFonts w:ascii="Palatino Linotype" w:hAnsi="Palatino Linotype"/>
        </w:rPr>
        <w:t xml:space="preserve">: Compliance Assessment of </w:t>
      </w:r>
      <w:r w:rsidR="000B3FF3">
        <w:rPr>
          <w:rFonts w:ascii="Palatino Linotype" w:hAnsi="Palatino Linotype"/>
        </w:rPr>
        <w:br/>
      </w:r>
      <w:r w:rsidR="009E4106" w:rsidRPr="00BA5357">
        <w:rPr>
          <w:rFonts w:ascii="Palatino Linotype" w:hAnsi="Palatino Linotype"/>
        </w:rPr>
        <w:t>AL 6495-G-A at CPUC Requirement [2].</w:t>
      </w:r>
    </w:p>
  </w:footnote>
  <w:footnote w:id="71">
    <w:p w14:paraId="13490A27" w14:textId="4C3F6EA9" w:rsidR="004871B7" w:rsidRPr="00BA5357" w:rsidRDefault="004871B7">
      <w:pPr>
        <w:pStyle w:val="FootnoteText"/>
        <w:rPr>
          <w:rFonts w:ascii="Palatino Linotype" w:hAnsi="Palatino Linotype"/>
        </w:rPr>
      </w:pPr>
      <w:r w:rsidRPr="00BA5357">
        <w:rPr>
          <w:rStyle w:val="FootnoteReference"/>
          <w:rFonts w:ascii="Palatino Linotype" w:hAnsi="Palatino Linotype"/>
        </w:rPr>
        <w:footnoteRef/>
      </w:r>
      <w:r w:rsidRPr="00BA5357">
        <w:rPr>
          <w:rFonts w:ascii="Palatino Linotype" w:hAnsi="Palatino Linotype"/>
        </w:rPr>
        <w:t xml:space="preserve"> Per </w:t>
      </w:r>
      <w:r w:rsidR="00C0610A" w:rsidRPr="00BA5357">
        <w:rPr>
          <w:rFonts w:ascii="Palatino Linotype" w:hAnsi="Palatino Linotype"/>
        </w:rPr>
        <w:t xml:space="preserve">Public Utilities Code 740.1 at </w:t>
      </w:r>
      <w:r w:rsidR="009174C8" w:rsidRPr="00BA5357">
        <w:rPr>
          <w:rFonts w:ascii="Palatino Linotype" w:hAnsi="Palatino Linotype"/>
        </w:rPr>
        <w:t xml:space="preserve">(a). See Resolution </w:t>
      </w:r>
      <w:r w:rsidR="009174C8" w:rsidRPr="00BA5357">
        <w:rPr>
          <w:rFonts w:ascii="Palatino Linotype" w:eastAsia="Times New Roman" w:hAnsi="Palatino Linotype" w:cs="Times New Roman"/>
          <w:kern w:val="0"/>
          <w14:ligatures w14:val="none"/>
        </w:rPr>
        <w:t xml:space="preserve">G-3624 </w:t>
      </w:r>
      <w:r w:rsidR="009174C8" w:rsidRPr="00BA5357">
        <w:rPr>
          <w:rFonts w:ascii="Palatino Linotype" w:hAnsi="Palatino Linotype"/>
        </w:rPr>
        <w:t>at Appendix</w:t>
      </w:r>
      <w:r w:rsidR="009174C8" w:rsidRPr="00BA5357">
        <w:rPr>
          <w:rFonts w:ascii="Palatino Linotype" w:hAnsi="Palatino Linotype"/>
          <w:color w:val="000000" w:themeColor="text1"/>
        </w:rPr>
        <w:t xml:space="preserve"> </w:t>
      </w:r>
      <w:r w:rsidR="007D5678" w:rsidRPr="00BA5357">
        <w:rPr>
          <w:rFonts w:ascii="Palatino Linotype" w:hAnsi="Palatino Linotype"/>
          <w:color w:val="000000" w:themeColor="text1"/>
        </w:rPr>
        <w:t>G</w:t>
      </w:r>
      <w:r w:rsidR="009174C8" w:rsidRPr="00BA5357">
        <w:rPr>
          <w:rFonts w:ascii="Palatino Linotype" w:hAnsi="Palatino Linotype"/>
        </w:rPr>
        <w:t>: Compliance Assessment of AL 6495-G-A at CPUC Requirement [</w:t>
      </w:r>
      <w:r w:rsidR="00421A6B" w:rsidRPr="00BA5357">
        <w:rPr>
          <w:rFonts w:ascii="Palatino Linotype" w:hAnsi="Palatino Linotype"/>
        </w:rPr>
        <w:t>6</w:t>
      </w:r>
      <w:r w:rsidR="009174C8" w:rsidRPr="00BA5357">
        <w:rPr>
          <w:rFonts w:ascii="Palatino Linotype" w:hAnsi="Palatino Linotype"/>
        </w:rPr>
        <w:t>].</w:t>
      </w:r>
    </w:p>
  </w:footnote>
  <w:footnote w:id="72">
    <w:p w14:paraId="2450B5CE" w14:textId="53606919" w:rsidR="002302C9" w:rsidRPr="00BA5357" w:rsidRDefault="002302C9" w:rsidP="002302C9">
      <w:pPr>
        <w:pStyle w:val="FootnoteText"/>
        <w:rPr>
          <w:rFonts w:ascii="Palatino Linotype" w:hAnsi="Palatino Linotype"/>
          <w:bCs/>
          <w:color w:val="000000" w:themeColor="text1"/>
        </w:rPr>
      </w:pPr>
      <w:r w:rsidRPr="00BA5357">
        <w:rPr>
          <w:rStyle w:val="FootnoteReference"/>
          <w:rFonts w:ascii="Palatino Linotype" w:hAnsi="Palatino Linotype"/>
        </w:rPr>
        <w:footnoteRef/>
      </w:r>
      <w:r w:rsidRPr="00BA5357">
        <w:rPr>
          <w:rFonts w:ascii="Palatino Linotype" w:hAnsi="Palatino Linotype"/>
        </w:rPr>
        <w:t xml:space="preserve"> </w:t>
      </w:r>
      <w:r w:rsidRPr="00BA5357">
        <w:rPr>
          <w:rFonts w:ascii="Palatino Linotype" w:hAnsi="Palatino Linotype"/>
          <w:color w:val="000000" w:themeColor="text1"/>
        </w:rPr>
        <w:t xml:space="preserve">AL 6495-G-A </w:t>
      </w:r>
      <w:r w:rsidRPr="00BA5357">
        <w:rPr>
          <w:rFonts w:ascii="Palatino Linotype" w:hAnsi="Palatino Linotype"/>
          <w:bCs/>
          <w:color w:val="000000" w:themeColor="text1"/>
        </w:rPr>
        <w:t xml:space="preserve">Attachment A at p. </w:t>
      </w:r>
      <w:r w:rsidR="002B3870" w:rsidRPr="00BA5357">
        <w:rPr>
          <w:rFonts w:ascii="Palatino Linotype" w:hAnsi="Palatino Linotype"/>
          <w:bCs/>
          <w:color w:val="000000" w:themeColor="text1"/>
        </w:rPr>
        <w:t>8.</w:t>
      </w:r>
    </w:p>
  </w:footnote>
  <w:footnote w:id="73">
    <w:p w14:paraId="03EBD8FC" w14:textId="77777777" w:rsidR="006E1109" w:rsidRPr="00BA5357" w:rsidRDefault="006E1109" w:rsidP="006E1109">
      <w:pPr>
        <w:pStyle w:val="FootnoteText"/>
        <w:rPr>
          <w:rFonts w:ascii="Palatino Linotype" w:hAnsi="Palatino Linotype"/>
        </w:rPr>
      </w:pPr>
      <w:r w:rsidRPr="00BA5357">
        <w:rPr>
          <w:rStyle w:val="FootnoteReference"/>
          <w:rFonts w:ascii="Palatino Linotype" w:hAnsi="Palatino Linotype"/>
        </w:rPr>
        <w:footnoteRef/>
      </w:r>
      <w:r w:rsidRPr="00BA5357">
        <w:rPr>
          <w:rFonts w:ascii="Palatino Linotype" w:hAnsi="Palatino Linotype"/>
        </w:rPr>
        <w:t xml:space="preserve"> </w:t>
      </w:r>
      <w:r w:rsidRPr="00BA5357">
        <w:rPr>
          <w:rFonts w:ascii="Palatino Linotype" w:hAnsi="Palatino Linotype"/>
          <w:color w:val="000000" w:themeColor="text1"/>
        </w:rPr>
        <w:t xml:space="preserve">AL 6495-G-A </w:t>
      </w:r>
      <w:r w:rsidRPr="00BA5357">
        <w:rPr>
          <w:rFonts w:ascii="Palatino Linotype" w:hAnsi="Palatino Linotype"/>
          <w:bCs/>
          <w:color w:val="000000" w:themeColor="text1"/>
        </w:rPr>
        <w:t>Attachment A at p. 55.</w:t>
      </w:r>
    </w:p>
  </w:footnote>
  <w:footnote w:id="74">
    <w:p w14:paraId="24F54F42" w14:textId="723265BB" w:rsidR="00FA1014" w:rsidRPr="00BA5357" w:rsidRDefault="00FA1014">
      <w:pPr>
        <w:pStyle w:val="FootnoteText"/>
        <w:rPr>
          <w:rFonts w:ascii="Palatino Linotype" w:hAnsi="Palatino Linotype"/>
        </w:rPr>
      </w:pPr>
      <w:r w:rsidRPr="00BA5357">
        <w:rPr>
          <w:rStyle w:val="FootnoteReference"/>
          <w:rFonts w:ascii="Palatino Linotype" w:hAnsi="Palatino Linotype"/>
        </w:rPr>
        <w:footnoteRef/>
      </w:r>
      <w:r w:rsidRPr="00BA5357">
        <w:rPr>
          <w:rFonts w:ascii="Palatino Linotype" w:hAnsi="Palatino Linotype"/>
        </w:rPr>
        <w:t xml:space="preserve"> Per </w:t>
      </w:r>
      <w:hyperlink r:id="rId13">
        <w:r w:rsidR="009E4106" w:rsidRPr="00BA5357">
          <w:rPr>
            <w:rStyle w:val="Hyperlink"/>
            <w:rFonts w:ascii="Palatino Linotype" w:hAnsi="Palatino Linotype"/>
          </w:rPr>
          <w:t>Resolution G-3601</w:t>
        </w:r>
      </w:hyperlink>
      <w:r w:rsidR="009E4106" w:rsidRPr="00BA5357">
        <w:rPr>
          <w:rFonts w:ascii="Palatino Linotype" w:hAnsi="Palatino Linotype"/>
        </w:rPr>
        <w:t> (2023)</w:t>
      </w:r>
      <w:r w:rsidR="00F728D5" w:rsidRPr="00BA5357">
        <w:rPr>
          <w:rFonts w:ascii="Palatino Linotype" w:hAnsi="Palatino Linotype"/>
        </w:rPr>
        <w:t xml:space="preserve">: </w:t>
      </w:r>
      <w:r w:rsidR="004972B4" w:rsidRPr="00BA5357">
        <w:rPr>
          <w:rFonts w:ascii="Palatino Linotype" w:hAnsi="Palatino Linotype"/>
        </w:rPr>
        <w:t>Addressing SoCalGas’ 2023 Gas RD&amp;D Plan</w:t>
      </w:r>
      <w:r w:rsidR="009E4106" w:rsidRPr="00BA5357">
        <w:rPr>
          <w:rFonts w:ascii="Palatino Linotype" w:hAnsi="Palatino Linotype"/>
        </w:rPr>
        <w:t xml:space="preserve"> at OP 6. See Resolution </w:t>
      </w:r>
      <w:r w:rsidR="000B3FF3">
        <w:rPr>
          <w:rFonts w:ascii="Palatino Linotype" w:hAnsi="Palatino Linotype"/>
        </w:rPr>
        <w:br/>
      </w:r>
      <w:r w:rsidR="00190664" w:rsidRPr="00BA5357">
        <w:rPr>
          <w:rFonts w:ascii="Palatino Linotype" w:eastAsia="Times New Roman" w:hAnsi="Palatino Linotype" w:cs="Times New Roman"/>
          <w:kern w:val="0"/>
          <w14:ligatures w14:val="none"/>
        </w:rPr>
        <w:t xml:space="preserve">G-3624 </w:t>
      </w:r>
      <w:r w:rsidR="009E4106" w:rsidRPr="00BA5357">
        <w:rPr>
          <w:rFonts w:ascii="Palatino Linotype" w:hAnsi="Palatino Linotype"/>
        </w:rPr>
        <w:t>at Appendix</w:t>
      </w:r>
      <w:r w:rsidR="009E4106" w:rsidRPr="00BA5357">
        <w:rPr>
          <w:rFonts w:ascii="Palatino Linotype" w:hAnsi="Palatino Linotype"/>
          <w:color w:val="000000" w:themeColor="text1"/>
        </w:rPr>
        <w:t xml:space="preserve"> </w:t>
      </w:r>
      <w:r w:rsidR="004001BD" w:rsidRPr="00BA5357">
        <w:rPr>
          <w:rFonts w:ascii="Palatino Linotype" w:hAnsi="Palatino Linotype"/>
          <w:color w:val="000000" w:themeColor="text1"/>
        </w:rPr>
        <w:t>G</w:t>
      </w:r>
      <w:r w:rsidR="009E4106" w:rsidRPr="00BA5357">
        <w:rPr>
          <w:rFonts w:ascii="Palatino Linotype" w:hAnsi="Palatino Linotype"/>
        </w:rPr>
        <w:t xml:space="preserve">: Compliance Assessment of AL 6495-G-A at </w:t>
      </w:r>
      <w:r w:rsidR="00313C10" w:rsidRPr="00BA5357">
        <w:rPr>
          <w:rFonts w:ascii="Palatino Linotype" w:hAnsi="Palatino Linotype"/>
        </w:rPr>
        <w:t>CPUC</w:t>
      </w:r>
      <w:r w:rsidR="009E4106" w:rsidRPr="00BA5357">
        <w:rPr>
          <w:rFonts w:ascii="Palatino Linotype" w:hAnsi="Palatino Linotype"/>
        </w:rPr>
        <w:t xml:space="preserve"> Requirement [2</w:t>
      </w:r>
      <w:r w:rsidR="00772E0A" w:rsidRPr="00BA5357">
        <w:rPr>
          <w:rFonts w:ascii="Palatino Linotype" w:hAnsi="Palatino Linotype"/>
        </w:rPr>
        <w:t>0</w:t>
      </w:r>
      <w:r w:rsidR="009E4106" w:rsidRPr="00BA5357">
        <w:rPr>
          <w:rFonts w:ascii="Palatino Linotype" w:hAnsi="Palatino Linotype"/>
        </w:rPr>
        <w:t>].</w:t>
      </w:r>
    </w:p>
  </w:footnote>
  <w:footnote w:id="75">
    <w:p w14:paraId="2A6DD5E6" w14:textId="7B74B69A" w:rsidR="00F67431" w:rsidRDefault="00F67431">
      <w:pPr>
        <w:pStyle w:val="FootnoteText"/>
      </w:pPr>
      <w:r w:rsidRPr="00BA5357">
        <w:rPr>
          <w:rStyle w:val="FootnoteReference"/>
          <w:rFonts w:ascii="Palatino Linotype" w:hAnsi="Palatino Linotype"/>
        </w:rPr>
        <w:footnoteRef/>
      </w:r>
      <w:r w:rsidRPr="00BA5357">
        <w:rPr>
          <w:rFonts w:ascii="Palatino Linotype" w:hAnsi="Palatino Linotype"/>
        </w:rPr>
        <w:t xml:space="preserve"> </w:t>
      </w:r>
      <w:r w:rsidR="00710E91" w:rsidRPr="00BA5357">
        <w:rPr>
          <w:rFonts w:ascii="Palatino Linotype" w:hAnsi="Palatino Linotype"/>
        </w:rPr>
        <w:t xml:space="preserve">Per </w:t>
      </w:r>
      <w:hyperlink r:id="rId14">
        <w:r w:rsidR="00710E91" w:rsidRPr="00BA5357">
          <w:rPr>
            <w:rStyle w:val="Hyperlink"/>
            <w:rFonts w:ascii="Palatino Linotype" w:hAnsi="Palatino Linotype"/>
          </w:rPr>
          <w:t>Resolution G-3601</w:t>
        </w:r>
      </w:hyperlink>
      <w:r w:rsidR="00710E91" w:rsidRPr="00BA5357">
        <w:rPr>
          <w:rFonts w:ascii="Palatino Linotype" w:hAnsi="Palatino Linotype"/>
        </w:rPr>
        <w:t xml:space="preserve"> (2023) at OP 6. See Resolution </w:t>
      </w:r>
      <w:r w:rsidR="00190664" w:rsidRPr="00BA5357">
        <w:rPr>
          <w:rFonts w:ascii="Palatino Linotype" w:eastAsia="Times New Roman" w:hAnsi="Palatino Linotype" w:cs="Times New Roman"/>
          <w:kern w:val="0"/>
          <w14:ligatures w14:val="none"/>
        </w:rPr>
        <w:t xml:space="preserve">G-3624 </w:t>
      </w:r>
      <w:r w:rsidR="00710E91" w:rsidRPr="00BA5357">
        <w:rPr>
          <w:rFonts w:ascii="Palatino Linotype" w:hAnsi="Palatino Linotype"/>
        </w:rPr>
        <w:t>at Appendix</w:t>
      </w:r>
      <w:r w:rsidR="00710E91" w:rsidRPr="00BA5357">
        <w:rPr>
          <w:rFonts w:ascii="Palatino Linotype" w:hAnsi="Palatino Linotype"/>
          <w:color w:val="000000" w:themeColor="text1"/>
        </w:rPr>
        <w:t xml:space="preserve"> </w:t>
      </w:r>
      <w:r w:rsidR="004001BD" w:rsidRPr="00BA5357">
        <w:rPr>
          <w:rFonts w:ascii="Palatino Linotype" w:hAnsi="Palatino Linotype"/>
          <w:color w:val="000000" w:themeColor="text1"/>
        </w:rPr>
        <w:t>G</w:t>
      </w:r>
      <w:r w:rsidR="00710E91" w:rsidRPr="00BA5357">
        <w:rPr>
          <w:rFonts w:ascii="Palatino Linotype" w:hAnsi="Palatino Linotype"/>
        </w:rPr>
        <w:t>: Compliance Assessment of AL 6495-G-A at CPUC Requirement [2</w:t>
      </w:r>
      <w:r w:rsidR="009A3D69" w:rsidRPr="00BA5357">
        <w:rPr>
          <w:rFonts w:ascii="Palatino Linotype" w:hAnsi="Palatino Linotype"/>
        </w:rPr>
        <w:t>5</w:t>
      </w:r>
      <w:r w:rsidR="00710E91" w:rsidRPr="00BA5357">
        <w:rPr>
          <w:rFonts w:ascii="Palatino Linotype" w:hAnsi="Palatino Linotype"/>
        </w:rPr>
        <w:t>].</w:t>
      </w:r>
      <w:r w:rsidR="004E7656" w:rsidRPr="00BA5357">
        <w:rPr>
          <w:rFonts w:ascii="Palatino Linotype" w:hAnsi="Palatino Linotype"/>
        </w:rPr>
        <w:t xml:space="preserve"> See</w:t>
      </w:r>
      <w:r w:rsidR="004001BD" w:rsidRPr="00BA5357">
        <w:rPr>
          <w:rFonts w:ascii="Palatino Linotype" w:hAnsi="Palatino Linotype"/>
        </w:rPr>
        <w:t>:</w:t>
      </w:r>
      <w:r w:rsidR="004E7656" w:rsidRPr="00BA5357">
        <w:rPr>
          <w:rFonts w:ascii="Palatino Linotype" w:hAnsi="Palatino Linotype"/>
        </w:rPr>
        <w:t xml:space="preserve"> </w:t>
      </w:r>
      <w:hyperlink r:id="rId15" w:history="1">
        <w:r w:rsidR="00BD3614" w:rsidRPr="00BA5357">
          <w:rPr>
            <w:rStyle w:val="Hyperlink"/>
            <w:rFonts w:ascii="Palatino Linotype" w:hAnsi="Palatino Linotype"/>
          </w:rPr>
          <w:t>CEC’s Proposed FY 2024-2025 Gas RD&amp;D Plan</w:t>
        </w:r>
      </w:hyperlink>
      <w:r w:rsidR="00BD3614" w:rsidRPr="00BA5357">
        <w:rPr>
          <w:rFonts w:ascii="Palatino Linotype" w:hAnsi="Palatino Linotype"/>
        </w:rPr>
        <w:t xml:space="preserve"> at p. </w:t>
      </w:r>
      <w:r w:rsidR="003760C4" w:rsidRPr="00BA5357">
        <w:rPr>
          <w:rFonts w:ascii="Palatino Linotype" w:hAnsi="Palatino Linotype"/>
        </w:rPr>
        <w:t>39-49</w:t>
      </w:r>
      <w:r w:rsidR="00BD3614" w:rsidRPr="00BA5357">
        <w:rPr>
          <w:rFonts w:ascii="Palatino Linotype" w:hAnsi="Palatino Linotype"/>
        </w:rPr>
        <w:t>.</w:t>
      </w:r>
    </w:p>
  </w:footnote>
  <w:footnote w:id="76">
    <w:p w14:paraId="05528213" w14:textId="77777777" w:rsidR="003C7F0E" w:rsidRPr="009F3DAA" w:rsidRDefault="003C7F0E" w:rsidP="003C7F0E">
      <w:pPr>
        <w:pStyle w:val="FootnoteText"/>
        <w:rPr>
          <w:rFonts w:ascii="Palatino Linotype" w:hAnsi="Palatino Linotype"/>
          <w:bCs/>
          <w:color w:val="000000" w:themeColor="text1"/>
        </w:rPr>
      </w:pPr>
      <w:r w:rsidRPr="009F3DAA">
        <w:rPr>
          <w:rStyle w:val="FootnoteReference"/>
          <w:rFonts w:ascii="Palatino Linotype" w:hAnsi="Palatino Linotype"/>
        </w:rPr>
        <w:footnoteRef/>
      </w:r>
      <w:r w:rsidRPr="009F3DAA">
        <w:rPr>
          <w:rFonts w:ascii="Palatino Linotype" w:hAnsi="Palatino Linotype"/>
        </w:rPr>
        <w:t xml:space="preserve"> </w:t>
      </w:r>
      <w:r w:rsidRPr="009F3DAA">
        <w:rPr>
          <w:rFonts w:ascii="Palatino Linotype" w:hAnsi="Palatino Linotype"/>
          <w:color w:val="000000" w:themeColor="text1"/>
        </w:rPr>
        <w:t xml:space="preserve">AL 6495-G-A </w:t>
      </w:r>
      <w:r w:rsidRPr="009F3DAA">
        <w:rPr>
          <w:rFonts w:ascii="Palatino Linotype" w:hAnsi="Palatino Linotype"/>
          <w:bCs/>
          <w:color w:val="000000" w:themeColor="text1"/>
        </w:rPr>
        <w:t>Attachment A at p. 55.</w:t>
      </w:r>
    </w:p>
  </w:footnote>
  <w:footnote w:id="77">
    <w:p w14:paraId="78D1C897" w14:textId="51231873" w:rsidR="00E3195C" w:rsidRPr="009F3DAA" w:rsidRDefault="00E3195C" w:rsidP="00E3195C">
      <w:pPr>
        <w:pStyle w:val="FootnoteText"/>
        <w:rPr>
          <w:rFonts w:ascii="Palatino Linotype" w:hAnsi="Palatino Linotype"/>
        </w:rPr>
      </w:pPr>
      <w:r w:rsidRPr="009F3DAA">
        <w:rPr>
          <w:rStyle w:val="FootnoteReference"/>
          <w:rFonts w:ascii="Palatino Linotype" w:hAnsi="Palatino Linotype"/>
        </w:rPr>
        <w:footnoteRef/>
      </w:r>
      <w:r w:rsidRPr="009F3DAA">
        <w:rPr>
          <w:rFonts w:ascii="Palatino Linotype" w:hAnsi="Palatino Linotype"/>
        </w:rPr>
        <w:t xml:space="preserve"> </w:t>
      </w:r>
      <w:hyperlink r:id="rId16">
        <w:r w:rsidRPr="009F3DAA">
          <w:rPr>
            <w:rStyle w:val="Hyperlink"/>
            <w:rFonts w:ascii="Palatino Linotype" w:hAnsi="Palatino Linotype"/>
          </w:rPr>
          <w:t>Resolution G-3601</w:t>
        </w:r>
      </w:hyperlink>
      <w:r w:rsidRPr="009F3DAA">
        <w:rPr>
          <w:rFonts w:ascii="Palatino Linotype" w:hAnsi="Palatino Linotype"/>
        </w:rPr>
        <w:t> (2023) at p. 21.</w:t>
      </w:r>
    </w:p>
  </w:footnote>
  <w:footnote w:id="78">
    <w:p w14:paraId="710C8730" w14:textId="77777777" w:rsidR="00CF6FC7" w:rsidRPr="009F3DAA" w:rsidRDefault="00CF6FC7" w:rsidP="00CF6FC7">
      <w:pPr>
        <w:pStyle w:val="FootnoteText"/>
        <w:rPr>
          <w:rFonts w:ascii="Palatino Linotype" w:hAnsi="Palatino Linotype"/>
        </w:rPr>
      </w:pPr>
      <w:r w:rsidRPr="009F3DAA">
        <w:rPr>
          <w:rStyle w:val="FootnoteReference"/>
          <w:rFonts w:ascii="Palatino Linotype" w:hAnsi="Palatino Linotype"/>
        </w:rPr>
        <w:footnoteRef/>
      </w:r>
      <w:r w:rsidRPr="009F3DAA">
        <w:rPr>
          <w:rFonts w:ascii="Palatino Linotype" w:hAnsi="Palatino Linotype"/>
        </w:rPr>
        <w:t xml:space="preserve"> </w:t>
      </w:r>
      <w:hyperlink r:id="rId17" w:history="1">
        <w:r w:rsidRPr="009F3DAA">
          <w:rPr>
            <w:rStyle w:val="Hyperlink"/>
            <w:rFonts w:ascii="Palatino Linotype" w:hAnsi="Palatino Linotype"/>
          </w:rPr>
          <w:t>Resolution G-3618</w:t>
        </w:r>
      </w:hyperlink>
      <w:r w:rsidRPr="009F3DAA">
        <w:rPr>
          <w:rFonts w:ascii="Palatino Linotype" w:hAnsi="Palatino Linotype"/>
        </w:rPr>
        <w:t xml:space="preserve"> (2026): Addressing PG&amp;E’s 2024 &amp; 2025 Gas RD&amp;D Plans</w:t>
      </w:r>
      <w:r w:rsidRPr="009F3DAA">
        <w:rPr>
          <w:rFonts w:ascii="Palatino Linotype" w:eastAsia="Palatino Linotype" w:hAnsi="Palatino Linotype"/>
          <w:color w:val="000000" w:themeColor="text1"/>
        </w:rPr>
        <w:t xml:space="preserve"> at</w:t>
      </w:r>
      <w:r w:rsidRPr="009F3DAA">
        <w:rPr>
          <w:rFonts w:ascii="Palatino Linotype" w:hAnsi="Palatino Linotype"/>
        </w:rPr>
        <w:t xml:space="preserve"> p. 16 &amp; 18.</w:t>
      </w:r>
    </w:p>
  </w:footnote>
  <w:footnote w:id="79">
    <w:p w14:paraId="08AB33CD" w14:textId="77777777" w:rsidR="00CF6FC7" w:rsidRPr="00763909" w:rsidRDefault="00CF6FC7" w:rsidP="00CF6FC7">
      <w:pPr>
        <w:pStyle w:val="FootnoteText"/>
        <w:rPr>
          <w:rFonts w:ascii="Palatino Linotype" w:hAnsi="Palatino Linotype"/>
        </w:rPr>
      </w:pPr>
      <w:r w:rsidRPr="009F3DAA">
        <w:rPr>
          <w:rStyle w:val="FootnoteReference"/>
          <w:rFonts w:ascii="Palatino Linotype" w:hAnsi="Palatino Linotype"/>
        </w:rPr>
        <w:footnoteRef/>
      </w:r>
      <w:r w:rsidRPr="009F3DAA">
        <w:rPr>
          <w:rFonts w:ascii="Palatino Linotype" w:hAnsi="Palatino Linotype"/>
        </w:rPr>
        <w:t xml:space="preserve"> </w:t>
      </w:r>
      <w:hyperlink r:id="rId18" w:history="1">
        <w:r w:rsidRPr="009F3DAA">
          <w:rPr>
            <w:rStyle w:val="Hyperlink"/>
            <w:rFonts w:ascii="Palatino Linotype" w:hAnsi="Palatino Linotype"/>
          </w:rPr>
          <w:t>Resolution G-3623</w:t>
        </w:r>
      </w:hyperlink>
      <w:r w:rsidRPr="009F3DAA">
        <w:rPr>
          <w:rFonts w:ascii="Palatino Linotype" w:hAnsi="Palatino Linotype"/>
        </w:rPr>
        <w:t xml:space="preserve"> (2026): Addressing PG&amp;E’s 2024, 2025, &amp; 2026 Gas RD&amp;D Plans at p. 28 &amp; FOF 3b.</w:t>
      </w:r>
    </w:p>
  </w:footnote>
  <w:footnote w:id="80">
    <w:p w14:paraId="49E538E1" w14:textId="77777777" w:rsidR="00B12D0E" w:rsidRPr="00E0057A" w:rsidRDefault="00B12D0E" w:rsidP="00B12D0E">
      <w:pPr>
        <w:pStyle w:val="FootnoteText"/>
        <w:rPr>
          <w:rFonts w:ascii="Palatino Linotype" w:hAnsi="Palatino Linotype"/>
        </w:rPr>
      </w:pPr>
      <w:r w:rsidRPr="00E0057A">
        <w:rPr>
          <w:rStyle w:val="FootnoteReference"/>
          <w:rFonts w:ascii="Palatino Linotype" w:hAnsi="Palatino Linotype"/>
        </w:rPr>
        <w:footnoteRef/>
      </w:r>
      <w:r w:rsidRPr="00E0057A">
        <w:rPr>
          <w:rFonts w:ascii="Palatino Linotype" w:hAnsi="Palatino Linotype"/>
        </w:rPr>
        <w:t xml:space="preserve"> </w:t>
      </w:r>
      <w:r>
        <w:rPr>
          <w:rFonts w:ascii="Palatino Linotype" w:hAnsi="Palatino Linotype"/>
        </w:rPr>
        <w:t xml:space="preserve">Hydrogen is not included in the </w:t>
      </w:r>
      <w:hyperlink r:id="rId19" w:history="1">
        <w:r w:rsidRPr="00E0057A">
          <w:rPr>
            <w:rStyle w:val="Hyperlink"/>
            <w:rFonts w:ascii="Palatino Linotype" w:hAnsi="Palatino Linotype"/>
          </w:rPr>
          <w:t>Final 2025 Inputs and Assumptions (I&amp;A) for the 2024-2026 IRP Cycle</w:t>
        </w:r>
      </w:hyperlink>
      <w:r w:rsidRPr="00E0057A">
        <w:rPr>
          <w:rFonts w:ascii="Palatino Linotype" w:hAnsi="Palatino Linotype"/>
        </w:rPr>
        <w:t>.</w:t>
      </w:r>
    </w:p>
  </w:footnote>
  <w:footnote w:id="81">
    <w:p w14:paraId="3751946A" w14:textId="0C73F763" w:rsidR="00DE7DC3" w:rsidRDefault="00DE7DC3">
      <w:pPr>
        <w:pStyle w:val="FootnoteText"/>
      </w:pPr>
      <w:r>
        <w:rPr>
          <w:rStyle w:val="FootnoteReference"/>
        </w:rPr>
        <w:footnoteRef/>
      </w:r>
      <w:r>
        <w:t xml:space="preserve"> </w:t>
      </w:r>
      <w:r w:rsidR="002F1B73" w:rsidRPr="009E4106">
        <w:rPr>
          <w:rFonts w:ascii="Palatino Linotype" w:hAnsi="Palatino Linotype"/>
        </w:rPr>
        <w:t xml:space="preserve">Per </w:t>
      </w:r>
      <w:hyperlink r:id="rId20">
        <w:r w:rsidR="002F1B73" w:rsidRPr="009E4106">
          <w:rPr>
            <w:rStyle w:val="Hyperlink"/>
            <w:rFonts w:ascii="Palatino Linotype" w:hAnsi="Palatino Linotype"/>
          </w:rPr>
          <w:t>Resolution G-3601</w:t>
        </w:r>
      </w:hyperlink>
      <w:r w:rsidR="002F1B73" w:rsidRPr="009E4106">
        <w:rPr>
          <w:rFonts w:ascii="Palatino Linotype" w:hAnsi="Palatino Linotype"/>
        </w:rPr>
        <w:t> (2023) at OP 6</w:t>
      </w:r>
      <w:r w:rsidR="002F1B73">
        <w:rPr>
          <w:rFonts w:ascii="Palatino Linotype" w:hAnsi="Palatino Linotype"/>
        </w:rPr>
        <w:t xml:space="preserve">. </w:t>
      </w:r>
      <w:r w:rsidR="002F1B73" w:rsidRPr="00F27196">
        <w:rPr>
          <w:rFonts w:ascii="Palatino Linotype" w:hAnsi="Palatino Linotype"/>
        </w:rPr>
        <w:t xml:space="preserve">See Resolution </w:t>
      </w:r>
      <w:r w:rsidR="002F1B73">
        <w:rPr>
          <w:rFonts w:ascii="Palatino Linotype" w:eastAsia="Times New Roman" w:hAnsi="Palatino Linotype" w:cs="Times New Roman"/>
          <w:kern w:val="0"/>
          <w14:ligatures w14:val="none"/>
        </w:rPr>
        <w:t xml:space="preserve">G-3624 </w:t>
      </w:r>
      <w:r w:rsidR="002F1B73" w:rsidRPr="00F27196">
        <w:rPr>
          <w:rFonts w:ascii="Palatino Linotype" w:hAnsi="Palatino Linotype"/>
        </w:rPr>
        <w:t>at Appendix</w:t>
      </w:r>
      <w:r w:rsidR="002F1B73" w:rsidRPr="00FE272E">
        <w:rPr>
          <w:rFonts w:ascii="Palatino Linotype" w:hAnsi="Palatino Linotype"/>
          <w:color w:val="000000" w:themeColor="text1"/>
        </w:rPr>
        <w:t xml:space="preserve"> </w:t>
      </w:r>
      <w:r w:rsidR="002F1B73">
        <w:rPr>
          <w:rFonts w:ascii="Palatino Linotype" w:hAnsi="Palatino Linotype"/>
          <w:color w:val="000000" w:themeColor="text1"/>
        </w:rPr>
        <w:t>G</w:t>
      </w:r>
      <w:r w:rsidR="002F1B73" w:rsidRPr="00F27196">
        <w:rPr>
          <w:rFonts w:ascii="Palatino Linotype" w:hAnsi="Palatino Linotype"/>
        </w:rPr>
        <w:t xml:space="preserve">: Compliance Assessment of AL </w:t>
      </w:r>
      <w:r w:rsidR="002F1B73">
        <w:rPr>
          <w:rFonts w:ascii="Palatino Linotype" w:hAnsi="Palatino Linotype"/>
        </w:rPr>
        <w:t>6495-G-A at CPUC Requirement [</w:t>
      </w:r>
      <w:r w:rsidR="002F1B73" w:rsidRPr="00F927B2">
        <w:rPr>
          <w:rFonts w:ascii="Palatino Linotype" w:hAnsi="Palatino Linotype"/>
        </w:rPr>
        <w:t>2</w:t>
      </w:r>
      <w:r w:rsidR="002F1B73">
        <w:rPr>
          <w:rFonts w:ascii="Palatino Linotype" w:hAnsi="Palatino Linotype"/>
        </w:rPr>
        <w:t>1</w:t>
      </w:r>
      <w:r w:rsidR="002F1B73" w:rsidRPr="00F927B2">
        <w:rPr>
          <w:rFonts w:ascii="Palatino Linotype" w:hAnsi="Palatino Linotype"/>
        </w:rPr>
        <w:t>].</w:t>
      </w:r>
    </w:p>
  </w:footnote>
  <w:footnote w:id="82">
    <w:p w14:paraId="20E17E8F" w14:textId="4622546E" w:rsidR="00C43B8D" w:rsidRPr="007B5BB1" w:rsidRDefault="00C43B8D">
      <w:pPr>
        <w:pStyle w:val="FootnoteText"/>
        <w:rPr>
          <w:rFonts w:ascii="Palatino Linotype" w:hAnsi="Palatino Linotype"/>
        </w:rPr>
      </w:pPr>
      <w:r w:rsidRPr="007B5BB1">
        <w:rPr>
          <w:rStyle w:val="FootnoteReference"/>
          <w:rFonts w:ascii="Palatino Linotype" w:hAnsi="Palatino Linotype"/>
        </w:rPr>
        <w:footnoteRef/>
      </w:r>
      <w:r w:rsidRPr="007B5BB1">
        <w:rPr>
          <w:rFonts w:ascii="Palatino Linotype" w:hAnsi="Palatino Linotype"/>
        </w:rPr>
        <w:t xml:space="preserve"> Consistent with EPIC</w:t>
      </w:r>
      <w:r w:rsidR="00DC7441" w:rsidRPr="007B5BB1">
        <w:rPr>
          <w:rFonts w:ascii="Palatino Linotype" w:hAnsi="Palatino Linotype"/>
        </w:rPr>
        <w:t xml:space="preserve"> per </w:t>
      </w:r>
      <w:hyperlink r:id="rId21" w:history="1">
        <w:r w:rsidR="00FF1331" w:rsidRPr="007B5BB1">
          <w:rPr>
            <w:rStyle w:val="Hyperlink"/>
            <w:rFonts w:ascii="Palatino Linotype" w:hAnsi="Palatino Linotype"/>
          </w:rPr>
          <w:t>D.12-0</w:t>
        </w:r>
        <w:bookmarkStart w:id="1" w:name="_Hlt237504507"/>
        <w:bookmarkStart w:id="2" w:name="_Hlt237504508"/>
        <w:bookmarkEnd w:id="1"/>
        <w:bookmarkEnd w:id="2"/>
        <w:r w:rsidR="00FF1331" w:rsidRPr="007B5BB1">
          <w:rPr>
            <w:rStyle w:val="Hyperlink"/>
            <w:rFonts w:ascii="Palatino Linotype" w:hAnsi="Palatino Linotype"/>
          </w:rPr>
          <w:t>5-037</w:t>
        </w:r>
      </w:hyperlink>
      <w:r w:rsidR="00FF1331" w:rsidRPr="007B5BB1">
        <w:rPr>
          <w:rFonts w:ascii="Palatino Linotype" w:hAnsi="Palatino Linotype"/>
        </w:rPr>
        <w:t xml:space="preserve"> at OP 3</w:t>
      </w:r>
      <w:r w:rsidR="00B03913">
        <w:rPr>
          <w:rFonts w:ascii="Palatino Linotype" w:hAnsi="Palatino Linotype"/>
        </w:rPr>
        <w:t xml:space="preserve"> &amp;</w:t>
      </w:r>
      <w:r w:rsidR="00FF1331" w:rsidRPr="007B5BB1">
        <w:rPr>
          <w:rFonts w:ascii="Palatino Linotype" w:hAnsi="Palatino Linotype"/>
        </w:rPr>
        <w:t xml:space="preserve"> </w:t>
      </w:r>
      <w:hyperlink r:id="rId22" w:history="1">
        <w:r w:rsidR="007B5BB1" w:rsidRPr="007B5BB1">
          <w:rPr>
            <w:rStyle w:val="Hyperlink"/>
            <w:rFonts w:ascii="Palatino Linotype" w:hAnsi="Palatino Linotype"/>
          </w:rPr>
          <w:t>D.21-11-028</w:t>
        </w:r>
      </w:hyperlink>
      <w:r w:rsidR="007B5BB1" w:rsidRPr="007B5BB1">
        <w:rPr>
          <w:rFonts w:ascii="Palatino Linotype" w:hAnsi="Palatino Linotype"/>
        </w:rPr>
        <w:t xml:space="preserve"> at p. 32.</w:t>
      </w:r>
    </w:p>
  </w:footnote>
  <w:footnote w:id="83">
    <w:p w14:paraId="66E5BE93" w14:textId="1A9866AD" w:rsidR="004C64D2" w:rsidRDefault="004C64D2">
      <w:pPr>
        <w:pStyle w:val="FootnoteText"/>
      </w:pPr>
      <w:r>
        <w:rPr>
          <w:rStyle w:val="FootnoteReference"/>
        </w:rPr>
        <w:footnoteRef/>
      </w:r>
      <w:r>
        <w:t xml:space="preserve"> </w:t>
      </w:r>
      <w:r w:rsidR="00581177" w:rsidRPr="008B779A">
        <w:rPr>
          <w:rFonts w:ascii="Palatino Linotype" w:hAnsi="Palatino Linotype"/>
          <w:color w:val="000000" w:themeColor="text1"/>
        </w:rPr>
        <w:t xml:space="preserve">AL 6495-G-A </w:t>
      </w:r>
      <w:r w:rsidR="00581177" w:rsidRPr="008B779A">
        <w:rPr>
          <w:rFonts w:ascii="Palatino Linotype" w:hAnsi="Palatino Linotype"/>
          <w:bCs/>
          <w:color w:val="000000" w:themeColor="text1"/>
        </w:rPr>
        <w:t>Attachment A at p.</w:t>
      </w:r>
      <w:r w:rsidR="00581177">
        <w:rPr>
          <w:rFonts w:ascii="Palatino Linotype" w:hAnsi="Palatino Linotype"/>
          <w:bCs/>
          <w:color w:val="000000" w:themeColor="text1"/>
        </w:rPr>
        <w:t xml:space="preserve"> </w:t>
      </w:r>
      <w:r w:rsidR="00E60633">
        <w:rPr>
          <w:rFonts w:ascii="Palatino Linotype" w:hAnsi="Palatino Linotype"/>
          <w:bCs/>
          <w:color w:val="000000" w:themeColor="text1"/>
        </w:rPr>
        <w:t>43.</w:t>
      </w:r>
    </w:p>
  </w:footnote>
  <w:footnote w:id="84">
    <w:p w14:paraId="63040A37" w14:textId="47563F38" w:rsidR="00FA06F4" w:rsidRDefault="00FA06F4" w:rsidP="00FA06F4">
      <w:pPr>
        <w:pStyle w:val="FootnoteText"/>
      </w:pPr>
      <w:r>
        <w:rPr>
          <w:rStyle w:val="FootnoteReference"/>
        </w:rPr>
        <w:footnoteRef/>
      </w:r>
      <w:r>
        <w:t xml:space="preserve"> </w:t>
      </w:r>
      <w:r w:rsidRPr="008B779A">
        <w:rPr>
          <w:rFonts w:ascii="Palatino Linotype" w:hAnsi="Palatino Linotype"/>
          <w:color w:val="000000" w:themeColor="text1"/>
        </w:rPr>
        <w:t xml:space="preserve">AL 6495-G-A </w:t>
      </w:r>
      <w:r w:rsidRPr="008B779A">
        <w:rPr>
          <w:rFonts w:ascii="Palatino Linotype" w:hAnsi="Palatino Linotype"/>
          <w:bCs/>
          <w:color w:val="000000" w:themeColor="text1"/>
        </w:rPr>
        <w:t xml:space="preserve">Attachment A </w:t>
      </w:r>
      <w:r w:rsidRPr="008B779A">
        <w:rPr>
          <w:rFonts w:ascii="Palatino Linotype" w:hAnsi="Palatino Linotype"/>
          <w:bCs/>
          <w:color w:val="000000" w:themeColor="text1"/>
        </w:rPr>
        <w:t>at p.</w:t>
      </w:r>
      <w:r>
        <w:rPr>
          <w:rFonts w:ascii="Palatino Linotype" w:hAnsi="Palatino Linotype"/>
          <w:bCs/>
          <w:color w:val="000000" w:themeColor="text1"/>
        </w:rPr>
        <w:t xml:space="preserve"> </w:t>
      </w:r>
      <w:r w:rsidR="00E60633">
        <w:rPr>
          <w:rFonts w:ascii="Palatino Linotype" w:hAnsi="Palatino Linotype"/>
          <w:bCs/>
          <w:color w:val="000000" w:themeColor="text1"/>
        </w:rPr>
        <w:t>54.</w:t>
      </w:r>
    </w:p>
  </w:footnote>
  <w:footnote w:id="85">
    <w:p w14:paraId="098BE99C" w14:textId="2122CFFE" w:rsidR="00667E6A" w:rsidRDefault="00667E6A">
      <w:pPr>
        <w:pStyle w:val="FootnoteText"/>
      </w:pPr>
      <w:r>
        <w:rPr>
          <w:rStyle w:val="FootnoteReference"/>
        </w:rPr>
        <w:footnoteRef/>
      </w:r>
      <w:r>
        <w:t xml:space="preserve"> </w:t>
      </w:r>
      <w:r w:rsidRPr="00C736B0">
        <w:rPr>
          <w:rFonts w:ascii="Palatino Linotype" w:hAnsi="Palatino Linotype"/>
        </w:rPr>
        <w:t>AL 6495-G-A at p. 6</w:t>
      </w:r>
      <w:r>
        <w:rPr>
          <w:rFonts w:ascii="Palatino Linotype" w:hAnsi="Palatino Linotype"/>
        </w:rPr>
        <w:t xml:space="preserve"> &amp; Attachment A at p. 9.</w:t>
      </w:r>
    </w:p>
  </w:footnote>
  <w:footnote w:id="86">
    <w:p w14:paraId="7A2C8123" w14:textId="25B91A92" w:rsidR="007D5678" w:rsidRDefault="007D5678">
      <w:pPr>
        <w:pStyle w:val="FootnoteText"/>
      </w:pPr>
      <w:r>
        <w:rPr>
          <w:rStyle w:val="FootnoteReference"/>
        </w:rPr>
        <w:footnoteRef/>
      </w:r>
      <w:r>
        <w:t xml:space="preserve"> </w:t>
      </w:r>
      <w:r w:rsidRPr="00421A6B">
        <w:rPr>
          <w:rFonts w:ascii="Palatino Linotype" w:hAnsi="Palatino Linotype"/>
        </w:rPr>
        <w:t xml:space="preserve">Per Public Utilities Code 740.1 at (a). See Resolution </w:t>
      </w:r>
      <w:r w:rsidRPr="00421A6B">
        <w:rPr>
          <w:rFonts w:ascii="Palatino Linotype" w:eastAsia="Times New Roman" w:hAnsi="Palatino Linotype" w:cs="Times New Roman"/>
          <w:kern w:val="0"/>
          <w14:ligatures w14:val="none"/>
        </w:rPr>
        <w:t xml:space="preserve">G-3624 </w:t>
      </w:r>
      <w:r w:rsidRPr="00421A6B">
        <w:rPr>
          <w:rFonts w:ascii="Palatino Linotype" w:hAnsi="Palatino Linotype"/>
        </w:rPr>
        <w:t>at Appendix</w:t>
      </w:r>
      <w:r w:rsidRPr="00421A6B">
        <w:rPr>
          <w:rFonts w:ascii="Palatino Linotype" w:hAnsi="Palatino Linotype"/>
          <w:color w:val="000000" w:themeColor="text1"/>
        </w:rPr>
        <w:t xml:space="preserve"> </w:t>
      </w:r>
      <w:r>
        <w:rPr>
          <w:rFonts w:ascii="Palatino Linotype" w:hAnsi="Palatino Linotype"/>
          <w:color w:val="000000" w:themeColor="text1"/>
        </w:rPr>
        <w:t>H</w:t>
      </w:r>
      <w:r w:rsidRPr="00421A6B">
        <w:rPr>
          <w:rFonts w:ascii="Palatino Linotype" w:hAnsi="Palatino Linotype"/>
        </w:rPr>
        <w:t>: Compliance Assessment of AL 649</w:t>
      </w:r>
      <w:r w:rsidR="00863CC9">
        <w:rPr>
          <w:rFonts w:ascii="Palatino Linotype" w:hAnsi="Palatino Linotype"/>
        </w:rPr>
        <w:t>6</w:t>
      </w:r>
      <w:r w:rsidRPr="00421A6B">
        <w:rPr>
          <w:rFonts w:ascii="Palatino Linotype" w:hAnsi="Palatino Linotype"/>
        </w:rPr>
        <w:t>-G-A at CPUC Requirement [6].</w:t>
      </w:r>
    </w:p>
  </w:footnote>
  <w:footnote w:id="87">
    <w:p w14:paraId="604DC665" w14:textId="06363BB0" w:rsidR="00791B5C" w:rsidRPr="002B3870" w:rsidRDefault="00791B5C" w:rsidP="00791B5C">
      <w:pPr>
        <w:pStyle w:val="FootnoteText"/>
        <w:rPr>
          <w:rFonts w:ascii="Palatino Linotype" w:hAnsi="Palatino Linotype"/>
          <w:bCs/>
          <w:color w:val="000000" w:themeColor="text1"/>
        </w:rPr>
      </w:pPr>
      <w:r>
        <w:rPr>
          <w:rStyle w:val="FootnoteReference"/>
        </w:rPr>
        <w:footnoteRef/>
      </w:r>
      <w:r>
        <w:t xml:space="preserve"> </w:t>
      </w:r>
      <w:r w:rsidRPr="008B779A">
        <w:rPr>
          <w:rFonts w:ascii="Palatino Linotype" w:hAnsi="Palatino Linotype"/>
          <w:color w:val="000000" w:themeColor="text1"/>
        </w:rPr>
        <w:t>AL 649</w:t>
      </w:r>
      <w:r w:rsidR="00766187">
        <w:rPr>
          <w:rFonts w:ascii="Palatino Linotype" w:hAnsi="Palatino Linotype"/>
          <w:color w:val="000000" w:themeColor="text1"/>
        </w:rPr>
        <w:t>6</w:t>
      </w:r>
      <w:r w:rsidRPr="008B779A">
        <w:rPr>
          <w:rFonts w:ascii="Palatino Linotype" w:hAnsi="Palatino Linotype"/>
          <w:color w:val="000000" w:themeColor="text1"/>
        </w:rPr>
        <w:t xml:space="preserve">-G-A </w:t>
      </w:r>
      <w:r w:rsidRPr="008B779A">
        <w:rPr>
          <w:rFonts w:ascii="Palatino Linotype" w:hAnsi="Palatino Linotype"/>
          <w:bCs/>
          <w:color w:val="000000" w:themeColor="text1"/>
        </w:rPr>
        <w:t xml:space="preserve">Attachment A at </w:t>
      </w:r>
      <w:r w:rsidR="00D26EC3">
        <w:rPr>
          <w:rFonts w:ascii="Palatino Linotype" w:hAnsi="Palatino Linotype"/>
          <w:bCs/>
          <w:color w:val="000000" w:themeColor="text1"/>
        </w:rPr>
        <w:t>p. 8</w:t>
      </w:r>
      <w:r w:rsidR="002B3870">
        <w:rPr>
          <w:rFonts w:ascii="Palatino Linotype" w:hAnsi="Palatino Linotype"/>
          <w:bCs/>
          <w:color w:val="000000" w:themeColor="text1"/>
        </w:rPr>
        <w:t>.</w:t>
      </w:r>
    </w:p>
  </w:footnote>
  <w:footnote w:id="88">
    <w:p w14:paraId="739BE7B3" w14:textId="2CBF093A" w:rsidR="00F33352" w:rsidRDefault="00F33352" w:rsidP="00F33352">
      <w:pPr>
        <w:pStyle w:val="FootnoteText"/>
      </w:pPr>
      <w:r>
        <w:rPr>
          <w:rStyle w:val="FootnoteReference"/>
        </w:rPr>
        <w:footnoteRef/>
      </w:r>
      <w:r>
        <w:t xml:space="preserve"> </w:t>
      </w:r>
      <w:r w:rsidRPr="008B779A">
        <w:rPr>
          <w:rFonts w:ascii="Palatino Linotype" w:hAnsi="Palatino Linotype"/>
          <w:color w:val="000000" w:themeColor="text1"/>
        </w:rPr>
        <w:t>AL 649</w:t>
      </w:r>
      <w:r>
        <w:rPr>
          <w:rFonts w:ascii="Palatino Linotype" w:hAnsi="Palatino Linotype"/>
          <w:color w:val="000000" w:themeColor="text1"/>
        </w:rPr>
        <w:t>6</w:t>
      </w:r>
      <w:r w:rsidRPr="008B779A">
        <w:rPr>
          <w:rFonts w:ascii="Palatino Linotype" w:hAnsi="Palatino Linotype"/>
          <w:color w:val="000000" w:themeColor="text1"/>
        </w:rPr>
        <w:t xml:space="preserve">-G-A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w:t>
      </w:r>
      <w:r w:rsidR="002C3699">
        <w:rPr>
          <w:rFonts w:ascii="Palatino Linotype" w:hAnsi="Palatino Linotype"/>
          <w:bCs/>
          <w:color w:val="000000" w:themeColor="text1"/>
        </w:rPr>
        <w:t>47</w:t>
      </w:r>
      <w:r>
        <w:rPr>
          <w:rFonts w:ascii="Palatino Linotype" w:hAnsi="Palatino Linotype"/>
          <w:bCs/>
          <w:color w:val="000000" w:themeColor="text1"/>
        </w:rPr>
        <w:t>.</w:t>
      </w:r>
    </w:p>
  </w:footnote>
  <w:footnote w:id="89">
    <w:p w14:paraId="7782505C" w14:textId="68A681C5" w:rsidR="0050701C" w:rsidRDefault="0050701C" w:rsidP="0050701C">
      <w:pPr>
        <w:pStyle w:val="FootnoteText"/>
      </w:pPr>
      <w:r>
        <w:rPr>
          <w:rStyle w:val="FootnoteReference"/>
        </w:rPr>
        <w:footnoteRef/>
      </w:r>
      <w:r>
        <w:t xml:space="preserve"> </w:t>
      </w:r>
      <w:r w:rsidRPr="009E4106">
        <w:rPr>
          <w:rFonts w:ascii="Palatino Linotype" w:hAnsi="Palatino Linotype"/>
        </w:rPr>
        <w:t xml:space="preserve">Per </w:t>
      </w:r>
      <w:hyperlink r:id="rId23">
        <w:r w:rsidRPr="009E4106">
          <w:rPr>
            <w:rStyle w:val="Hyperlink"/>
            <w:rFonts w:ascii="Palatino Linotype" w:hAnsi="Palatino Linotype"/>
          </w:rPr>
          <w:t>Resolution G-3601</w:t>
        </w:r>
      </w:hyperlink>
      <w:r w:rsidRPr="009E4106">
        <w:rPr>
          <w:rFonts w:ascii="Palatino Linotype" w:hAnsi="Palatino Linotype"/>
        </w:rPr>
        <w:t> (2023) at OP 6</w:t>
      </w:r>
      <w:r>
        <w:rPr>
          <w:rFonts w:ascii="Palatino Linotype" w:hAnsi="Palatino Linotype"/>
        </w:rPr>
        <w:t xml:space="preserve">. </w:t>
      </w:r>
      <w:r w:rsidRPr="00F27196">
        <w:rPr>
          <w:rFonts w:ascii="Palatino Linotype" w:hAnsi="Palatino Linotype"/>
        </w:rPr>
        <w:t xml:space="preserve">See Resolution </w:t>
      </w:r>
      <w:r w:rsidR="00190664">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sidR="004001BD">
        <w:rPr>
          <w:rFonts w:ascii="Palatino Linotype" w:hAnsi="Palatino Linotype"/>
          <w:color w:val="000000" w:themeColor="text1"/>
        </w:rPr>
        <w:t>H</w:t>
      </w:r>
      <w:r w:rsidRPr="00F27196">
        <w:rPr>
          <w:rFonts w:ascii="Palatino Linotype" w:hAnsi="Palatino Linotype"/>
        </w:rPr>
        <w:t xml:space="preserve">: Compliance Assessment of AL </w:t>
      </w:r>
      <w:r>
        <w:rPr>
          <w:rFonts w:ascii="Palatino Linotype" w:hAnsi="Palatino Linotype"/>
        </w:rPr>
        <w:t>649</w:t>
      </w:r>
      <w:r w:rsidR="00700B54">
        <w:rPr>
          <w:rFonts w:ascii="Palatino Linotype" w:hAnsi="Palatino Linotype"/>
        </w:rPr>
        <w:t>6</w:t>
      </w:r>
      <w:r>
        <w:rPr>
          <w:rFonts w:ascii="Palatino Linotype" w:hAnsi="Palatino Linotype"/>
        </w:rPr>
        <w:t>-G-A at CPUC Requirement [</w:t>
      </w:r>
      <w:r w:rsidR="00700B54" w:rsidRPr="00F927B2">
        <w:rPr>
          <w:rFonts w:ascii="Palatino Linotype" w:hAnsi="Palatino Linotype"/>
        </w:rPr>
        <w:t>1</w:t>
      </w:r>
      <w:r w:rsidR="00B04B4E" w:rsidRPr="00F927B2">
        <w:rPr>
          <w:rFonts w:ascii="Palatino Linotype" w:hAnsi="Palatino Linotype"/>
        </w:rPr>
        <w:t>8</w:t>
      </w:r>
      <w:r w:rsidRPr="00F927B2">
        <w:rPr>
          <w:rFonts w:ascii="Palatino Linotype" w:hAnsi="Palatino Linotype"/>
        </w:rPr>
        <w:t>].</w:t>
      </w:r>
    </w:p>
  </w:footnote>
  <w:footnote w:id="90">
    <w:p w14:paraId="5D51DD5E" w14:textId="36948164" w:rsidR="0050701C" w:rsidRDefault="0050701C" w:rsidP="0050701C">
      <w:pPr>
        <w:pStyle w:val="FootnoteText"/>
      </w:pPr>
      <w:r>
        <w:rPr>
          <w:rStyle w:val="FootnoteReference"/>
        </w:rPr>
        <w:footnoteRef/>
      </w:r>
      <w:r>
        <w:t xml:space="preserve"> </w:t>
      </w:r>
      <w:r w:rsidRPr="009E4106">
        <w:rPr>
          <w:rFonts w:ascii="Palatino Linotype" w:hAnsi="Palatino Linotype"/>
        </w:rPr>
        <w:t xml:space="preserve">Per </w:t>
      </w:r>
      <w:hyperlink r:id="rId24">
        <w:r w:rsidRPr="009E4106">
          <w:rPr>
            <w:rStyle w:val="Hyperlink"/>
            <w:rFonts w:ascii="Palatino Linotype" w:hAnsi="Palatino Linotype"/>
          </w:rPr>
          <w:t>Resolution G-3601</w:t>
        </w:r>
      </w:hyperlink>
      <w:r w:rsidRPr="009E4106">
        <w:rPr>
          <w:rFonts w:ascii="Palatino Linotype" w:hAnsi="Palatino Linotype"/>
        </w:rPr>
        <w:t> (2023) at OP 6</w:t>
      </w:r>
      <w:r>
        <w:rPr>
          <w:rFonts w:ascii="Palatino Linotype" w:hAnsi="Palatino Linotype"/>
        </w:rPr>
        <w:t xml:space="preserve">. </w:t>
      </w:r>
      <w:r w:rsidRPr="00F27196">
        <w:rPr>
          <w:rFonts w:ascii="Palatino Linotype" w:hAnsi="Palatino Linotype"/>
        </w:rPr>
        <w:t xml:space="preserve">See Resolution </w:t>
      </w:r>
      <w:r w:rsidR="00190664">
        <w:rPr>
          <w:rFonts w:ascii="Palatino Linotype" w:eastAsia="Times New Roman" w:hAnsi="Palatino Linotype" w:cs="Times New Roman"/>
          <w:kern w:val="0"/>
          <w14:ligatures w14:val="none"/>
        </w:rPr>
        <w:t xml:space="preserve">G-3624 </w:t>
      </w:r>
      <w:r w:rsidRPr="00F27196">
        <w:rPr>
          <w:rFonts w:ascii="Palatino Linotype" w:hAnsi="Palatino Linotype"/>
        </w:rPr>
        <w:t>at Appendix</w:t>
      </w:r>
      <w:r w:rsidRPr="00FE272E">
        <w:rPr>
          <w:rFonts w:ascii="Palatino Linotype" w:hAnsi="Palatino Linotype"/>
          <w:color w:val="000000" w:themeColor="text1"/>
        </w:rPr>
        <w:t xml:space="preserve"> </w:t>
      </w:r>
      <w:r w:rsidR="004001BD">
        <w:rPr>
          <w:rFonts w:ascii="Palatino Linotype" w:hAnsi="Palatino Linotype"/>
          <w:color w:val="000000" w:themeColor="text1"/>
        </w:rPr>
        <w:t>H</w:t>
      </w:r>
      <w:r w:rsidRPr="00F27196">
        <w:rPr>
          <w:rFonts w:ascii="Palatino Linotype" w:hAnsi="Palatino Linotype"/>
        </w:rPr>
        <w:t xml:space="preserve">: Compliance Assessment of AL </w:t>
      </w:r>
      <w:r>
        <w:rPr>
          <w:rFonts w:ascii="Palatino Linotype" w:hAnsi="Palatino Linotype"/>
        </w:rPr>
        <w:t>649</w:t>
      </w:r>
      <w:r w:rsidR="004737CD">
        <w:rPr>
          <w:rFonts w:ascii="Palatino Linotype" w:hAnsi="Palatino Linotype"/>
        </w:rPr>
        <w:t>6</w:t>
      </w:r>
      <w:r>
        <w:rPr>
          <w:rFonts w:ascii="Palatino Linotype" w:hAnsi="Palatino Linotype"/>
        </w:rPr>
        <w:t xml:space="preserve">-G-A at CPUC Requirement </w:t>
      </w:r>
      <w:r w:rsidRPr="00F927B2">
        <w:rPr>
          <w:rFonts w:ascii="Palatino Linotype" w:hAnsi="Palatino Linotype"/>
        </w:rPr>
        <w:t>[2</w:t>
      </w:r>
      <w:r w:rsidR="00195DC5" w:rsidRPr="00F927B2">
        <w:rPr>
          <w:rFonts w:ascii="Palatino Linotype" w:hAnsi="Palatino Linotype"/>
        </w:rPr>
        <w:t>3</w:t>
      </w:r>
      <w:r w:rsidRPr="00F927B2">
        <w:rPr>
          <w:rFonts w:ascii="Palatino Linotype" w:hAnsi="Palatino Linotype"/>
        </w:rPr>
        <w:t>].</w:t>
      </w:r>
      <w:r>
        <w:rPr>
          <w:rFonts w:ascii="Palatino Linotype" w:hAnsi="Palatino Linotype"/>
        </w:rPr>
        <w:t xml:space="preserve"> See </w:t>
      </w:r>
      <w:hyperlink r:id="rId25" w:history="1">
        <w:r w:rsidRPr="001E05F5">
          <w:rPr>
            <w:rStyle w:val="Hyperlink"/>
            <w:rFonts w:ascii="Palatino Linotype" w:hAnsi="Palatino Linotype"/>
          </w:rPr>
          <w:t>CEC’s Proposed FY 2024-2025 Gas RD&amp;D Plan</w:t>
        </w:r>
      </w:hyperlink>
      <w:r w:rsidRPr="001E05F5">
        <w:rPr>
          <w:rFonts w:ascii="Palatino Linotype" w:hAnsi="Palatino Linotype"/>
        </w:rPr>
        <w:t xml:space="preserve"> </w:t>
      </w:r>
      <w:r w:rsidRPr="00127FBB">
        <w:rPr>
          <w:rFonts w:ascii="Palatino Linotype" w:hAnsi="Palatino Linotype"/>
        </w:rPr>
        <w:t xml:space="preserve">at p. </w:t>
      </w:r>
      <w:r>
        <w:rPr>
          <w:rFonts w:ascii="Palatino Linotype" w:hAnsi="Palatino Linotype"/>
        </w:rPr>
        <w:t>39-49</w:t>
      </w:r>
      <w:r w:rsidRPr="00127FBB">
        <w:rPr>
          <w:rFonts w:ascii="Palatino Linotype" w:hAnsi="Palatino Linotype"/>
        </w:rPr>
        <w:t>.</w:t>
      </w:r>
    </w:p>
  </w:footnote>
  <w:footnote w:id="91">
    <w:p w14:paraId="246D256A" w14:textId="5619E2E7" w:rsidR="00F02C77" w:rsidRDefault="00F02C77">
      <w:pPr>
        <w:pStyle w:val="FootnoteText"/>
      </w:pPr>
      <w:r>
        <w:rPr>
          <w:rStyle w:val="FootnoteReference"/>
        </w:rPr>
        <w:footnoteRef/>
      </w:r>
      <w:r>
        <w:t xml:space="preserve"> </w:t>
      </w:r>
      <w:r w:rsidRPr="005C01D4">
        <w:rPr>
          <w:rFonts w:ascii="Palatino Linotype" w:hAnsi="Palatino Linotype"/>
          <w:color w:val="000000" w:themeColor="text1"/>
        </w:rPr>
        <w:t>AL 649</w:t>
      </w:r>
      <w:r>
        <w:rPr>
          <w:rFonts w:ascii="Palatino Linotype" w:hAnsi="Palatino Linotype"/>
          <w:color w:val="000000" w:themeColor="text1"/>
        </w:rPr>
        <w:t>6</w:t>
      </w:r>
      <w:r w:rsidRPr="005C01D4">
        <w:rPr>
          <w:rFonts w:ascii="Palatino Linotype" w:hAnsi="Palatino Linotype"/>
          <w:color w:val="000000" w:themeColor="text1"/>
        </w:rPr>
        <w:t xml:space="preserve">-G-A </w:t>
      </w:r>
      <w:r w:rsidRPr="005C01D4">
        <w:rPr>
          <w:rFonts w:ascii="Palatino Linotype" w:hAnsi="Palatino Linotype"/>
          <w:bCs/>
          <w:color w:val="000000" w:themeColor="text1"/>
        </w:rPr>
        <w:t xml:space="preserve">Attachment A at p. </w:t>
      </w:r>
      <w:r>
        <w:rPr>
          <w:rFonts w:ascii="Palatino Linotype" w:hAnsi="Palatino Linotype"/>
          <w:bCs/>
          <w:color w:val="000000" w:themeColor="text1"/>
        </w:rPr>
        <w:t>47.</w:t>
      </w:r>
    </w:p>
  </w:footnote>
  <w:footnote w:id="92">
    <w:p w14:paraId="6AA9EDA9" w14:textId="33F897DB" w:rsidR="00101281" w:rsidRPr="0021108F" w:rsidRDefault="00101281" w:rsidP="00101281">
      <w:pPr>
        <w:pStyle w:val="FootnoteText"/>
        <w:rPr>
          <w:rFonts w:ascii="Palatino Linotype" w:hAnsi="Palatino Linotype"/>
          <w:bCs/>
          <w:color w:val="000000" w:themeColor="text1"/>
        </w:rPr>
      </w:pPr>
      <w:r>
        <w:rPr>
          <w:rStyle w:val="FootnoteReference"/>
        </w:rPr>
        <w:footnoteRef/>
      </w:r>
      <w:r>
        <w:t xml:space="preserve"> </w:t>
      </w:r>
      <w:r w:rsidRPr="005C01D4">
        <w:rPr>
          <w:rFonts w:ascii="Palatino Linotype" w:hAnsi="Palatino Linotype"/>
          <w:color w:val="000000" w:themeColor="text1"/>
        </w:rPr>
        <w:t>AL 649</w:t>
      </w:r>
      <w:r w:rsidR="0025255A">
        <w:rPr>
          <w:rFonts w:ascii="Palatino Linotype" w:hAnsi="Palatino Linotype"/>
          <w:color w:val="000000" w:themeColor="text1"/>
        </w:rPr>
        <w:t>6</w:t>
      </w:r>
      <w:r w:rsidRPr="005C01D4">
        <w:rPr>
          <w:rFonts w:ascii="Palatino Linotype" w:hAnsi="Palatino Linotype"/>
          <w:color w:val="000000" w:themeColor="text1"/>
        </w:rPr>
        <w:t xml:space="preserve">-G-A </w:t>
      </w:r>
      <w:r w:rsidRPr="005C01D4">
        <w:rPr>
          <w:rFonts w:ascii="Palatino Linotype" w:hAnsi="Palatino Linotype"/>
          <w:bCs/>
          <w:color w:val="000000" w:themeColor="text1"/>
        </w:rPr>
        <w:t xml:space="preserve">Attachment A at p. </w:t>
      </w:r>
      <w:r w:rsidR="0025255A">
        <w:rPr>
          <w:rFonts w:ascii="Palatino Linotype" w:hAnsi="Palatino Linotype"/>
          <w:bCs/>
          <w:color w:val="000000" w:themeColor="text1"/>
        </w:rPr>
        <w:t>49</w:t>
      </w:r>
      <w:r>
        <w:rPr>
          <w:rFonts w:ascii="Palatino Linotype" w:hAnsi="Palatino Linotype"/>
          <w:bCs/>
          <w:color w:val="000000" w:themeColor="text1"/>
        </w:rPr>
        <w:t>.</w:t>
      </w:r>
    </w:p>
  </w:footnote>
  <w:footnote w:id="93">
    <w:p w14:paraId="140F5778" w14:textId="77777777" w:rsidR="00101281" w:rsidRPr="003D0E92" w:rsidRDefault="00101281" w:rsidP="00101281">
      <w:pPr>
        <w:pStyle w:val="FootnoteText"/>
        <w:rPr>
          <w:rFonts w:ascii="Palatino Linotype" w:hAnsi="Palatino Linotype"/>
        </w:rPr>
      </w:pPr>
      <w:r w:rsidRPr="005C01D4">
        <w:rPr>
          <w:rStyle w:val="FootnoteReference"/>
          <w:rFonts w:ascii="Palatino Linotype" w:hAnsi="Palatino Linotype"/>
        </w:rPr>
        <w:footnoteRef/>
      </w:r>
      <w:r w:rsidRPr="005C01D4">
        <w:rPr>
          <w:rFonts w:ascii="Palatino Linotype" w:hAnsi="Palatino Linotype"/>
        </w:rPr>
        <w:t xml:space="preserve"> </w:t>
      </w:r>
      <w:hyperlink r:id="rId26">
        <w:r w:rsidRPr="005C01D4">
          <w:rPr>
            <w:rStyle w:val="Hyperlink"/>
            <w:rFonts w:ascii="Palatino Linotype" w:hAnsi="Palatino Linotype"/>
          </w:rPr>
          <w:t>Resolution G-3601</w:t>
        </w:r>
      </w:hyperlink>
      <w:r w:rsidRPr="005C01D4">
        <w:rPr>
          <w:rFonts w:ascii="Palatino Linotype" w:hAnsi="Palatino Linotype"/>
        </w:rPr>
        <w:t> (2023) at p. 21</w:t>
      </w:r>
      <w:r>
        <w:rPr>
          <w:rFonts w:ascii="Palatino Linotype" w:hAnsi="Palatino Linotype"/>
        </w:rPr>
        <w:t>.</w:t>
      </w:r>
    </w:p>
  </w:footnote>
  <w:footnote w:id="94">
    <w:p w14:paraId="2B9B5FBA" w14:textId="77777777" w:rsidR="00101281" w:rsidRPr="00763909" w:rsidRDefault="00101281" w:rsidP="00101281">
      <w:pPr>
        <w:pStyle w:val="FootnoteText"/>
        <w:rPr>
          <w:rFonts w:ascii="Times New Roman" w:hAnsi="Times New Roman"/>
        </w:rPr>
      </w:pPr>
      <w:r>
        <w:rPr>
          <w:rStyle w:val="FootnoteReference"/>
        </w:rPr>
        <w:footnoteRef/>
      </w:r>
      <w:r>
        <w:t xml:space="preserve"> </w:t>
      </w:r>
      <w:hyperlink r:id="rId27" w:history="1">
        <w:r w:rsidRPr="005C01D4">
          <w:rPr>
            <w:rStyle w:val="Hyperlink"/>
            <w:rFonts w:ascii="Palatino Linotype" w:hAnsi="Palatino Linotype"/>
          </w:rPr>
          <w:t>Resolution G-3618</w:t>
        </w:r>
      </w:hyperlink>
      <w:r w:rsidRPr="005C01D4">
        <w:rPr>
          <w:rFonts w:ascii="Palatino Linotype" w:hAnsi="Palatino Linotype"/>
        </w:rPr>
        <w:t xml:space="preserve"> (2026): Addressing PG&amp;E’s 2024 &amp; 2025 Gas RD&amp;D Plans</w:t>
      </w:r>
      <w:r>
        <w:rPr>
          <w:rFonts w:ascii="Palatino Linotype" w:eastAsia="Palatino Linotype" w:hAnsi="Palatino Linotype"/>
          <w:color w:val="000000" w:themeColor="text1"/>
        </w:rPr>
        <w:t xml:space="preserve"> at</w:t>
      </w:r>
      <w:r w:rsidRPr="005C01D4">
        <w:rPr>
          <w:rFonts w:ascii="Palatino Linotype" w:hAnsi="Palatino Linotype"/>
        </w:rPr>
        <w:t xml:space="preserve"> p. 16 &amp; 18.</w:t>
      </w:r>
    </w:p>
  </w:footnote>
  <w:footnote w:id="95">
    <w:p w14:paraId="02B420D7" w14:textId="77777777" w:rsidR="00101281" w:rsidRPr="00763909" w:rsidRDefault="00101281" w:rsidP="00101281">
      <w:pPr>
        <w:pStyle w:val="FootnoteText"/>
        <w:rPr>
          <w:rFonts w:ascii="Palatino Linotype" w:hAnsi="Palatino Linotype"/>
        </w:rPr>
      </w:pPr>
      <w:r w:rsidRPr="00763909">
        <w:rPr>
          <w:rStyle w:val="FootnoteReference"/>
          <w:rFonts w:ascii="Palatino Linotype" w:hAnsi="Palatino Linotype"/>
        </w:rPr>
        <w:footnoteRef/>
      </w:r>
      <w:r w:rsidRPr="00763909">
        <w:rPr>
          <w:rFonts w:ascii="Palatino Linotype" w:hAnsi="Palatino Linotype"/>
        </w:rPr>
        <w:t xml:space="preserve"> </w:t>
      </w:r>
      <w:hyperlink r:id="rId28" w:history="1">
        <w:r w:rsidRPr="00734A86">
          <w:rPr>
            <w:rStyle w:val="Hyperlink"/>
            <w:rFonts w:ascii="Palatino Linotype" w:hAnsi="Palatino Linotype"/>
          </w:rPr>
          <w:t>Resolution G-3623</w:t>
        </w:r>
      </w:hyperlink>
      <w:r w:rsidRPr="00763909">
        <w:rPr>
          <w:rFonts w:ascii="Palatino Linotype" w:hAnsi="Palatino Linotype"/>
        </w:rPr>
        <w:t xml:space="preserve"> (2026): Addressing PG&amp;E’s 2024, 2025, </w:t>
      </w:r>
      <w:r>
        <w:rPr>
          <w:rFonts w:ascii="Palatino Linotype" w:hAnsi="Palatino Linotype"/>
        </w:rPr>
        <w:t>&amp;</w:t>
      </w:r>
      <w:r w:rsidRPr="00763909">
        <w:rPr>
          <w:rFonts w:ascii="Palatino Linotype" w:hAnsi="Palatino Linotype"/>
        </w:rPr>
        <w:t xml:space="preserve"> 2026 Gas RD&amp;D Plans at </w:t>
      </w:r>
      <w:r>
        <w:rPr>
          <w:rFonts w:ascii="Palatino Linotype" w:hAnsi="Palatino Linotype"/>
        </w:rPr>
        <w:t>p. 28 &amp; FOF 3b.</w:t>
      </w:r>
    </w:p>
  </w:footnote>
  <w:footnote w:id="96">
    <w:p w14:paraId="535C8968" w14:textId="77777777" w:rsidR="00101281" w:rsidRPr="00E0057A" w:rsidRDefault="00101281" w:rsidP="00101281">
      <w:pPr>
        <w:pStyle w:val="FootnoteText"/>
        <w:rPr>
          <w:rFonts w:ascii="Palatino Linotype" w:hAnsi="Palatino Linotype"/>
        </w:rPr>
      </w:pPr>
      <w:r w:rsidRPr="00E0057A">
        <w:rPr>
          <w:rStyle w:val="FootnoteReference"/>
          <w:rFonts w:ascii="Palatino Linotype" w:hAnsi="Palatino Linotype"/>
        </w:rPr>
        <w:footnoteRef/>
      </w:r>
      <w:r w:rsidRPr="00E0057A">
        <w:rPr>
          <w:rFonts w:ascii="Palatino Linotype" w:hAnsi="Palatino Linotype"/>
        </w:rPr>
        <w:t xml:space="preserve"> </w:t>
      </w:r>
      <w:r>
        <w:rPr>
          <w:rFonts w:ascii="Palatino Linotype" w:hAnsi="Palatino Linotype"/>
        </w:rPr>
        <w:t xml:space="preserve">Hydrogen is not included in the </w:t>
      </w:r>
      <w:hyperlink r:id="rId29" w:history="1">
        <w:r w:rsidRPr="00E0057A">
          <w:rPr>
            <w:rStyle w:val="Hyperlink"/>
            <w:rFonts w:ascii="Palatino Linotype" w:hAnsi="Palatino Linotype"/>
          </w:rPr>
          <w:t>Final 2025 Inputs and Assumptions (I&amp;A) for the 2024-2026 IRP Cycle</w:t>
        </w:r>
      </w:hyperlink>
      <w:r w:rsidRPr="00E0057A">
        <w:rPr>
          <w:rFonts w:ascii="Palatino Linotype" w:hAnsi="Palatino Linotype"/>
        </w:rPr>
        <w:t>.</w:t>
      </w:r>
    </w:p>
  </w:footnote>
  <w:footnote w:id="97">
    <w:p w14:paraId="64E745FA" w14:textId="7D58BFE0" w:rsidR="00E535C2" w:rsidRDefault="00E535C2" w:rsidP="00E535C2">
      <w:pPr>
        <w:pStyle w:val="FootnoteText"/>
      </w:pPr>
      <w:r>
        <w:rPr>
          <w:rStyle w:val="FootnoteReference"/>
        </w:rPr>
        <w:footnoteRef/>
      </w:r>
      <w:r>
        <w:t xml:space="preserve"> </w:t>
      </w:r>
      <w:r w:rsidR="00FA17EB" w:rsidRPr="009E4106">
        <w:rPr>
          <w:rFonts w:ascii="Palatino Linotype" w:hAnsi="Palatino Linotype"/>
        </w:rPr>
        <w:t xml:space="preserve">Per </w:t>
      </w:r>
      <w:hyperlink r:id="rId30">
        <w:r w:rsidR="00FA17EB" w:rsidRPr="009E4106">
          <w:rPr>
            <w:rStyle w:val="Hyperlink"/>
            <w:rFonts w:ascii="Palatino Linotype" w:hAnsi="Palatino Linotype"/>
          </w:rPr>
          <w:t>Resolution G-3601</w:t>
        </w:r>
      </w:hyperlink>
      <w:r w:rsidR="00FA17EB" w:rsidRPr="009E4106">
        <w:rPr>
          <w:rFonts w:ascii="Palatino Linotype" w:hAnsi="Palatino Linotype"/>
        </w:rPr>
        <w:t> (2023) at OP 6</w:t>
      </w:r>
      <w:r w:rsidR="00FA17EB">
        <w:rPr>
          <w:rFonts w:ascii="Palatino Linotype" w:hAnsi="Palatino Linotype"/>
        </w:rPr>
        <w:t xml:space="preserve">. </w:t>
      </w:r>
      <w:r w:rsidR="00FA17EB" w:rsidRPr="00F27196">
        <w:rPr>
          <w:rFonts w:ascii="Palatino Linotype" w:hAnsi="Palatino Linotype"/>
        </w:rPr>
        <w:t xml:space="preserve">See Resolution </w:t>
      </w:r>
      <w:r w:rsidR="00FA17EB">
        <w:rPr>
          <w:rFonts w:ascii="Palatino Linotype" w:eastAsia="Times New Roman" w:hAnsi="Palatino Linotype" w:cs="Times New Roman"/>
          <w:kern w:val="0"/>
          <w14:ligatures w14:val="none"/>
        </w:rPr>
        <w:t xml:space="preserve">G-3624 at </w:t>
      </w:r>
      <w:r w:rsidR="00FA17EB" w:rsidRPr="00F27196">
        <w:rPr>
          <w:rFonts w:ascii="Palatino Linotype" w:hAnsi="Palatino Linotype"/>
        </w:rPr>
        <w:t>Appendix</w:t>
      </w:r>
      <w:r w:rsidR="00FA17EB" w:rsidRPr="00FE272E">
        <w:rPr>
          <w:rFonts w:ascii="Palatino Linotype" w:hAnsi="Palatino Linotype"/>
          <w:color w:val="000000" w:themeColor="text1"/>
        </w:rPr>
        <w:t xml:space="preserve"> </w:t>
      </w:r>
      <w:r w:rsidR="00FA17EB">
        <w:rPr>
          <w:rFonts w:ascii="Palatino Linotype" w:hAnsi="Palatino Linotype"/>
          <w:color w:val="000000" w:themeColor="text1"/>
        </w:rPr>
        <w:t>H</w:t>
      </w:r>
      <w:r w:rsidR="00FA17EB" w:rsidRPr="00F27196">
        <w:rPr>
          <w:rFonts w:ascii="Palatino Linotype" w:hAnsi="Palatino Linotype"/>
        </w:rPr>
        <w:t xml:space="preserve">: Compliance Assessment of AL </w:t>
      </w:r>
      <w:r w:rsidR="00FA17EB">
        <w:rPr>
          <w:rFonts w:ascii="Palatino Linotype" w:hAnsi="Palatino Linotype"/>
        </w:rPr>
        <w:t>6496-G-A at CPUC Requirement [21</w:t>
      </w:r>
      <w:r w:rsidR="00FA17EB" w:rsidRPr="00F927B2">
        <w:rPr>
          <w:rFonts w:ascii="Palatino Linotype" w:hAnsi="Palatino Linotype"/>
        </w:rPr>
        <w:t>].</w:t>
      </w:r>
    </w:p>
  </w:footnote>
  <w:footnote w:id="98">
    <w:p w14:paraId="28BA0BEA" w14:textId="145B7176" w:rsidR="00B03913" w:rsidRDefault="00B03913">
      <w:pPr>
        <w:pStyle w:val="FootnoteText"/>
      </w:pPr>
      <w:r>
        <w:rPr>
          <w:rStyle w:val="FootnoteReference"/>
        </w:rPr>
        <w:footnoteRef/>
      </w:r>
      <w:r>
        <w:t xml:space="preserve"> </w:t>
      </w:r>
      <w:r w:rsidRPr="007B5BB1">
        <w:rPr>
          <w:rFonts w:ascii="Palatino Linotype" w:hAnsi="Palatino Linotype"/>
        </w:rPr>
        <w:t xml:space="preserve">Consistent with EPIC per </w:t>
      </w:r>
      <w:hyperlink r:id="rId31" w:history="1">
        <w:r w:rsidRPr="007B5BB1">
          <w:rPr>
            <w:rStyle w:val="Hyperlink"/>
            <w:rFonts w:ascii="Palatino Linotype" w:hAnsi="Palatino Linotype"/>
          </w:rPr>
          <w:t>D.12-05-037</w:t>
        </w:r>
      </w:hyperlink>
      <w:r w:rsidRPr="007B5BB1">
        <w:rPr>
          <w:rFonts w:ascii="Palatino Linotype" w:hAnsi="Palatino Linotype"/>
        </w:rPr>
        <w:t xml:space="preserve"> at OP 3</w:t>
      </w:r>
      <w:r>
        <w:rPr>
          <w:rFonts w:ascii="Palatino Linotype" w:hAnsi="Palatino Linotype"/>
        </w:rPr>
        <w:t xml:space="preserve"> &amp;</w:t>
      </w:r>
      <w:r w:rsidRPr="007B5BB1">
        <w:rPr>
          <w:rFonts w:ascii="Palatino Linotype" w:hAnsi="Palatino Linotype"/>
        </w:rPr>
        <w:t xml:space="preserve"> </w:t>
      </w:r>
      <w:hyperlink r:id="rId32" w:history="1">
        <w:r w:rsidRPr="007B5BB1">
          <w:rPr>
            <w:rStyle w:val="Hyperlink"/>
            <w:rFonts w:ascii="Palatino Linotype" w:hAnsi="Palatino Linotype"/>
          </w:rPr>
          <w:t>D.21-11-028</w:t>
        </w:r>
      </w:hyperlink>
      <w:r w:rsidRPr="007B5BB1">
        <w:rPr>
          <w:rFonts w:ascii="Palatino Linotype" w:hAnsi="Palatino Linotype"/>
        </w:rPr>
        <w:t xml:space="preserve"> at p. 32.</w:t>
      </w:r>
    </w:p>
  </w:footnote>
  <w:footnote w:id="99">
    <w:p w14:paraId="558B52F5" w14:textId="2120AE6B" w:rsidR="00B70EAB" w:rsidRDefault="00B70EAB" w:rsidP="00B70EAB">
      <w:pPr>
        <w:pStyle w:val="FootnoteText"/>
      </w:pPr>
      <w:r>
        <w:rPr>
          <w:rStyle w:val="FootnoteReference"/>
        </w:rPr>
        <w:footnoteRef/>
      </w:r>
      <w:r>
        <w:t xml:space="preserve"> </w:t>
      </w:r>
      <w:r w:rsidRPr="008B779A">
        <w:rPr>
          <w:rFonts w:ascii="Palatino Linotype" w:hAnsi="Palatino Linotype"/>
          <w:color w:val="000000" w:themeColor="text1"/>
        </w:rPr>
        <w:t>AL 649</w:t>
      </w:r>
      <w:r>
        <w:rPr>
          <w:rFonts w:ascii="Palatino Linotype" w:hAnsi="Palatino Linotype"/>
          <w:color w:val="000000" w:themeColor="text1"/>
        </w:rPr>
        <w:t>6</w:t>
      </w:r>
      <w:r w:rsidRPr="008B779A">
        <w:rPr>
          <w:rFonts w:ascii="Palatino Linotype" w:hAnsi="Palatino Linotype"/>
          <w:color w:val="000000" w:themeColor="text1"/>
        </w:rPr>
        <w:t xml:space="preserve">-G-A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w:t>
      </w:r>
      <w:r w:rsidR="006901CD">
        <w:rPr>
          <w:rFonts w:ascii="Palatino Linotype" w:hAnsi="Palatino Linotype"/>
          <w:bCs/>
          <w:color w:val="000000" w:themeColor="text1"/>
        </w:rPr>
        <w:t>40.</w:t>
      </w:r>
    </w:p>
  </w:footnote>
  <w:footnote w:id="100">
    <w:p w14:paraId="1E2286A4" w14:textId="285FEC0A" w:rsidR="00BC294C" w:rsidRDefault="00BC294C">
      <w:pPr>
        <w:pStyle w:val="FootnoteText"/>
      </w:pPr>
      <w:r>
        <w:rPr>
          <w:rStyle w:val="FootnoteReference"/>
        </w:rPr>
        <w:footnoteRef/>
      </w:r>
      <w:r>
        <w:t xml:space="preserve"> </w:t>
      </w:r>
      <w:r w:rsidR="00846CD6" w:rsidRPr="008B779A">
        <w:rPr>
          <w:rFonts w:ascii="Palatino Linotype" w:hAnsi="Palatino Linotype"/>
          <w:color w:val="000000" w:themeColor="text1"/>
        </w:rPr>
        <w:t>AL 649</w:t>
      </w:r>
      <w:r w:rsidR="00846CD6">
        <w:rPr>
          <w:rFonts w:ascii="Palatino Linotype" w:hAnsi="Palatino Linotype"/>
          <w:color w:val="000000" w:themeColor="text1"/>
        </w:rPr>
        <w:t>6</w:t>
      </w:r>
      <w:r w:rsidR="00846CD6" w:rsidRPr="008B779A">
        <w:rPr>
          <w:rFonts w:ascii="Palatino Linotype" w:hAnsi="Palatino Linotype"/>
          <w:color w:val="000000" w:themeColor="text1"/>
        </w:rPr>
        <w:t xml:space="preserve">-G-A </w:t>
      </w:r>
      <w:r w:rsidR="00846CD6" w:rsidRPr="008B779A">
        <w:rPr>
          <w:rFonts w:ascii="Palatino Linotype" w:hAnsi="Palatino Linotype"/>
          <w:bCs/>
          <w:color w:val="000000" w:themeColor="text1"/>
        </w:rPr>
        <w:t>Attachment A at p.</w:t>
      </w:r>
      <w:r w:rsidR="00846CD6">
        <w:rPr>
          <w:rFonts w:ascii="Palatino Linotype" w:hAnsi="Palatino Linotype"/>
          <w:bCs/>
          <w:color w:val="000000" w:themeColor="text1"/>
        </w:rPr>
        <w:t xml:space="preserve"> </w:t>
      </w:r>
      <w:r w:rsidR="008032BC">
        <w:rPr>
          <w:rFonts w:ascii="Palatino Linotype" w:hAnsi="Palatino Linotype"/>
          <w:bCs/>
          <w:color w:val="000000" w:themeColor="text1"/>
        </w:rPr>
        <w:t>47.</w:t>
      </w:r>
    </w:p>
  </w:footnote>
  <w:footnote w:id="101">
    <w:p w14:paraId="267A230B" w14:textId="337D0BF7" w:rsidR="007D5678" w:rsidRDefault="007D5678">
      <w:pPr>
        <w:pStyle w:val="FootnoteText"/>
      </w:pPr>
      <w:r>
        <w:rPr>
          <w:rStyle w:val="FootnoteReference"/>
        </w:rPr>
        <w:footnoteRef/>
      </w:r>
      <w:r>
        <w:t xml:space="preserve"> </w:t>
      </w:r>
      <w:r w:rsidRPr="00421A6B">
        <w:rPr>
          <w:rFonts w:ascii="Palatino Linotype" w:hAnsi="Palatino Linotype"/>
        </w:rPr>
        <w:t xml:space="preserve">Per Public Utilities Code 740.1 at (a). See Resolution </w:t>
      </w:r>
      <w:r w:rsidRPr="00421A6B">
        <w:rPr>
          <w:rFonts w:ascii="Palatino Linotype" w:eastAsia="Times New Roman" w:hAnsi="Palatino Linotype" w:cs="Times New Roman"/>
          <w:kern w:val="0"/>
          <w14:ligatures w14:val="none"/>
        </w:rPr>
        <w:t xml:space="preserve">G-3624 </w:t>
      </w:r>
      <w:r w:rsidRPr="00421A6B">
        <w:rPr>
          <w:rFonts w:ascii="Palatino Linotype" w:hAnsi="Palatino Linotype"/>
        </w:rPr>
        <w:t>at Appendix</w:t>
      </w:r>
      <w:r w:rsidRPr="00421A6B">
        <w:rPr>
          <w:rFonts w:ascii="Palatino Linotype" w:hAnsi="Palatino Linotype"/>
          <w:color w:val="000000" w:themeColor="text1"/>
        </w:rPr>
        <w:t xml:space="preserve"> </w:t>
      </w:r>
      <w:r w:rsidR="006A132B">
        <w:rPr>
          <w:rFonts w:ascii="Palatino Linotype" w:hAnsi="Palatino Linotype"/>
          <w:color w:val="000000" w:themeColor="text1"/>
        </w:rPr>
        <w:t>I</w:t>
      </w:r>
      <w:r w:rsidRPr="00421A6B">
        <w:rPr>
          <w:rFonts w:ascii="Palatino Linotype" w:hAnsi="Palatino Linotype"/>
        </w:rPr>
        <w:t>: Compliance Assessment of AL 6</w:t>
      </w:r>
      <w:r w:rsidR="00EE0B99">
        <w:rPr>
          <w:rFonts w:ascii="Palatino Linotype" w:hAnsi="Palatino Linotype"/>
        </w:rPr>
        <w:t>64</w:t>
      </w:r>
      <w:r w:rsidRPr="00421A6B">
        <w:rPr>
          <w:rFonts w:ascii="Palatino Linotype" w:hAnsi="Palatino Linotype"/>
        </w:rPr>
        <w:t>5-G at CPUC Requirement [6].</w:t>
      </w:r>
    </w:p>
  </w:footnote>
  <w:footnote w:id="102">
    <w:p w14:paraId="0BAB5BFD" w14:textId="77777777" w:rsidR="00B6431B" w:rsidRDefault="00B6431B" w:rsidP="00B6431B">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6645-G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64.</w:t>
      </w:r>
    </w:p>
  </w:footnote>
  <w:footnote w:id="103">
    <w:p w14:paraId="38C3532C" w14:textId="77777777" w:rsidR="00525EE7" w:rsidRDefault="00525EE7" w:rsidP="00525EE7">
      <w:pPr>
        <w:pStyle w:val="FootnoteText"/>
      </w:pPr>
      <w:r>
        <w:rPr>
          <w:rStyle w:val="FootnoteReference"/>
        </w:rPr>
        <w:footnoteRef/>
      </w:r>
      <w:r>
        <w:t xml:space="preserve"> </w:t>
      </w:r>
      <w:r>
        <w:rPr>
          <w:rFonts w:ascii="Palatino Linotype" w:hAnsi="Palatino Linotype"/>
        </w:rPr>
        <w:t xml:space="preserve">Per </w:t>
      </w:r>
      <w:hyperlink r:id="rId33"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hAnsi="Palatino Linotype"/>
          <w:color w:val="000000" w:themeColor="text1"/>
        </w:rPr>
        <w:t>I</w:t>
      </w:r>
      <w:r w:rsidRPr="00F27196">
        <w:rPr>
          <w:rFonts w:ascii="Palatino Linotype" w:hAnsi="Palatino Linotype"/>
        </w:rPr>
        <w:t xml:space="preserve">: Compliance Assessment of AL </w:t>
      </w:r>
      <w:r>
        <w:rPr>
          <w:rFonts w:ascii="Palatino Linotype" w:hAnsi="Palatino Linotype"/>
        </w:rPr>
        <w:t>6645-G at CPUC Requirement [18</w:t>
      </w:r>
      <w:r w:rsidRPr="008477EC">
        <w:rPr>
          <w:rFonts w:ascii="Palatino Linotype" w:hAnsi="Palatino Linotype"/>
        </w:rPr>
        <w:t>].</w:t>
      </w:r>
    </w:p>
  </w:footnote>
  <w:footnote w:id="104">
    <w:p w14:paraId="3CAC2DDE" w14:textId="3C8C51FB" w:rsidR="002A795B" w:rsidRDefault="002A795B" w:rsidP="002A795B">
      <w:pPr>
        <w:pStyle w:val="FootnoteText"/>
      </w:pPr>
      <w:r>
        <w:rPr>
          <w:rStyle w:val="FootnoteReference"/>
        </w:rPr>
        <w:footnoteRef/>
      </w:r>
      <w:r>
        <w:t xml:space="preserve"> </w:t>
      </w:r>
      <w:r w:rsidRPr="008477EC">
        <w:rPr>
          <w:rFonts w:ascii="Palatino Linotype" w:eastAsia="Palatino Linotype" w:hAnsi="Palatino Linotype" w:cs="Palatino Linotype"/>
        </w:rPr>
        <w:t xml:space="preserve">Per </w:t>
      </w:r>
      <w:hyperlink r:id="rId34" w:tgtFrame="_blank" w:history="1">
        <w:r w:rsidRPr="008477EC">
          <w:rPr>
            <w:rStyle w:val="Hyperlink"/>
            <w:rFonts w:ascii="Palatino Linotype" w:hAnsi="Palatino Linotype"/>
          </w:rPr>
          <w:t>Resolution G-3601</w:t>
        </w:r>
      </w:hyperlink>
      <w:r w:rsidRPr="008477EC">
        <w:rPr>
          <w:rFonts w:ascii="Palatino Linotype" w:eastAsia="Palatino Linotype" w:hAnsi="Palatino Linotype" w:cs="Palatino Linotype"/>
        </w:rPr>
        <w:t xml:space="preserve"> (2023) at OP 6</w:t>
      </w:r>
      <w:r>
        <w:rPr>
          <w:rFonts w:ascii="Palatino Linotype" w:eastAsia="Palatino Linotype" w:hAnsi="Palatino Linotype" w:cs="Palatino Linotype"/>
        </w:rPr>
        <w:t xml:space="preserve">.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sidRPr="008477EC">
        <w:rPr>
          <w:rFonts w:ascii="Palatino Linotype" w:eastAsia="Palatino Linotype" w:hAnsi="Palatino Linotype" w:cs="Palatino Linotype"/>
        </w:rPr>
        <w:t>I</w:t>
      </w:r>
      <w:r>
        <w:rPr>
          <w:rFonts w:ascii="Palatino Linotype" w:eastAsia="Palatino Linotype" w:hAnsi="Palatino Linotype" w:cs="Palatino Linotype"/>
        </w:rPr>
        <w:t xml:space="preserve">: </w:t>
      </w:r>
      <w:r w:rsidRPr="008477EC">
        <w:rPr>
          <w:rFonts w:ascii="Palatino Linotype" w:eastAsia="Palatino Linotype" w:hAnsi="Palatino Linotype" w:cs="Palatino Linotype"/>
        </w:rPr>
        <w:t xml:space="preserve">Compliance Assessment of AL 6645-G </w:t>
      </w:r>
      <w:r w:rsidR="007D6934">
        <w:rPr>
          <w:rFonts w:ascii="Palatino Linotype" w:eastAsia="Palatino Linotype" w:hAnsi="Palatino Linotype" w:cs="Palatino Linotype"/>
        </w:rPr>
        <w:t xml:space="preserve">at CPUC </w:t>
      </w:r>
      <w:r w:rsidRPr="008477EC">
        <w:rPr>
          <w:rFonts w:ascii="Palatino Linotype" w:eastAsia="Palatino Linotype" w:hAnsi="Palatino Linotype" w:cs="Palatino Linotype"/>
        </w:rPr>
        <w:t>Requirement [</w:t>
      </w:r>
      <w:r>
        <w:rPr>
          <w:rFonts w:ascii="Palatino Linotype" w:eastAsia="Palatino Linotype" w:hAnsi="Palatino Linotype" w:cs="Palatino Linotype"/>
        </w:rPr>
        <w:t>15</w:t>
      </w:r>
      <w:r w:rsidRPr="008477EC">
        <w:rPr>
          <w:rFonts w:ascii="Palatino Linotype" w:eastAsia="Palatino Linotype" w:hAnsi="Palatino Linotype" w:cs="Palatino Linotype"/>
        </w:rPr>
        <w:t>].</w:t>
      </w:r>
      <w:r w:rsidR="008374DA">
        <w:rPr>
          <w:rFonts w:ascii="Palatino Linotype" w:eastAsia="Palatino Linotype" w:hAnsi="Palatino Linotype" w:cs="Palatino Linotype"/>
        </w:rPr>
        <w:t xml:space="preserve"> </w:t>
      </w:r>
    </w:p>
  </w:footnote>
  <w:footnote w:id="105">
    <w:p w14:paraId="57ABB8B1" w14:textId="38AA90CA" w:rsidR="003800B8" w:rsidRDefault="003800B8">
      <w:pPr>
        <w:pStyle w:val="FootnoteText"/>
      </w:pPr>
      <w:r>
        <w:rPr>
          <w:rStyle w:val="FootnoteReference"/>
        </w:rPr>
        <w:footnoteRef/>
      </w:r>
      <w:r>
        <w:t xml:space="preserve"> </w:t>
      </w:r>
      <w:r>
        <w:rPr>
          <w:rFonts w:ascii="Palatino Linotype" w:hAnsi="Palatino Linotype"/>
        </w:rPr>
        <w:t xml:space="preserve">Per </w:t>
      </w:r>
      <w:hyperlink r:id="rId35"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hAnsi="Palatino Linotype"/>
          <w:color w:val="000000" w:themeColor="text1"/>
        </w:rPr>
        <w:t>I</w:t>
      </w:r>
      <w:r w:rsidRPr="00F27196">
        <w:rPr>
          <w:rFonts w:ascii="Palatino Linotype" w:hAnsi="Palatino Linotype"/>
        </w:rPr>
        <w:t xml:space="preserve">: Compliance Assessment of AL </w:t>
      </w:r>
      <w:r>
        <w:rPr>
          <w:rFonts w:ascii="Palatino Linotype" w:hAnsi="Palatino Linotype"/>
        </w:rPr>
        <w:t>6645-G at CPUC Requirement [</w:t>
      </w:r>
      <w:r w:rsidR="001F1D1D">
        <w:rPr>
          <w:rFonts w:ascii="Palatino Linotype" w:hAnsi="Palatino Linotype"/>
        </w:rPr>
        <w:t>23</w:t>
      </w:r>
      <w:r w:rsidRPr="008477EC">
        <w:rPr>
          <w:rFonts w:ascii="Palatino Linotype" w:hAnsi="Palatino Linotype"/>
        </w:rPr>
        <w:t>].</w:t>
      </w:r>
    </w:p>
  </w:footnote>
  <w:footnote w:id="106">
    <w:p w14:paraId="59BFC5E1" w14:textId="672C474A" w:rsidR="000412A5" w:rsidRPr="00AD5D09" w:rsidRDefault="000412A5">
      <w:pPr>
        <w:pStyle w:val="FootnoteText"/>
        <w:rPr>
          <w:rFonts w:ascii="Palatino Linotype" w:hAnsi="Palatino Linotype"/>
        </w:rPr>
      </w:pPr>
      <w:r w:rsidRPr="00AD5D09">
        <w:rPr>
          <w:rStyle w:val="FootnoteReference"/>
          <w:rFonts w:ascii="Palatino Linotype" w:hAnsi="Palatino Linotype"/>
        </w:rPr>
        <w:footnoteRef/>
      </w:r>
      <w:r w:rsidRPr="00AD5D09">
        <w:rPr>
          <w:rFonts w:ascii="Palatino Linotype" w:hAnsi="Palatino Linotype"/>
        </w:rPr>
        <w:t xml:space="preserve"> </w:t>
      </w:r>
      <w:hyperlink r:id="rId36" w:history="1">
        <w:r w:rsidR="00590555" w:rsidRPr="00AD5D09">
          <w:rPr>
            <w:rStyle w:val="Hyperlink"/>
            <w:rFonts w:ascii="Palatino Linotype" w:hAnsi="Palatino Linotype"/>
          </w:rPr>
          <w:t>PG&amp;E’s 2026 Gas RD&amp;D Plan</w:t>
        </w:r>
      </w:hyperlink>
      <w:r w:rsidR="00590555" w:rsidRPr="00AD5D09">
        <w:rPr>
          <w:rFonts w:ascii="Palatino Linotype" w:hAnsi="Palatino Linotype"/>
        </w:rPr>
        <w:t xml:space="preserve"> at p. </w:t>
      </w:r>
      <w:r w:rsidR="00AD5D09" w:rsidRPr="00AD5D09">
        <w:rPr>
          <w:rFonts w:ascii="Palatino Linotype" w:hAnsi="Palatino Linotype"/>
        </w:rPr>
        <w:t>36-46.</w:t>
      </w:r>
    </w:p>
  </w:footnote>
  <w:footnote w:id="107">
    <w:p w14:paraId="4897A178" w14:textId="6DC02ECD" w:rsidR="00027566" w:rsidRPr="000412A5" w:rsidRDefault="00027566">
      <w:pPr>
        <w:pStyle w:val="FootnoteText"/>
        <w:rPr>
          <w:rFonts w:ascii="Palatino Linotype" w:hAnsi="Palatino Linotype"/>
        </w:rPr>
      </w:pPr>
      <w:r w:rsidRPr="000412A5">
        <w:rPr>
          <w:rStyle w:val="FootnoteReference"/>
          <w:rFonts w:ascii="Palatino Linotype" w:hAnsi="Palatino Linotype"/>
        </w:rPr>
        <w:footnoteRef/>
      </w:r>
      <w:r w:rsidRPr="000412A5">
        <w:rPr>
          <w:rFonts w:ascii="Palatino Linotype" w:hAnsi="Palatino Linotype"/>
        </w:rPr>
        <w:t xml:space="preserve"> </w:t>
      </w:r>
      <w:hyperlink r:id="rId37" w:history="1">
        <w:r w:rsidR="003F65C6" w:rsidRPr="000412A5">
          <w:rPr>
            <w:rStyle w:val="Hyperlink"/>
            <w:rFonts w:ascii="Palatino Linotype" w:hAnsi="Palatino Linotype"/>
          </w:rPr>
          <w:t>CEC’s Proposed FY 2024-2025 Gas RD&amp;D Plan</w:t>
        </w:r>
      </w:hyperlink>
      <w:r w:rsidR="003F65C6" w:rsidRPr="000412A5">
        <w:rPr>
          <w:rFonts w:ascii="Palatino Linotype" w:hAnsi="Palatino Linotype"/>
        </w:rPr>
        <w:t xml:space="preserve"> at p. </w:t>
      </w:r>
      <w:r w:rsidR="000412A5" w:rsidRPr="000412A5">
        <w:rPr>
          <w:rFonts w:ascii="Palatino Linotype" w:hAnsi="Palatino Linotype"/>
        </w:rPr>
        <w:t>40-49.</w:t>
      </w:r>
    </w:p>
  </w:footnote>
  <w:footnote w:id="108">
    <w:p w14:paraId="2594B568" w14:textId="77777777" w:rsidR="002A795B" w:rsidRDefault="002A795B" w:rsidP="002A795B">
      <w:pPr>
        <w:pStyle w:val="FootnoteText"/>
      </w:pPr>
      <w:r>
        <w:rPr>
          <w:rStyle w:val="FootnoteReference"/>
        </w:rPr>
        <w:footnoteRef/>
      </w:r>
      <w:r>
        <w:t xml:space="preserve"> </w:t>
      </w:r>
      <w:r>
        <w:rPr>
          <w:rFonts w:ascii="Palatino Linotype" w:hAnsi="Palatino Linotype"/>
        </w:rPr>
        <w:t xml:space="preserve">Per </w:t>
      </w:r>
      <w:hyperlink r:id="rId38"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hAnsi="Palatino Linotype"/>
          <w:color w:val="000000" w:themeColor="text1"/>
        </w:rPr>
        <w:t>I</w:t>
      </w:r>
      <w:r w:rsidRPr="00F27196">
        <w:rPr>
          <w:rFonts w:ascii="Palatino Linotype" w:hAnsi="Palatino Linotype"/>
        </w:rPr>
        <w:t xml:space="preserve">: Compliance Assessment of AL </w:t>
      </w:r>
      <w:r>
        <w:rPr>
          <w:rFonts w:ascii="Palatino Linotype" w:hAnsi="Palatino Linotype"/>
        </w:rPr>
        <w:t>6645-G at CPUC Requirement [21]</w:t>
      </w:r>
      <w:r w:rsidRPr="008477EC">
        <w:rPr>
          <w:rFonts w:ascii="Palatino Linotype" w:hAnsi="Palatino Linotype"/>
        </w:rPr>
        <w:t>.</w:t>
      </w:r>
    </w:p>
  </w:footnote>
  <w:footnote w:id="109">
    <w:p w14:paraId="37889796" w14:textId="6508416A" w:rsidR="00967A42" w:rsidRDefault="00967A42" w:rsidP="00967A42">
      <w:pPr>
        <w:pStyle w:val="FootnoteText"/>
      </w:pPr>
      <w:r>
        <w:rPr>
          <w:rStyle w:val="FootnoteReference"/>
        </w:rPr>
        <w:footnoteRef/>
      </w:r>
      <w:r>
        <w:t xml:space="preserve"> </w:t>
      </w:r>
      <w:r w:rsidRPr="005C01D4">
        <w:rPr>
          <w:rFonts w:ascii="Palatino Linotype" w:hAnsi="Palatino Linotype"/>
          <w:color w:val="000000" w:themeColor="text1"/>
        </w:rPr>
        <w:t>AL 6</w:t>
      </w:r>
      <w:r w:rsidR="00F50399">
        <w:rPr>
          <w:rFonts w:ascii="Palatino Linotype" w:hAnsi="Palatino Linotype"/>
          <w:color w:val="000000" w:themeColor="text1"/>
        </w:rPr>
        <w:t>645-G</w:t>
      </w:r>
      <w:r w:rsidRPr="005C01D4">
        <w:rPr>
          <w:rFonts w:ascii="Palatino Linotype" w:hAnsi="Palatino Linotype"/>
          <w:color w:val="000000" w:themeColor="text1"/>
        </w:rPr>
        <w:t xml:space="preserve"> </w:t>
      </w:r>
      <w:r w:rsidRPr="005C01D4">
        <w:rPr>
          <w:rFonts w:ascii="Palatino Linotype" w:hAnsi="Palatino Linotype"/>
          <w:bCs/>
          <w:color w:val="000000" w:themeColor="text1"/>
        </w:rPr>
        <w:t xml:space="preserve">Attachment A at p. </w:t>
      </w:r>
      <w:r w:rsidR="00F50399">
        <w:rPr>
          <w:rFonts w:ascii="Palatino Linotype" w:hAnsi="Palatino Linotype"/>
          <w:bCs/>
          <w:color w:val="000000" w:themeColor="text1"/>
        </w:rPr>
        <w:t>64</w:t>
      </w:r>
      <w:r>
        <w:rPr>
          <w:rFonts w:ascii="Palatino Linotype" w:hAnsi="Palatino Linotype"/>
          <w:bCs/>
          <w:color w:val="000000" w:themeColor="text1"/>
        </w:rPr>
        <w:t>.</w:t>
      </w:r>
    </w:p>
  </w:footnote>
  <w:footnote w:id="110">
    <w:p w14:paraId="4C43CE0A" w14:textId="77777777" w:rsidR="00967A42" w:rsidRPr="003D0E92" w:rsidRDefault="00967A42" w:rsidP="00967A42">
      <w:pPr>
        <w:pStyle w:val="FootnoteText"/>
        <w:rPr>
          <w:rFonts w:ascii="Palatino Linotype" w:hAnsi="Palatino Linotype"/>
        </w:rPr>
      </w:pPr>
      <w:r w:rsidRPr="005C01D4">
        <w:rPr>
          <w:rStyle w:val="FootnoteReference"/>
          <w:rFonts w:ascii="Palatino Linotype" w:hAnsi="Palatino Linotype"/>
        </w:rPr>
        <w:footnoteRef/>
      </w:r>
      <w:r w:rsidRPr="005C01D4">
        <w:rPr>
          <w:rFonts w:ascii="Palatino Linotype" w:hAnsi="Palatino Linotype"/>
        </w:rPr>
        <w:t xml:space="preserve"> </w:t>
      </w:r>
      <w:hyperlink r:id="rId39">
        <w:r w:rsidRPr="005C01D4">
          <w:rPr>
            <w:rStyle w:val="Hyperlink"/>
            <w:rFonts w:ascii="Palatino Linotype" w:hAnsi="Palatino Linotype"/>
          </w:rPr>
          <w:t>Resolution G-3601</w:t>
        </w:r>
      </w:hyperlink>
      <w:r w:rsidRPr="005C01D4">
        <w:rPr>
          <w:rFonts w:ascii="Palatino Linotype" w:hAnsi="Palatino Linotype"/>
        </w:rPr>
        <w:t> (2023) at p. 21</w:t>
      </w:r>
      <w:r>
        <w:rPr>
          <w:rFonts w:ascii="Palatino Linotype" w:hAnsi="Palatino Linotype"/>
        </w:rPr>
        <w:t>.</w:t>
      </w:r>
    </w:p>
  </w:footnote>
  <w:footnote w:id="111">
    <w:p w14:paraId="4BE32C5A" w14:textId="388AE311" w:rsidR="00A273D3" w:rsidRDefault="00A273D3">
      <w:pPr>
        <w:pStyle w:val="FootnoteText"/>
      </w:pPr>
      <w:r>
        <w:rPr>
          <w:rStyle w:val="FootnoteReference"/>
        </w:rPr>
        <w:footnoteRef/>
      </w:r>
      <w:r>
        <w:t xml:space="preserve"> </w:t>
      </w:r>
      <w:r w:rsidRPr="007B5BB1">
        <w:rPr>
          <w:rFonts w:ascii="Palatino Linotype" w:hAnsi="Palatino Linotype"/>
        </w:rPr>
        <w:t xml:space="preserve">Consistent with EPIC per </w:t>
      </w:r>
      <w:hyperlink r:id="rId40" w:history="1">
        <w:r w:rsidRPr="007B5BB1">
          <w:rPr>
            <w:rStyle w:val="Hyperlink"/>
            <w:rFonts w:ascii="Palatino Linotype" w:hAnsi="Palatino Linotype"/>
          </w:rPr>
          <w:t>D.12-05-037</w:t>
        </w:r>
      </w:hyperlink>
      <w:r w:rsidRPr="007B5BB1">
        <w:rPr>
          <w:rFonts w:ascii="Palatino Linotype" w:hAnsi="Palatino Linotype"/>
        </w:rPr>
        <w:t xml:space="preserve"> at OP 3</w:t>
      </w:r>
      <w:r>
        <w:rPr>
          <w:rFonts w:ascii="Palatino Linotype" w:hAnsi="Palatino Linotype"/>
        </w:rPr>
        <w:t xml:space="preserve"> &amp;</w:t>
      </w:r>
      <w:r w:rsidRPr="007B5BB1">
        <w:rPr>
          <w:rFonts w:ascii="Palatino Linotype" w:hAnsi="Palatino Linotype"/>
        </w:rPr>
        <w:t xml:space="preserve"> </w:t>
      </w:r>
      <w:hyperlink r:id="rId41" w:history="1">
        <w:r w:rsidRPr="007B5BB1">
          <w:rPr>
            <w:rStyle w:val="Hyperlink"/>
            <w:rFonts w:ascii="Palatino Linotype" w:hAnsi="Palatino Linotype"/>
          </w:rPr>
          <w:t>D.21-11-028</w:t>
        </w:r>
      </w:hyperlink>
      <w:r w:rsidRPr="007B5BB1">
        <w:rPr>
          <w:rFonts w:ascii="Palatino Linotype" w:hAnsi="Palatino Linotype"/>
        </w:rPr>
        <w:t xml:space="preserve"> at p. 32.</w:t>
      </w:r>
    </w:p>
  </w:footnote>
  <w:footnote w:id="112">
    <w:p w14:paraId="442FE144" w14:textId="42C9F76C" w:rsidR="0035356D" w:rsidRDefault="0035356D">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6645-G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56.</w:t>
      </w:r>
    </w:p>
  </w:footnote>
  <w:footnote w:id="113">
    <w:p w14:paraId="07DE7D08" w14:textId="5792B6A9" w:rsidR="0035356D" w:rsidRDefault="0035356D">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6645-G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sidR="004C2972">
        <w:rPr>
          <w:rFonts w:ascii="Palatino Linotype" w:hAnsi="Palatino Linotype"/>
          <w:bCs/>
          <w:color w:val="000000" w:themeColor="text1"/>
        </w:rPr>
        <w:t xml:space="preserve"> 46.</w:t>
      </w:r>
    </w:p>
  </w:footnote>
  <w:footnote w:id="114">
    <w:p w14:paraId="676609D7" w14:textId="23C9B6BF" w:rsidR="008477EC" w:rsidRDefault="008477EC">
      <w:pPr>
        <w:pStyle w:val="FootnoteText"/>
      </w:pPr>
      <w:r w:rsidRPr="008477EC">
        <w:rPr>
          <w:rStyle w:val="FootnoteReference"/>
          <w:rFonts w:ascii="Palatino Linotype" w:hAnsi="Palatino Linotype"/>
        </w:rPr>
        <w:footnoteRef/>
      </w:r>
      <w:r w:rsidRPr="008477EC">
        <w:rPr>
          <w:rFonts w:ascii="Palatino Linotype" w:hAnsi="Palatino Linotype"/>
        </w:rPr>
        <w:t xml:space="preserve"> </w:t>
      </w:r>
      <w:r>
        <w:rPr>
          <w:rFonts w:ascii="Palatino Linotype" w:hAnsi="Palatino Linotype"/>
        </w:rPr>
        <w:t xml:space="preserve">Per </w:t>
      </w:r>
      <w:hyperlink r:id="rId42"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hAnsi="Palatino Linotype"/>
          <w:color w:val="000000" w:themeColor="text1"/>
        </w:rPr>
        <w:t>I</w:t>
      </w:r>
      <w:r w:rsidRPr="00F27196">
        <w:rPr>
          <w:rFonts w:ascii="Palatino Linotype" w:hAnsi="Palatino Linotype"/>
        </w:rPr>
        <w:t xml:space="preserve">: Compliance Assessment of AL </w:t>
      </w:r>
      <w:r>
        <w:rPr>
          <w:rFonts w:ascii="Palatino Linotype" w:hAnsi="Palatino Linotype"/>
        </w:rPr>
        <w:t>6645-G at CPUC Requirement [</w:t>
      </w:r>
      <w:r w:rsidRPr="008477EC">
        <w:rPr>
          <w:rFonts w:ascii="Palatino Linotype" w:hAnsi="Palatino Linotype"/>
        </w:rPr>
        <w:t>17].</w:t>
      </w:r>
    </w:p>
  </w:footnote>
  <w:footnote w:id="115">
    <w:p w14:paraId="69079248" w14:textId="7D0F9DFF" w:rsidR="00705671" w:rsidRDefault="00705671">
      <w:pPr>
        <w:pStyle w:val="FootnoteText"/>
      </w:pPr>
      <w:r>
        <w:rPr>
          <w:rStyle w:val="FootnoteReference"/>
        </w:rPr>
        <w:footnoteRef/>
      </w:r>
      <w:r>
        <w:t xml:space="preserve"> </w:t>
      </w:r>
      <w:r>
        <w:rPr>
          <w:rFonts w:ascii="Palatino Linotype" w:hAnsi="Palatino Linotype"/>
        </w:rPr>
        <w:t xml:space="preserve">Per </w:t>
      </w:r>
      <w:hyperlink r:id="rId43"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hAnsi="Palatino Linotype"/>
          <w:color w:val="000000" w:themeColor="text1"/>
        </w:rPr>
        <w:t>I</w:t>
      </w:r>
      <w:r w:rsidRPr="00F27196">
        <w:rPr>
          <w:rFonts w:ascii="Palatino Linotype" w:hAnsi="Palatino Linotype"/>
        </w:rPr>
        <w:t xml:space="preserve">: Compliance Assessment of AL </w:t>
      </w:r>
      <w:r>
        <w:rPr>
          <w:rFonts w:ascii="Palatino Linotype" w:hAnsi="Palatino Linotype"/>
        </w:rPr>
        <w:t>6645-G at CPUC Requirement [</w:t>
      </w:r>
      <w:r w:rsidRPr="008477EC">
        <w:rPr>
          <w:rFonts w:ascii="Palatino Linotype" w:hAnsi="Palatino Linotype"/>
        </w:rPr>
        <w:t>1</w:t>
      </w:r>
      <w:r>
        <w:rPr>
          <w:rFonts w:ascii="Palatino Linotype" w:hAnsi="Palatino Linotype"/>
        </w:rPr>
        <w:t>9</w:t>
      </w:r>
      <w:r w:rsidRPr="008477EC">
        <w:rPr>
          <w:rFonts w:ascii="Palatino Linotype" w:hAnsi="Palatino Linotype"/>
        </w:rPr>
        <w:t>].</w:t>
      </w:r>
    </w:p>
  </w:footnote>
  <w:footnote w:id="116">
    <w:p w14:paraId="4112C868" w14:textId="77777777" w:rsidR="00CC2F77" w:rsidRPr="00CC2F77" w:rsidRDefault="00CC2F77" w:rsidP="00CC2F77">
      <w:pPr>
        <w:pStyle w:val="FootnoteText"/>
        <w:rPr>
          <w:rFonts w:ascii="Palatino Linotype" w:hAnsi="Palatino Linotype"/>
        </w:rPr>
      </w:pPr>
      <w:r w:rsidRPr="00CC2F77">
        <w:rPr>
          <w:rStyle w:val="FootnoteReference"/>
          <w:rFonts w:ascii="Palatino Linotype" w:hAnsi="Palatino Linotype"/>
        </w:rPr>
        <w:footnoteRef/>
      </w:r>
      <w:r w:rsidRPr="00CC2F77">
        <w:rPr>
          <w:rFonts w:ascii="Palatino Linotype" w:hAnsi="Palatino Linotype"/>
        </w:rPr>
        <w:t xml:space="preserve"> </w:t>
      </w:r>
      <w:hyperlink r:id="rId44" w:history="1">
        <w:r w:rsidRPr="00CC2F77">
          <w:rPr>
            <w:rStyle w:val="Hyperlink"/>
            <w:rFonts w:ascii="Palatino Linotype" w:hAnsi="Palatino Linotype"/>
          </w:rPr>
          <w:t>R.22-12-011</w:t>
        </w:r>
      </w:hyperlink>
      <w:r w:rsidRPr="00CC2F77">
        <w:rPr>
          <w:rFonts w:ascii="Palatino Linotype" w:hAnsi="Palatino Linotype"/>
        </w:rPr>
        <w:t>: OIR to Address Biomethane Procurement Cost Allocation.</w:t>
      </w:r>
    </w:p>
  </w:footnote>
  <w:footnote w:id="117">
    <w:p w14:paraId="5FF76148" w14:textId="2C1EA46D" w:rsidR="006A132B" w:rsidRDefault="006A132B">
      <w:pPr>
        <w:pStyle w:val="FootnoteText"/>
      </w:pPr>
      <w:r>
        <w:rPr>
          <w:rStyle w:val="FootnoteReference"/>
        </w:rPr>
        <w:footnoteRef/>
      </w:r>
      <w:r>
        <w:t xml:space="preserve"> </w:t>
      </w:r>
      <w:r w:rsidRPr="00421A6B">
        <w:rPr>
          <w:rFonts w:ascii="Palatino Linotype" w:hAnsi="Palatino Linotype"/>
        </w:rPr>
        <w:t xml:space="preserve">Per Public Utilities Code 740.1 at (a). See Resolution </w:t>
      </w:r>
      <w:r w:rsidRPr="00421A6B">
        <w:rPr>
          <w:rFonts w:ascii="Palatino Linotype" w:eastAsia="Times New Roman" w:hAnsi="Palatino Linotype" w:cs="Times New Roman"/>
          <w:kern w:val="0"/>
          <w14:ligatures w14:val="none"/>
        </w:rPr>
        <w:t xml:space="preserve">G-3624 </w:t>
      </w:r>
      <w:r w:rsidRPr="00421A6B">
        <w:rPr>
          <w:rFonts w:ascii="Palatino Linotype" w:hAnsi="Palatino Linotype"/>
        </w:rPr>
        <w:t>at Appendix</w:t>
      </w:r>
      <w:r w:rsidRPr="00421A6B">
        <w:rPr>
          <w:rFonts w:ascii="Palatino Linotype" w:hAnsi="Palatino Linotype"/>
          <w:color w:val="000000" w:themeColor="text1"/>
        </w:rPr>
        <w:t xml:space="preserve"> </w:t>
      </w:r>
      <w:r>
        <w:rPr>
          <w:rFonts w:ascii="Palatino Linotype" w:hAnsi="Palatino Linotype"/>
          <w:color w:val="000000" w:themeColor="text1"/>
        </w:rPr>
        <w:t>J</w:t>
      </w:r>
      <w:r w:rsidRPr="00421A6B">
        <w:rPr>
          <w:rFonts w:ascii="Palatino Linotype" w:hAnsi="Palatino Linotype"/>
        </w:rPr>
        <w:t>: Compliance Assessment of AL 6</w:t>
      </w:r>
      <w:r w:rsidR="00997FA3">
        <w:rPr>
          <w:rFonts w:ascii="Palatino Linotype" w:hAnsi="Palatino Linotype"/>
        </w:rPr>
        <w:t>646-G</w:t>
      </w:r>
      <w:r w:rsidRPr="00421A6B">
        <w:rPr>
          <w:rFonts w:ascii="Palatino Linotype" w:hAnsi="Palatino Linotype"/>
        </w:rPr>
        <w:t xml:space="preserve"> at CPUC Requirement [6].</w:t>
      </w:r>
    </w:p>
  </w:footnote>
  <w:footnote w:id="118">
    <w:p w14:paraId="551DDE36" w14:textId="78CF41F1" w:rsidR="007933EA" w:rsidRPr="00C53B13" w:rsidRDefault="007933EA" w:rsidP="007933EA">
      <w:pPr>
        <w:pStyle w:val="FootnoteText"/>
        <w:rPr>
          <w:rFonts w:ascii="Palatino Linotype" w:hAnsi="Palatino Linotype"/>
        </w:rPr>
      </w:pPr>
      <w:r w:rsidRPr="003B2C79">
        <w:rPr>
          <w:rStyle w:val="FootnoteReference"/>
          <w:rFonts w:ascii="Palatino Linotype" w:hAnsi="Palatino Linotype"/>
        </w:rPr>
        <w:footnoteRef/>
      </w:r>
      <w:r w:rsidRPr="003B2C79">
        <w:rPr>
          <w:rFonts w:ascii="Palatino Linotype" w:hAnsi="Palatino Linotype"/>
        </w:rPr>
        <w:t xml:space="preserve"> </w:t>
      </w:r>
      <w:r w:rsidRPr="003B2C79">
        <w:rPr>
          <w:rFonts w:ascii="Palatino Linotype" w:eastAsia="Aptos" w:hAnsi="Palatino Linotype" w:cs="Aptos"/>
        </w:rPr>
        <w:t>AL 6646-</w:t>
      </w:r>
      <w:r w:rsidRPr="003B2C79">
        <w:rPr>
          <w:rFonts w:ascii="Palatino Linotype" w:eastAsia="Palatino Linotype" w:hAnsi="Palatino Linotype" w:cs="Palatino Linotype"/>
        </w:rPr>
        <w:t>G Attachment A at p. 47.</w:t>
      </w:r>
      <w:r>
        <w:rPr>
          <w:rFonts w:ascii="Palatino Linotype" w:eastAsia="Palatino Linotype" w:hAnsi="Palatino Linotype" w:cs="Palatino Linotype"/>
        </w:rPr>
        <w:t xml:space="preserve"> </w:t>
      </w:r>
    </w:p>
  </w:footnote>
  <w:footnote w:id="119">
    <w:p w14:paraId="7BA59687" w14:textId="024AF7C5" w:rsidR="00B6431B" w:rsidRDefault="00B6431B" w:rsidP="00B6431B">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w:t>
      </w:r>
      <w:r w:rsidR="00DF2386">
        <w:rPr>
          <w:rFonts w:ascii="Palatino Linotype" w:hAnsi="Palatino Linotype"/>
          <w:color w:val="000000" w:themeColor="text1"/>
        </w:rPr>
        <w:t>6</w:t>
      </w:r>
      <w:r>
        <w:rPr>
          <w:rFonts w:ascii="Palatino Linotype" w:hAnsi="Palatino Linotype"/>
          <w:color w:val="000000" w:themeColor="text1"/>
        </w:rPr>
        <w:t>-G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6</w:t>
      </w:r>
      <w:r w:rsidR="007C1B77">
        <w:rPr>
          <w:rFonts w:ascii="Palatino Linotype" w:hAnsi="Palatino Linotype"/>
          <w:bCs/>
          <w:color w:val="000000" w:themeColor="text1"/>
        </w:rPr>
        <w:t>2</w:t>
      </w:r>
      <w:r>
        <w:rPr>
          <w:rFonts w:ascii="Palatino Linotype" w:hAnsi="Palatino Linotype"/>
          <w:bCs/>
          <w:color w:val="000000" w:themeColor="text1"/>
        </w:rPr>
        <w:t>.</w:t>
      </w:r>
    </w:p>
  </w:footnote>
  <w:footnote w:id="120">
    <w:p w14:paraId="2F60656F" w14:textId="16702C01" w:rsidR="000038A1" w:rsidRDefault="000038A1" w:rsidP="000038A1">
      <w:pPr>
        <w:pStyle w:val="FootnoteText"/>
      </w:pPr>
      <w:r>
        <w:rPr>
          <w:rStyle w:val="FootnoteReference"/>
        </w:rPr>
        <w:footnoteRef/>
      </w:r>
      <w:r>
        <w:t xml:space="preserve"> </w:t>
      </w:r>
      <w:r>
        <w:rPr>
          <w:rFonts w:ascii="Palatino Linotype" w:hAnsi="Palatino Linotype"/>
        </w:rPr>
        <w:t xml:space="preserve">Per </w:t>
      </w:r>
      <w:hyperlink r:id="rId45"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hAnsi="Palatino Linotype"/>
          <w:color w:val="000000" w:themeColor="text1"/>
        </w:rPr>
        <w:t>J</w:t>
      </w:r>
      <w:r w:rsidRPr="00F27196">
        <w:rPr>
          <w:rFonts w:ascii="Palatino Linotype" w:hAnsi="Palatino Linotype"/>
        </w:rPr>
        <w:t xml:space="preserve">: Compliance Assessment of AL </w:t>
      </w:r>
      <w:r>
        <w:rPr>
          <w:rFonts w:ascii="Palatino Linotype" w:hAnsi="Palatino Linotype"/>
        </w:rPr>
        <w:t>6646-G at CPUC Requirement [18</w:t>
      </w:r>
      <w:r w:rsidRPr="008477EC">
        <w:rPr>
          <w:rFonts w:ascii="Palatino Linotype" w:hAnsi="Palatino Linotype"/>
        </w:rPr>
        <w:t>].</w:t>
      </w:r>
    </w:p>
  </w:footnote>
  <w:footnote w:id="121">
    <w:p w14:paraId="20201C62" w14:textId="464A5B54" w:rsidR="000038A1" w:rsidRDefault="000038A1" w:rsidP="000038A1">
      <w:pPr>
        <w:pStyle w:val="FootnoteText"/>
      </w:pPr>
      <w:r>
        <w:rPr>
          <w:rStyle w:val="FootnoteReference"/>
        </w:rPr>
        <w:footnoteRef/>
      </w:r>
      <w:r>
        <w:t xml:space="preserve"> </w:t>
      </w:r>
      <w:r w:rsidRPr="008477EC">
        <w:rPr>
          <w:rFonts w:ascii="Palatino Linotype" w:eastAsia="Palatino Linotype" w:hAnsi="Palatino Linotype" w:cs="Palatino Linotype"/>
        </w:rPr>
        <w:t xml:space="preserve">Per </w:t>
      </w:r>
      <w:hyperlink r:id="rId46" w:tgtFrame="_blank" w:history="1">
        <w:r w:rsidRPr="008477EC">
          <w:rPr>
            <w:rStyle w:val="Hyperlink"/>
            <w:rFonts w:ascii="Palatino Linotype" w:hAnsi="Palatino Linotype"/>
          </w:rPr>
          <w:t>Resolution G-3601</w:t>
        </w:r>
      </w:hyperlink>
      <w:r w:rsidRPr="008477EC">
        <w:rPr>
          <w:rFonts w:ascii="Palatino Linotype" w:eastAsia="Palatino Linotype" w:hAnsi="Palatino Linotype" w:cs="Palatino Linotype"/>
        </w:rPr>
        <w:t xml:space="preserve"> (2023) at OP 6</w:t>
      </w:r>
      <w:r>
        <w:rPr>
          <w:rFonts w:ascii="Palatino Linotype" w:eastAsia="Palatino Linotype" w:hAnsi="Palatino Linotype" w:cs="Palatino Linotype"/>
        </w:rPr>
        <w:t xml:space="preserve">.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eastAsia="Palatino Linotype" w:hAnsi="Palatino Linotype" w:cs="Palatino Linotype"/>
        </w:rPr>
        <w:t xml:space="preserve">J: </w:t>
      </w:r>
      <w:r w:rsidRPr="008477EC">
        <w:rPr>
          <w:rFonts w:ascii="Palatino Linotype" w:eastAsia="Palatino Linotype" w:hAnsi="Palatino Linotype" w:cs="Palatino Linotype"/>
        </w:rPr>
        <w:t>Compliance Assessment of AL 664</w:t>
      </w:r>
      <w:r>
        <w:rPr>
          <w:rFonts w:ascii="Palatino Linotype" w:eastAsia="Palatino Linotype" w:hAnsi="Palatino Linotype" w:cs="Palatino Linotype"/>
        </w:rPr>
        <w:t>6</w:t>
      </w:r>
      <w:r w:rsidRPr="008477EC">
        <w:rPr>
          <w:rFonts w:ascii="Palatino Linotype" w:eastAsia="Palatino Linotype" w:hAnsi="Palatino Linotype" w:cs="Palatino Linotype"/>
        </w:rPr>
        <w:t xml:space="preserve">-G </w:t>
      </w:r>
      <w:r w:rsidR="00997FA3">
        <w:rPr>
          <w:rFonts w:ascii="Palatino Linotype" w:eastAsia="Palatino Linotype" w:hAnsi="Palatino Linotype" w:cs="Palatino Linotype"/>
        </w:rPr>
        <w:t xml:space="preserve">at CPUC </w:t>
      </w:r>
      <w:r w:rsidRPr="008477EC">
        <w:rPr>
          <w:rFonts w:ascii="Palatino Linotype" w:eastAsia="Palatino Linotype" w:hAnsi="Palatino Linotype" w:cs="Palatino Linotype"/>
        </w:rPr>
        <w:t>Requirement [</w:t>
      </w:r>
      <w:r>
        <w:rPr>
          <w:rFonts w:ascii="Palatino Linotype" w:eastAsia="Palatino Linotype" w:hAnsi="Palatino Linotype" w:cs="Palatino Linotype"/>
        </w:rPr>
        <w:t>15</w:t>
      </w:r>
      <w:r w:rsidRPr="008477EC">
        <w:rPr>
          <w:rFonts w:ascii="Palatino Linotype" w:eastAsia="Palatino Linotype" w:hAnsi="Palatino Linotype" w:cs="Palatino Linotype"/>
        </w:rPr>
        <w:t>].</w:t>
      </w:r>
      <w:r>
        <w:rPr>
          <w:rFonts w:ascii="Palatino Linotype" w:eastAsia="Palatino Linotype" w:hAnsi="Palatino Linotype" w:cs="Palatino Linotype"/>
        </w:rPr>
        <w:t xml:space="preserve"> </w:t>
      </w:r>
    </w:p>
  </w:footnote>
  <w:footnote w:id="122">
    <w:p w14:paraId="0AED92E7" w14:textId="0914EE10" w:rsidR="000038A1" w:rsidRDefault="000038A1" w:rsidP="000038A1">
      <w:pPr>
        <w:pStyle w:val="FootnoteText"/>
      </w:pPr>
      <w:r>
        <w:rPr>
          <w:rStyle w:val="FootnoteReference"/>
        </w:rPr>
        <w:footnoteRef/>
      </w:r>
      <w:r>
        <w:t xml:space="preserve"> </w:t>
      </w:r>
      <w:r>
        <w:rPr>
          <w:rFonts w:ascii="Palatino Linotype" w:hAnsi="Palatino Linotype"/>
        </w:rPr>
        <w:t xml:space="preserve">Per </w:t>
      </w:r>
      <w:hyperlink r:id="rId47"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Pr>
          <w:rFonts w:ascii="Palatino Linotype" w:hAnsi="Palatino Linotype"/>
          <w:color w:val="000000" w:themeColor="text1"/>
        </w:rPr>
        <w:t>J</w:t>
      </w:r>
      <w:r w:rsidRPr="00F27196">
        <w:rPr>
          <w:rFonts w:ascii="Palatino Linotype" w:hAnsi="Palatino Linotype"/>
        </w:rPr>
        <w:t xml:space="preserve">: Compliance Assessment of AL </w:t>
      </w:r>
      <w:r>
        <w:rPr>
          <w:rFonts w:ascii="Palatino Linotype" w:hAnsi="Palatino Linotype"/>
        </w:rPr>
        <w:t>6646-G at CPUC Requirement [23</w:t>
      </w:r>
      <w:r w:rsidRPr="008477EC">
        <w:rPr>
          <w:rFonts w:ascii="Palatino Linotype" w:hAnsi="Palatino Linotype"/>
        </w:rPr>
        <w:t>].</w:t>
      </w:r>
    </w:p>
  </w:footnote>
  <w:footnote w:id="123">
    <w:p w14:paraId="5A58BA6F" w14:textId="03EE064B" w:rsidR="00AD5D09" w:rsidRDefault="00AD5D09">
      <w:pPr>
        <w:pStyle w:val="FootnoteText"/>
      </w:pPr>
      <w:r>
        <w:rPr>
          <w:rStyle w:val="FootnoteReference"/>
        </w:rPr>
        <w:footnoteRef/>
      </w:r>
      <w:r>
        <w:t xml:space="preserve"> </w:t>
      </w:r>
      <w:hyperlink r:id="rId48" w:history="1">
        <w:r w:rsidRPr="00AD5D09">
          <w:rPr>
            <w:rStyle w:val="Hyperlink"/>
            <w:rFonts w:ascii="Palatino Linotype" w:hAnsi="Palatino Linotype"/>
          </w:rPr>
          <w:t>PG&amp;E’s 2026 Gas RD&amp;D Plan</w:t>
        </w:r>
      </w:hyperlink>
      <w:r w:rsidRPr="00AD5D09">
        <w:rPr>
          <w:rFonts w:ascii="Palatino Linotype" w:hAnsi="Palatino Linotype"/>
        </w:rPr>
        <w:t xml:space="preserve"> at p. 36-46.</w:t>
      </w:r>
    </w:p>
  </w:footnote>
  <w:footnote w:id="124">
    <w:p w14:paraId="267F6A5C" w14:textId="2B49C457" w:rsidR="000412A5" w:rsidRDefault="000412A5">
      <w:pPr>
        <w:pStyle w:val="FootnoteText"/>
      </w:pPr>
      <w:r>
        <w:rPr>
          <w:rStyle w:val="FootnoteReference"/>
        </w:rPr>
        <w:footnoteRef/>
      </w:r>
      <w:r>
        <w:t xml:space="preserve"> </w:t>
      </w:r>
      <w:hyperlink r:id="rId49" w:history="1">
        <w:r w:rsidRPr="000412A5">
          <w:rPr>
            <w:rStyle w:val="Hyperlink"/>
            <w:rFonts w:ascii="Palatino Linotype" w:hAnsi="Palatino Linotype"/>
          </w:rPr>
          <w:t>CEC’s Proposed FY 2024-2025 Gas RD&amp;D Plan</w:t>
        </w:r>
      </w:hyperlink>
      <w:r w:rsidRPr="000412A5">
        <w:rPr>
          <w:rFonts w:ascii="Palatino Linotype" w:hAnsi="Palatino Linotype"/>
        </w:rPr>
        <w:t xml:space="preserve"> at p. 40-49.</w:t>
      </w:r>
    </w:p>
  </w:footnote>
  <w:footnote w:id="125">
    <w:p w14:paraId="57295D57" w14:textId="1B06B54F" w:rsidR="000038A1" w:rsidRDefault="000038A1" w:rsidP="000038A1">
      <w:pPr>
        <w:pStyle w:val="FootnoteText"/>
      </w:pPr>
      <w:r>
        <w:rPr>
          <w:rStyle w:val="FootnoteReference"/>
        </w:rPr>
        <w:footnoteRef/>
      </w:r>
      <w:r>
        <w:t xml:space="preserve"> </w:t>
      </w:r>
      <w:r>
        <w:rPr>
          <w:rFonts w:ascii="Palatino Linotype" w:hAnsi="Palatino Linotype"/>
        </w:rPr>
        <w:t xml:space="preserve">Per </w:t>
      </w:r>
      <w:hyperlink r:id="rId50" w:tgtFrame="_blank" w:history="1">
        <w:r w:rsidRPr="008477EC">
          <w:rPr>
            <w:rStyle w:val="Hyperlink"/>
            <w:rFonts w:ascii="Palatino Linotype" w:hAnsi="Palatino Linotype"/>
          </w:rPr>
          <w:t>Resolution G-3601</w:t>
        </w:r>
      </w:hyperlink>
      <w:r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sidR="00855B97">
        <w:rPr>
          <w:rFonts w:ascii="Palatino Linotype" w:hAnsi="Palatino Linotype"/>
          <w:color w:val="000000" w:themeColor="text1"/>
        </w:rPr>
        <w:t>J</w:t>
      </w:r>
      <w:r w:rsidRPr="00F27196">
        <w:rPr>
          <w:rFonts w:ascii="Palatino Linotype" w:hAnsi="Palatino Linotype"/>
        </w:rPr>
        <w:t xml:space="preserve">: Compliance Assessment of AL </w:t>
      </w:r>
      <w:r>
        <w:rPr>
          <w:rFonts w:ascii="Palatino Linotype" w:hAnsi="Palatino Linotype"/>
        </w:rPr>
        <w:t>664</w:t>
      </w:r>
      <w:r w:rsidR="00855B97">
        <w:rPr>
          <w:rFonts w:ascii="Palatino Linotype" w:hAnsi="Palatino Linotype"/>
        </w:rPr>
        <w:t>6</w:t>
      </w:r>
      <w:r>
        <w:rPr>
          <w:rFonts w:ascii="Palatino Linotype" w:hAnsi="Palatino Linotype"/>
        </w:rPr>
        <w:t>-G at CPUC Requirement [21]</w:t>
      </w:r>
      <w:r w:rsidRPr="008477EC">
        <w:rPr>
          <w:rFonts w:ascii="Palatino Linotype" w:hAnsi="Palatino Linotype"/>
        </w:rPr>
        <w:t>.</w:t>
      </w:r>
    </w:p>
  </w:footnote>
  <w:footnote w:id="126">
    <w:p w14:paraId="72ACE57D" w14:textId="49B7C830" w:rsidR="003C75B5" w:rsidRDefault="003C75B5" w:rsidP="003C75B5">
      <w:pPr>
        <w:pStyle w:val="FootnoteText"/>
      </w:pPr>
      <w:r>
        <w:rPr>
          <w:rStyle w:val="FootnoteReference"/>
        </w:rPr>
        <w:footnoteRef/>
      </w:r>
      <w:r>
        <w:t xml:space="preserve"> </w:t>
      </w:r>
      <w:r w:rsidRPr="005C01D4">
        <w:rPr>
          <w:rFonts w:ascii="Palatino Linotype" w:hAnsi="Palatino Linotype"/>
          <w:color w:val="000000" w:themeColor="text1"/>
        </w:rPr>
        <w:t>AL 6</w:t>
      </w:r>
      <w:r>
        <w:rPr>
          <w:rFonts w:ascii="Palatino Linotype" w:hAnsi="Palatino Linotype"/>
          <w:color w:val="000000" w:themeColor="text1"/>
        </w:rPr>
        <w:t>64</w:t>
      </w:r>
      <w:r w:rsidR="006E3788">
        <w:rPr>
          <w:rFonts w:ascii="Palatino Linotype" w:hAnsi="Palatino Linotype"/>
          <w:color w:val="000000" w:themeColor="text1"/>
        </w:rPr>
        <w:t>6</w:t>
      </w:r>
      <w:r>
        <w:rPr>
          <w:rFonts w:ascii="Palatino Linotype" w:hAnsi="Palatino Linotype"/>
          <w:color w:val="000000" w:themeColor="text1"/>
        </w:rPr>
        <w:t>-G</w:t>
      </w:r>
      <w:r w:rsidRPr="005C01D4">
        <w:rPr>
          <w:rFonts w:ascii="Palatino Linotype" w:hAnsi="Palatino Linotype"/>
          <w:color w:val="000000" w:themeColor="text1"/>
        </w:rPr>
        <w:t xml:space="preserve"> </w:t>
      </w:r>
      <w:r w:rsidRPr="005C01D4">
        <w:rPr>
          <w:rFonts w:ascii="Palatino Linotype" w:hAnsi="Palatino Linotype"/>
          <w:bCs/>
          <w:color w:val="000000" w:themeColor="text1"/>
        </w:rPr>
        <w:t xml:space="preserve">Attachment A at p. </w:t>
      </w:r>
      <w:r>
        <w:rPr>
          <w:rFonts w:ascii="Palatino Linotype" w:hAnsi="Palatino Linotype"/>
          <w:bCs/>
          <w:color w:val="000000" w:themeColor="text1"/>
        </w:rPr>
        <w:t>6</w:t>
      </w:r>
      <w:r w:rsidR="006E3788">
        <w:rPr>
          <w:rFonts w:ascii="Palatino Linotype" w:hAnsi="Palatino Linotype"/>
          <w:bCs/>
          <w:color w:val="000000" w:themeColor="text1"/>
        </w:rPr>
        <w:t>2</w:t>
      </w:r>
      <w:r>
        <w:rPr>
          <w:rFonts w:ascii="Palatino Linotype" w:hAnsi="Palatino Linotype"/>
          <w:bCs/>
          <w:color w:val="000000" w:themeColor="text1"/>
        </w:rPr>
        <w:t>.</w:t>
      </w:r>
    </w:p>
  </w:footnote>
  <w:footnote w:id="127">
    <w:p w14:paraId="6DECD143" w14:textId="77777777" w:rsidR="003C75B5" w:rsidRPr="003D0E92" w:rsidRDefault="003C75B5" w:rsidP="003C75B5">
      <w:pPr>
        <w:pStyle w:val="FootnoteText"/>
        <w:rPr>
          <w:rFonts w:ascii="Palatino Linotype" w:hAnsi="Palatino Linotype"/>
        </w:rPr>
      </w:pPr>
      <w:r w:rsidRPr="005C01D4">
        <w:rPr>
          <w:rStyle w:val="FootnoteReference"/>
          <w:rFonts w:ascii="Palatino Linotype" w:hAnsi="Palatino Linotype"/>
        </w:rPr>
        <w:footnoteRef/>
      </w:r>
      <w:r w:rsidRPr="005C01D4">
        <w:rPr>
          <w:rFonts w:ascii="Palatino Linotype" w:hAnsi="Palatino Linotype"/>
        </w:rPr>
        <w:t xml:space="preserve"> </w:t>
      </w:r>
      <w:hyperlink r:id="rId51">
        <w:r w:rsidRPr="005C01D4">
          <w:rPr>
            <w:rStyle w:val="Hyperlink"/>
            <w:rFonts w:ascii="Palatino Linotype" w:hAnsi="Palatino Linotype"/>
          </w:rPr>
          <w:t>Resolution G-3601</w:t>
        </w:r>
      </w:hyperlink>
      <w:r w:rsidRPr="005C01D4">
        <w:rPr>
          <w:rFonts w:ascii="Palatino Linotype" w:hAnsi="Palatino Linotype"/>
        </w:rPr>
        <w:t> (2023) at p. 21</w:t>
      </w:r>
      <w:r>
        <w:rPr>
          <w:rFonts w:ascii="Palatino Linotype" w:hAnsi="Palatino Linotype"/>
        </w:rPr>
        <w:t>.</w:t>
      </w:r>
    </w:p>
  </w:footnote>
  <w:footnote w:id="128">
    <w:p w14:paraId="6F511407" w14:textId="7C03758D" w:rsidR="006E3788" w:rsidRPr="00763909" w:rsidRDefault="006E3788" w:rsidP="006E3788">
      <w:pPr>
        <w:pStyle w:val="FootnoteText"/>
        <w:rPr>
          <w:rFonts w:ascii="Times New Roman" w:hAnsi="Times New Roman"/>
        </w:rPr>
      </w:pPr>
      <w:r>
        <w:rPr>
          <w:rStyle w:val="FootnoteReference"/>
        </w:rPr>
        <w:footnoteRef/>
      </w:r>
      <w:r>
        <w:t xml:space="preserve"> </w:t>
      </w:r>
      <w:hyperlink r:id="rId52" w:history="1">
        <w:r w:rsidRPr="005C01D4">
          <w:rPr>
            <w:rStyle w:val="Hyperlink"/>
            <w:rFonts w:ascii="Palatino Linotype" w:hAnsi="Palatino Linotype"/>
          </w:rPr>
          <w:t>Resolution G-3618</w:t>
        </w:r>
      </w:hyperlink>
      <w:r w:rsidRPr="005C01D4">
        <w:rPr>
          <w:rFonts w:ascii="Palatino Linotype" w:hAnsi="Palatino Linotype"/>
        </w:rPr>
        <w:t xml:space="preserve"> (2026)</w:t>
      </w:r>
      <w:r w:rsidR="008D4063">
        <w:rPr>
          <w:rFonts w:ascii="Palatino Linotype" w:hAnsi="Palatino Linotype"/>
        </w:rPr>
        <w:t xml:space="preserve"> </w:t>
      </w:r>
      <w:r>
        <w:rPr>
          <w:rFonts w:ascii="Palatino Linotype" w:eastAsia="Palatino Linotype" w:hAnsi="Palatino Linotype"/>
          <w:color w:val="000000" w:themeColor="text1"/>
        </w:rPr>
        <w:t>at</w:t>
      </w:r>
      <w:r w:rsidRPr="005C01D4">
        <w:rPr>
          <w:rFonts w:ascii="Palatino Linotype" w:hAnsi="Palatino Linotype"/>
        </w:rPr>
        <w:t xml:space="preserve"> p. 16 &amp; 18.</w:t>
      </w:r>
    </w:p>
  </w:footnote>
  <w:footnote w:id="129">
    <w:p w14:paraId="147A37F2" w14:textId="38F88EB5" w:rsidR="006E3788" w:rsidRPr="00763909" w:rsidRDefault="006E3788" w:rsidP="006E3788">
      <w:pPr>
        <w:pStyle w:val="FootnoteText"/>
        <w:rPr>
          <w:rFonts w:ascii="Palatino Linotype" w:hAnsi="Palatino Linotype"/>
        </w:rPr>
      </w:pPr>
      <w:r w:rsidRPr="00763909">
        <w:rPr>
          <w:rStyle w:val="FootnoteReference"/>
          <w:rFonts w:ascii="Palatino Linotype" w:hAnsi="Palatino Linotype"/>
        </w:rPr>
        <w:footnoteRef/>
      </w:r>
      <w:r w:rsidRPr="00763909">
        <w:rPr>
          <w:rFonts w:ascii="Palatino Linotype" w:hAnsi="Palatino Linotype"/>
        </w:rPr>
        <w:t xml:space="preserve"> </w:t>
      </w:r>
      <w:hyperlink r:id="rId53" w:history="1">
        <w:r w:rsidRPr="00734A86">
          <w:rPr>
            <w:rStyle w:val="Hyperlink"/>
            <w:rFonts w:ascii="Palatino Linotype" w:hAnsi="Palatino Linotype"/>
          </w:rPr>
          <w:t>Resolution G-3623</w:t>
        </w:r>
      </w:hyperlink>
      <w:r w:rsidRPr="00763909">
        <w:rPr>
          <w:rFonts w:ascii="Palatino Linotype" w:hAnsi="Palatino Linotype"/>
        </w:rPr>
        <w:t xml:space="preserve"> (2026)</w:t>
      </w:r>
      <w:r w:rsidR="008D4063">
        <w:rPr>
          <w:rFonts w:ascii="Palatino Linotype" w:hAnsi="Palatino Linotype"/>
        </w:rPr>
        <w:t xml:space="preserve"> </w:t>
      </w:r>
      <w:r w:rsidRPr="00763909">
        <w:rPr>
          <w:rFonts w:ascii="Palatino Linotype" w:hAnsi="Palatino Linotype"/>
        </w:rPr>
        <w:t xml:space="preserve">at </w:t>
      </w:r>
      <w:r>
        <w:rPr>
          <w:rFonts w:ascii="Palatino Linotype" w:hAnsi="Palatino Linotype"/>
        </w:rPr>
        <w:t>p. 28 &amp; FOF 3b.</w:t>
      </w:r>
    </w:p>
  </w:footnote>
  <w:footnote w:id="130">
    <w:p w14:paraId="2FC10BDE" w14:textId="77777777" w:rsidR="006E3788" w:rsidRPr="00E0057A" w:rsidRDefault="006E3788" w:rsidP="006E3788">
      <w:pPr>
        <w:pStyle w:val="FootnoteText"/>
        <w:rPr>
          <w:rFonts w:ascii="Palatino Linotype" w:hAnsi="Palatino Linotype"/>
        </w:rPr>
      </w:pPr>
      <w:r w:rsidRPr="00E0057A">
        <w:rPr>
          <w:rStyle w:val="FootnoteReference"/>
          <w:rFonts w:ascii="Palatino Linotype" w:hAnsi="Palatino Linotype"/>
        </w:rPr>
        <w:footnoteRef/>
      </w:r>
      <w:r w:rsidRPr="00E0057A">
        <w:rPr>
          <w:rFonts w:ascii="Palatino Linotype" w:hAnsi="Palatino Linotype"/>
        </w:rPr>
        <w:t xml:space="preserve"> </w:t>
      </w:r>
      <w:r>
        <w:rPr>
          <w:rFonts w:ascii="Palatino Linotype" w:hAnsi="Palatino Linotype"/>
        </w:rPr>
        <w:t xml:space="preserve">Hydrogen is not included in the </w:t>
      </w:r>
      <w:hyperlink r:id="rId54" w:history="1">
        <w:r w:rsidRPr="00E0057A">
          <w:rPr>
            <w:rStyle w:val="Hyperlink"/>
            <w:rFonts w:ascii="Palatino Linotype" w:hAnsi="Palatino Linotype"/>
          </w:rPr>
          <w:t>Final 2025 Inputs and Assumptions (I&amp;A) for the 2024-2026 IRP Cycle</w:t>
        </w:r>
      </w:hyperlink>
      <w:r w:rsidRPr="00E0057A">
        <w:rPr>
          <w:rFonts w:ascii="Palatino Linotype" w:hAnsi="Palatino Linotype"/>
        </w:rPr>
        <w:t>.</w:t>
      </w:r>
    </w:p>
  </w:footnote>
  <w:footnote w:id="131">
    <w:p w14:paraId="6DEF1010" w14:textId="0F2A60B8" w:rsidR="00A273D3" w:rsidRDefault="00A273D3">
      <w:pPr>
        <w:pStyle w:val="FootnoteText"/>
      </w:pPr>
      <w:r>
        <w:rPr>
          <w:rStyle w:val="FootnoteReference"/>
        </w:rPr>
        <w:footnoteRef/>
      </w:r>
      <w:r>
        <w:t xml:space="preserve"> </w:t>
      </w:r>
      <w:r w:rsidRPr="007B5BB1">
        <w:rPr>
          <w:rFonts w:ascii="Palatino Linotype" w:hAnsi="Palatino Linotype"/>
        </w:rPr>
        <w:t xml:space="preserve">Consistent with EPIC per </w:t>
      </w:r>
      <w:hyperlink r:id="rId55" w:history="1">
        <w:r w:rsidRPr="007B5BB1">
          <w:rPr>
            <w:rStyle w:val="Hyperlink"/>
            <w:rFonts w:ascii="Palatino Linotype" w:hAnsi="Palatino Linotype"/>
          </w:rPr>
          <w:t>D.12-05-037</w:t>
        </w:r>
      </w:hyperlink>
      <w:r w:rsidRPr="007B5BB1">
        <w:rPr>
          <w:rFonts w:ascii="Palatino Linotype" w:hAnsi="Palatino Linotype"/>
        </w:rPr>
        <w:t xml:space="preserve"> at OP 3</w:t>
      </w:r>
      <w:r>
        <w:rPr>
          <w:rFonts w:ascii="Palatino Linotype" w:hAnsi="Palatino Linotype"/>
        </w:rPr>
        <w:t xml:space="preserve"> &amp;</w:t>
      </w:r>
      <w:r w:rsidRPr="007B5BB1">
        <w:rPr>
          <w:rFonts w:ascii="Palatino Linotype" w:hAnsi="Palatino Linotype"/>
        </w:rPr>
        <w:t xml:space="preserve"> </w:t>
      </w:r>
      <w:hyperlink r:id="rId56" w:history="1">
        <w:r w:rsidRPr="007B5BB1">
          <w:rPr>
            <w:rStyle w:val="Hyperlink"/>
            <w:rFonts w:ascii="Palatino Linotype" w:hAnsi="Palatino Linotype"/>
          </w:rPr>
          <w:t>D.21-11-028</w:t>
        </w:r>
      </w:hyperlink>
      <w:r w:rsidRPr="007B5BB1">
        <w:rPr>
          <w:rFonts w:ascii="Palatino Linotype" w:hAnsi="Palatino Linotype"/>
        </w:rPr>
        <w:t xml:space="preserve"> at p. 32.</w:t>
      </w:r>
    </w:p>
  </w:footnote>
  <w:footnote w:id="132">
    <w:p w14:paraId="54DD4880" w14:textId="77777777" w:rsidR="00AF1F5B" w:rsidRDefault="00AF1F5B" w:rsidP="00AF1F5B">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6646-G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55.</w:t>
      </w:r>
    </w:p>
  </w:footnote>
  <w:footnote w:id="133">
    <w:p w14:paraId="5267D0ED" w14:textId="5A17D643" w:rsidR="0035356D" w:rsidRDefault="0035356D">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6646-G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sidR="00442FE0">
        <w:rPr>
          <w:rFonts w:ascii="Palatino Linotype" w:hAnsi="Palatino Linotype"/>
          <w:bCs/>
          <w:color w:val="000000" w:themeColor="text1"/>
        </w:rPr>
        <w:t xml:space="preserve"> 45.</w:t>
      </w:r>
    </w:p>
  </w:footnote>
  <w:footnote w:id="134">
    <w:p w14:paraId="770161BD" w14:textId="2296EF4B" w:rsidR="00846463" w:rsidRDefault="00846463" w:rsidP="00846463">
      <w:pPr>
        <w:pStyle w:val="FootnoteText"/>
      </w:pPr>
      <w:r w:rsidRPr="008477EC">
        <w:rPr>
          <w:rStyle w:val="FootnoteReference"/>
          <w:rFonts w:ascii="Palatino Linotype" w:hAnsi="Palatino Linotype"/>
        </w:rPr>
        <w:footnoteRef/>
      </w:r>
      <w:r w:rsidR="11ACDDAB" w:rsidRPr="008477EC">
        <w:rPr>
          <w:rFonts w:ascii="Palatino Linotype" w:hAnsi="Palatino Linotype"/>
        </w:rPr>
        <w:t xml:space="preserve"> </w:t>
      </w:r>
      <w:r w:rsidR="11ACDDAB">
        <w:rPr>
          <w:rFonts w:ascii="Palatino Linotype" w:hAnsi="Palatino Linotype"/>
        </w:rPr>
        <w:t xml:space="preserve">Per </w:t>
      </w:r>
      <w:hyperlink r:id="rId57">
        <w:r w:rsidR="11ACDDAB" w:rsidRPr="11ACDDAB">
          <w:rPr>
            <w:rStyle w:val="Hyperlink"/>
            <w:rFonts w:ascii="Palatino Linotype" w:hAnsi="Palatino Linotype"/>
          </w:rPr>
          <w:t>Resolution G-3601</w:t>
        </w:r>
      </w:hyperlink>
      <w:r w:rsidR="11ACDDAB"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sidR="000600F9">
        <w:rPr>
          <w:rFonts w:ascii="Palatino Linotype" w:hAnsi="Palatino Linotype"/>
          <w:color w:val="000000" w:themeColor="text1"/>
        </w:rPr>
        <w:t>J</w:t>
      </w:r>
      <w:r w:rsidRPr="00F27196">
        <w:rPr>
          <w:rFonts w:ascii="Palatino Linotype" w:hAnsi="Palatino Linotype"/>
        </w:rPr>
        <w:t xml:space="preserve">: Compliance Assessment of AL </w:t>
      </w:r>
      <w:r w:rsidR="11ACDDAB">
        <w:rPr>
          <w:rFonts w:ascii="Palatino Linotype" w:hAnsi="Palatino Linotype"/>
        </w:rPr>
        <w:t>664</w:t>
      </w:r>
      <w:r w:rsidR="11ACDDAB" w:rsidRPr="11ACDDAB">
        <w:rPr>
          <w:rFonts w:ascii="Palatino Linotype" w:hAnsi="Palatino Linotype"/>
        </w:rPr>
        <w:t>6</w:t>
      </w:r>
      <w:r>
        <w:rPr>
          <w:rFonts w:ascii="Palatino Linotype" w:hAnsi="Palatino Linotype"/>
        </w:rPr>
        <w:t>-G at CPUC Requirement [</w:t>
      </w:r>
      <w:r w:rsidRPr="008477EC">
        <w:rPr>
          <w:rFonts w:ascii="Palatino Linotype" w:hAnsi="Palatino Linotype"/>
        </w:rPr>
        <w:t>17].</w:t>
      </w:r>
    </w:p>
  </w:footnote>
  <w:footnote w:id="135">
    <w:p w14:paraId="0B0F908A" w14:textId="6CDBEEEC" w:rsidR="00846463" w:rsidRDefault="00846463" w:rsidP="00846463">
      <w:pPr>
        <w:pStyle w:val="FootnoteText"/>
      </w:pPr>
      <w:r>
        <w:rPr>
          <w:rStyle w:val="FootnoteReference"/>
        </w:rPr>
        <w:footnoteRef/>
      </w:r>
      <w:r w:rsidR="11ACDDAB">
        <w:t xml:space="preserve"> </w:t>
      </w:r>
      <w:r w:rsidR="11ACDDAB">
        <w:rPr>
          <w:rFonts w:ascii="Palatino Linotype" w:hAnsi="Palatino Linotype"/>
        </w:rPr>
        <w:t xml:space="preserve">Per </w:t>
      </w:r>
      <w:hyperlink r:id="rId58">
        <w:r w:rsidR="11ACDDAB" w:rsidRPr="11ACDDAB">
          <w:rPr>
            <w:rStyle w:val="Hyperlink"/>
            <w:rFonts w:ascii="Palatino Linotype" w:hAnsi="Palatino Linotype"/>
          </w:rPr>
          <w:t>Resolution G-3601</w:t>
        </w:r>
      </w:hyperlink>
      <w:r w:rsidR="11ACDDAB" w:rsidRPr="008477EC">
        <w:rPr>
          <w:rFonts w:ascii="Palatino Linotype" w:hAnsi="Palatino Linotype"/>
        </w:rPr>
        <w:t xml:space="preserve"> (2023) at OP 6. </w:t>
      </w:r>
      <w:r>
        <w:rPr>
          <w:rFonts w:ascii="Palatino Linotype" w:hAnsi="Palatino Linotype"/>
        </w:rPr>
        <w:t xml:space="preserve">See </w:t>
      </w:r>
      <w:r w:rsidRPr="00F27196">
        <w:rPr>
          <w:rFonts w:ascii="Palatino Linotype" w:hAnsi="Palatino Linotype"/>
        </w:rPr>
        <w:t xml:space="preserve">Resolution </w:t>
      </w:r>
      <w:r>
        <w:rPr>
          <w:rFonts w:ascii="Palatino Linotype" w:eastAsia="Times New Roman" w:hAnsi="Palatino Linotype" w:cs="Times New Roman"/>
          <w:kern w:val="0"/>
          <w14:ligatures w14:val="none"/>
        </w:rPr>
        <w:t xml:space="preserve">G-3624 at </w:t>
      </w:r>
      <w:r w:rsidRPr="00F27196">
        <w:rPr>
          <w:rFonts w:ascii="Palatino Linotype" w:hAnsi="Palatino Linotype"/>
        </w:rPr>
        <w:t>Appendix</w:t>
      </w:r>
      <w:r w:rsidRPr="00FE272E">
        <w:rPr>
          <w:rFonts w:ascii="Palatino Linotype" w:hAnsi="Palatino Linotype"/>
          <w:color w:val="000000" w:themeColor="text1"/>
        </w:rPr>
        <w:t xml:space="preserve"> </w:t>
      </w:r>
      <w:r w:rsidR="000600F9">
        <w:rPr>
          <w:rFonts w:ascii="Palatino Linotype" w:hAnsi="Palatino Linotype"/>
          <w:color w:val="000000" w:themeColor="text1"/>
        </w:rPr>
        <w:t>J</w:t>
      </w:r>
      <w:r w:rsidRPr="00F27196">
        <w:rPr>
          <w:rFonts w:ascii="Palatino Linotype" w:hAnsi="Palatino Linotype"/>
        </w:rPr>
        <w:t xml:space="preserve">: Compliance Assessment of AL </w:t>
      </w:r>
      <w:r w:rsidR="11ACDDAB">
        <w:rPr>
          <w:rFonts w:ascii="Palatino Linotype" w:hAnsi="Palatino Linotype"/>
        </w:rPr>
        <w:t>664</w:t>
      </w:r>
      <w:r w:rsidR="11ACDDAB" w:rsidRPr="11ACDDAB">
        <w:rPr>
          <w:rFonts w:ascii="Palatino Linotype" w:hAnsi="Palatino Linotype"/>
        </w:rPr>
        <w:t>6</w:t>
      </w:r>
      <w:r>
        <w:rPr>
          <w:rFonts w:ascii="Palatino Linotype" w:hAnsi="Palatino Linotype"/>
        </w:rPr>
        <w:t>-G at CPUC Requirement [</w:t>
      </w:r>
      <w:r w:rsidRPr="008477EC">
        <w:rPr>
          <w:rFonts w:ascii="Palatino Linotype" w:hAnsi="Palatino Linotype"/>
        </w:rPr>
        <w:t>1</w:t>
      </w:r>
      <w:r>
        <w:rPr>
          <w:rFonts w:ascii="Palatino Linotype" w:hAnsi="Palatino Linotype"/>
        </w:rPr>
        <w:t>9</w:t>
      </w:r>
      <w:r w:rsidRPr="008477EC">
        <w:rPr>
          <w:rFonts w:ascii="Palatino Linotype" w:hAnsi="Palatino Linotype"/>
        </w:rPr>
        <w:t>].</w:t>
      </w:r>
    </w:p>
  </w:footnote>
  <w:footnote w:id="136">
    <w:p w14:paraId="041108E1" w14:textId="77777777" w:rsidR="00CC2F77" w:rsidRPr="00CC2F77" w:rsidRDefault="00CC2F77" w:rsidP="00CC2F77">
      <w:pPr>
        <w:pStyle w:val="FootnoteText"/>
        <w:rPr>
          <w:rFonts w:ascii="Palatino Linotype" w:hAnsi="Palatino Linotype"/>
        </w:rPr>
      </w:pPr>
      <w:r w:rsidRPr="00CC2F77">
        <w:rPr>
          <w:rStyle w:val="FootnoteReference"/>
          <w:rFonts w:ascii="Palatino Linotype" w:hAnsi="Palatino Linotype"/>
        </w:rPr>
        <w:footnoteRef/>
      </w:r>
      <w:r w:rsidRPr="00CC2F77">
        <w:rPr>
          <w:rFonts w:ascii="Palatino Linotype" w:hAnsi="Palatino Linotype"/>
        </w:rPr>
        <w:t xml:space="preserve"> </w:t>
      </w:r>
      <w:hyperlink r:id="rId59" w:history="1">
        <w:r w:rsidRPr="00CC2F77">
          <w:rPr>
            <w:rStyle w:val="Hyperlink"/>
            <w:rFonts w:ascii="Palatino Linotype" w:hAnsi="Palatino Linotype"/>
          </w:rPr>
          <w:t>R.22-12-011</w:t>
        </w:r>
      </w:hyperlink>
      <w:r w:rsidRPr="00CC2F77">
        <w:rPr>
          <w:rFonts w:ascii="Palatino Linotype" w:hAnsi="Palatino Linotype"/>
        </w:rPr>
        <w:t>: OIR to Address Biomethane Procurement Cost Allocation.</w:t>
      </w:r>
    </w:p>
  </w:footnote>
  <w:footnote w:id="137">
    <w:p w14:paraId="1ED6CF90" w14:textId="727343AA" w:rsidR="003D4A88" w:rsidRPr="00A6069F" w:rsidRDefault="003D4A88">
      <w:pPr>
        <w:pStyle w:val="FootnoteText"/>
        <w:rPr>
          <w:rFonts w:ascii="Palatino Linotype" w:hAnsi="Palatino Linotype"/>
        </w:rPr>
      </w:pPr>
      <w:r w:rsidRPr="00A6069F">
        <w:rPr>
          <w:rStyle w:val="FootnoteReference"/>
          <w:rFonts w:ascii="Palatino Linotype" w:hAnsi="Palatino Linotype"/>
        </w:rPr>
        <w:footnoteRef/>
      </w:r>
      <w:r w:rsidR="00A6069F" w:rsidRPr="00A6069F">
        <w:rPr>
          <w:rFonts w:ascii="Palatino Linotype" w:hAnsi="Palatino Linotype"/>
        </w:rPr>
        <w:t xml:space="preserve"> </w:t>
      </w:r>
      <w:r w:rsidRPr="00A6069F">
        <w:rPr>
          <w:rFonts w:ascii="Palatino Linotype" w:hAnsi="Palatino Linotype"/>
        </w:rPr>
        <w:t xml:space="preserve">In </w:t>
      </w:r>
      <w:hyperlink r:id="rId60" w:history="1">
        <w:r w:rsidRPr="00A6069F">
          <w:rPr>
            <w:rStyle w:val="Hyperlink"/>
            <w:rFonts w:ascii="Palatino Linotype" w:hAnsi="Palatino Linotype"/>
          </w:rPr>
          <w:t>Resolution G-3618</w:t>
        </w:r>
      </w:hyperlink>
      <w:r w:rsidRPr="00A6069F">
        <w:rPr>
          <w:rFonts w:ascii="Palatino Linotype" w:hAnsi="Palatino Linotype"/>
        </w:rPr>
        <w:t xml:space="preserve"> (2026)</w:t>
      </w:r>
      <w:r w:rsidR="00A6069F" w:rsidRPr="00A6069F">
        <w:rPr>
          <w:rFonts w:ascii="Palatino Linotype" w:hAnsi="Palatino Linotype"/>
        </w:rPr>
        <w:t xml:space="preserve"> at OP 11</w:t>
      </w:r>
      <w:r w:rsidRPr="00A6069F">
        <w:rPr>
          <w:rFonts w:ascii="Palatino Linotype" w:hAnsi="Palatino Linotype"/>
        </w:rPr>
        <w:t>, the Commission f</w:t>
      </w:r>
      <w:r w:rsidR="00857E5D">
        <w:rPr>
          <w:rFonts w:ascii="Palatino Linotype" w:hAnsi="Palatino Linotype"/>
        </w:rPr>
        <w:t>ound</w:t>
      </w:r>
      <w:r w:rsidRPr="00A6069F">
        <w:rPr>
          <w:rFonts w:ascii="Palatino Linotype" w:hAnsi="Palatino Linotype"/>
        </w:rPr>
        <w:t xml:space="preserve"> that Energy Division staff may commence a stakeholder process and facilitate strategic planning to model the EPIC program by identifying Strategic Goals to promote coordination, consistency, and best practices across ratepayer-funded RD&amp;D investments.</w:t>
      </w:r>
      <w:r w:rsidR="0025122F">
        <w:rPr>
          <w:rFonts w:ascii="Palatino Linotype" w:hAnsi="Palatino Linotype"/>
        </w:rPr>
        <w:t xml:space="preserve"> See </w:t>
      </w:r>
      <w:hyperlink r:id="rId61" w:history="1">
        <w:r w:rsidR="0025122F" w:rsidRPr="0025122F">
          <w:rPr>
            <w:rStyle w:val="Hyperlink"/>
            <w:rFonts w:ascii="Palatino Linotype" w:hAnsi="Palatino Linotype"/>
          </w:rPr>
          <w:t>D.23-04-042</w:t>
        </w:r>
      </w:hyperlink>
      <w:r w:rsidR="0025122F" w:rsidRPr="0025122F">
        <w:rPr>
          <w:rFonts w:ascii="Palatino Linotype" w:hAnsi="Palatino Linotype"/>
        </w:rPr>
        <w:t xml:space="preserve"> at OP 3 &amp; D.24-03-007.</w:t>
      </w:r>
    </w:p>
  </w:footnote>
  <w:footnote w:id="138">
    <w:p w14:paraId="5ED415D9" w14:textId="1CAE2C1D" w:rsidR="002F2161" w:rsidRPr="002F2161" w:rsidRDefault="002F2161">
      <w:pPr>
        <w:pStyle w:val="FootnoteText"/>
        <w:rPr>
          <w:rFonts w:ascii="Palatino Linotype" w:hAnsi="Palatino Linotype"/>
        </w:rPr>
      </w:pPr>
      <w:r w:rsidRPr="002F2161">
        <w:rPr>
          <w:rStyle w:val="FootnoteReference"/>
          <w:rFonts w:ascii="Palatino Linotype" w:hAnsi="Palatino Linotype"/>
        </w:rPr>
        <w:footnoteRef/>
      </w:r>
      <w:r w:rsidRPr="002F2161">
        <w:rPr>
          <w:rFonts w:ascii="Palatino Linotype" w:hAnsi="Palatino Linotype"/>
        </w:rPr>
        <w:t xml:space="preserve"> California Public Utilities Code Section 740.1 (d)</w:t>
      </w:r>
      <w:r w:rsidR="00BE2593">
        <w:rPr>
          <w:rFonts w:ascii="Palatino Linotype" w:hAnsi="Palatino Linotype"/>
        </w:rPr>
        <w:t xml:space="preserve">; </w:t>
      </w:r>
      <w:hyperlink r:id="rId62" w:history="1">
        <w:r w:rsidR="00BE2593" w:rsidRPr="00543D9F">
          <w:rPr>
            <w:rStyle w:val="Hyperlink"/>
            <w:rFonts w:ascii="Palatino Linotype" w:hAnsi="Palatino Linotype"/>
          </w:rPr>
          <w:t>Resolution G-3586</w:t>
        </w:r>
      </w:hyperlink>
      <w:r w:rsidR="00BE2593" w:rsidRPr="008E6240">
        <w:rPr>
          <w:rFonts w:ascii="Palatino Linotype" w:hAnsi="Palatino Linotype"/>
        </w:rPr>
        <w:t xml:space="preserve"> (2022)</w:t>
      </w:r>
      <w:r w:rsidR="00BE2593">
        <w:rPr>
          <w:rFonts w:ascii="Palatino Linotype" w:hAnsi="Palatino Linotype"/>
        </w:rPr>
        <w:t xml:space="preserve"> at OP 5; &amp; </w:t>
      </w:r>
      <w:r w:rsidR="00AF754B">
        <w:rPr>
          <w:rFonts w:ascii="Palatino Linotype" w:hAnsi="Palatino Linotype"/>
        </w:rPr>
        <w:br/>
      </w:r>
      <w:hyperlink r:id="rId63" w:history="1">
        <w:r w:rsidR="00D845C2" w:rsidRPr="00CA02FE">
          <w:rPr>
            <w:rStyle w:val="Hyperlink"/>
            <w:rFonts w:ascii="Palatino Linotype" w:hAnsi="Palatino Linotype"/>
          </w:rPr>
          <w:t>Resolution G-3601</w:t>
        </w:r>
      </w:hyperlink>
      <w:r w:rsidR="00D845C2" w:rsidRPr="009D4B1F">
        <w:rPr>
          <w:rFonts w:ascii="Palatino Linotype" w:hAnsi="Palatino Linotype"/>
        </w:rPr>
        <w:t xml:space="preserve"> (2023)</w:t>
      </w:r>
      <w:r w:rsidR="00D845C2">
        <w:rPr>
          <w:rFonts w:ascii="Palatino Linotype" w:hAnsi="Palatino Linotype"/>
        </w:rPr>
        <w:t xml:space="preserve"> at OP 6i.</w:t>
      </w:r>
      <w:r w:rsidR="00D845C2" w:rsidRPr="00D845C2">
        <w:rPr>
          <w:rFonts w:ascii="Palatino Linotype" w:hAnsi="Palatino Linotype"/>
        </w:rPr>
        <w:t xml:space="preserve"> </w:t>
      </w:r>
      <w:r w:rsidR="00D845C2" w:rsidRPr="002F2161">
        <w:rPr>
          <w:rFonts w:ascii="Palatino Linotype" w:hAnsi="Palatino Linotype"/>
        </w:rPr>
        <w:t xml:space="preserve">See Resolution </w:t>
      </w:r>
      <w:r w:rsidR="00857E5D">
        <w:rPr>
          <w:rFonts w:ascii="Palatino Linotype" w:eastAsia="Times New Roman" w:hAnsi="Palatino Linotype" w:cs="Times New Roman"/>
          <w:kern w:val="0"/>
          <w14:ligatures w14:val="none"/>
        </w:rPr>
        <w:t xml:space="preserve">G-3624 at </w:t>
      </w:r>
      <w:r w:rsidR="00D845C2" w:rsidRPr="002F2161">
        <w:rPr>
          <w:rFonts w:ascii="Palatino Linotype" w:hAnsi="Palatino Linotype"/>
        </w:rPr>
        <w:t>Appendix E: Commission Guidance on Gas RD&amp;D Initiative Criteria at 2.</w:t>
      </w:r>
    </w:p>
  </w:footnote>
  <w:footnote w:id="139">
    <w:p w14:paraId="01B202D7" w14:textId="7CD682A2" w:rsidR="00D845C2" w:rsidRDefault="00D845C2" w:rsidP="00D845C2">
      <w:pPr>
        <w:pStyle w:val="FootnoteText"/>
      </w:pPr>
      <w:r>
        <w:rPr>
          <w:rStyle w:val="FootnoteReference"/>
        </w:rPr>
        <w:footnoteRef/>
      </w:r>
      <w:r w:rsidR="11ACDDAB">
        <w:t xml:space="preserve"> </w:t>
      </w:r>
      <w:hyperlink r:id="rId64">
        <w:r w:rsidR="11ACDDAB" w:rsidRPr="11ACDDAB">
          <w:rPr>
            <w:rStyle w:val="Hyperlink"/>
            <w:rFonts w:ascii="Palatino Linotype" w:hAnsi="Palatino Linotype"/>
          </w:rPr>
          <w:t>Resolution G-3601</w:t>
        </w:r>
      </w:hyperlink>
      <w:r w:rsidR="11ACDDAB" w:rsidRPr="009D4B1F">
        <w:rPr>
          <w:rFonts w:ascii="Palatino Linotype" w:hAnsi="Palatino Linotype"/>
        </w:rPr>
        <w:t xml:space="preserve"> (2023)</w:t>
      </w:r>
      <w:r w:rsidR="11ACDDAB">
        <w:rPr>
          <w:rFonts w:ascii="Palatino Linotype" w:hAnsi="Palatino Linotype"/>
        </w:rPr>
        <w:t xml:space="preserve"> at OP 6a. </w:t>
      </w:r>
      <w:r w:rsidRPr="002F2161">
        <w:rPr>
          <w:rFonts w:ascii="Palatino Linotype" w:hAnsi="Palatino Linotype"/>
        </w:rPr>
        <w:t xml:space="preserve">See Resolution </w:t>
      </w:r>
      <w:r w:rsidR="00857E5D">
        <w:rPr>
          <w:rFonts w:ascii="Palatino Linotype" w:eastAsia="Times New Roman" w:hAnsi="Palatino Linotype" w:cs="Times New Roman"/>
          <w:kern w:val="0"/>
          <w14:ligatures w14:val="none"/>
        </w:rPr>
        <w:t xml:space="preserve">G-3624 </w:t>
      </w:r>
      <w:r w:rsidRPr="002F2161">
        <w:rPr>
          <w:rFonts w:ascii="Palatino Linotype" w:hAnsi="Palatino Linotype"/>
        </w:rPr>
        <w:t xml:space="preserve">at Appendix E: Commission Guidance on Gas RD&amp;D Initiative Criteria at </w:t>
      </w:r>
      <w:r w:rsidR="11ACDDAB" w:rsidRPr="11ACDDAB">
        <w:rPr>
          <w:rFonts w:ascii="Palatino Linotype" w:hAnsi="Palatino Linotype"/>
        </w:rPr>
        <w:t>[</w:t>
      </w:r>
      <w:r>
        <w:rPr>
          <w:rFonts w:ascii="Palatino Linotype" w:hAnsi="Palatino Linotype"/>
        </w:rPr>
        <w:t>1</w:t>
      </w:r>
      <w:r w:rsidR="11ACDDAB" w:rsidRPr="11ACDDAB">
        <w:rPr>
          <w:rFonts w:ascii="Palatino Linotype" w:hAnsi="Palatino Linotype"/>
        </w:rPr>
        <w:t>].</w:t>
      </w:r>
    </w:p>
  </w:footnote>
  <w:footnote w:id="140">
    <w:p w14:paraId="1A243FC7" w14:textId="224FD5C8" w:rsidR="00D76330" w:rsidRPr="002D6C05" w:rsidRDefault="00D76330">
      <w:pPr>
        <w:pStyle w:val="FootnoteText"/>
        <w:rPr>
          <w:rFonts w:ascii="Palatino Linotype" w:hAnsi="Palatino Linotype"/>
        </w:rPr>
      </w:pPr>
      <w:r w:rsidRPr="002D6C05">
        <w:rPr>
          <w:rStyle w:val="FootnoteReference"/>
          <w:rFonts w:ascii="Palatino Linotype" w:hAnsi="Palatino Linotype"/>
        </w:rPr>
        <w:footnoteRef/>
      </w:r>
      <w:r w:rsidRPr="002D6C05">
        <w:rPr>
          <w:rFonts w:ascii="Palatino Linotype" w:hAnsi="Palatino Linotype"/>
        </w:rPr>
        <w:t xml:space="preserve"> </w:t>
      </w:r>
      <w:hyperlink r:id="rId65" w:history="1">
        <w:r w:rsidRPr="002D6C05">
          <w:rPr>
            <w:rStyle w:val="Hyperlink"/>
            <w:rFonts w:ascii="Palatino Linotype" w:hAnsi="Palatino Linotype"/>
          </w:rPr>
          <w:t>D.24-03-007</w:t>
        </w:r>
      </w:hyperlink>
      <w:r w:rsidRPr="002D6C05">
        <w:rPr>
          <w:rFonts w:ascii="Palatino Linotype" w:hAnsi="Palatino Linotype"/>
        </w:rPr>
        <w:t>: Decision Adopting Strategic Goals for the EPIC Program at p. 19-20.</w:t>
      </w:r>
    </w:p>
  </w:footnote>
  <w:footnote w:id="141">
    <w:p w14:paraId="75738CC8" w14:textId="7369881A" w:rsidR="002D6C05" w:rsidRPr="002D6C05" w:rsidRDefault="002D6C05">
      <w:pPr>
        <w:pStyle w:val="FootnoteText"/>
        <w:rPr>
          <w:rFonts w:ascii="Palatino Linotype" w:hAnsi="Palatino Linotype"/>
        </w:rPr>
      </w:pPr>
      <w:r w:rsidRPr="002D6C05">
        <w:rPr>
          <w:rStyle w:val="FootnoteReference"/>
          <w:rFonts w:ascii="Palatino Linotype" w:hAnsi="Palatino Linotype"/>
        </w:rPr>
        <w:footnoteRef/>
      </w:r>
      <w:r w:rsidRPr="002D6C05">
        <w:rPr>
          <w:rFonts w:ascii="Palatino Linotype" w:hAnsi="Palatino Linotype"/>
        </w:rPr>
        <w:t xml:space="preserve"> </w:t>
      </w:r>
      <w:hyperlink r:id="rId66" w:history="1">
        <w:r w:rsidRPr="00DF3091">
          <w:rPr>
            <w:rStyle w:val="Hyperlink"/>
            <w:rFonts w:ascii="Palatino Linotype" w:hAnsi="Palatino Linotype"/>
          </w:rPr>
          <w:t>D.24-09-012</w:t>
        </w:r>
      </w:hyperlink>
      <w:r w:rsidRPr="002D6C05">
        <w:rPr>
          <w:rFonts w:ascii="Palatino Linotype" w:hAnsi="Palatino Linotype"/>
        </w:rPr>
        <w:t xml:space="preserve"> at p. 6.</w:t>
      </w:r>
    </w:p>
  </w:footnote>
  <w:footnote w:id="142">
    <w:p w14:paraId="698706DF" w14:textId="407D2B9E" w:rsidR="00E75001" w:rsidRPr="00E75001" w:rsidRDefault="00E75001">
      <w:pPr>
        <w:pStyle w:val="FootnoteText"/>
        <w:rPr>
          <w:rFonts w:ascii="Palatino Linotype" w:hAnsi="Palatino Linotype"/>
        </w:rPr>
      </w:pPr>
      <w:r w:rsidRPr="00E75001">
        <w:rPr>
          <w:rStyle w:val="FootnoteReference"/>
          <w:rFonts w:ascii="Palatino Linotype" w:hAnsi="Palatino Linotype"/>
        </w:rPr>
        <w:footnoteRef/>
      </w:r>
      <w:r w:rsidRPr="00E75001">
        <w:rPr>
          <w:rFonts w:ascii="Palatino Linotype" w:hAnsi="Palatino Linotype"/>
        </w:rPr>
        <w:t xml:space="preserve"> </w:t>
      </w:r>
      <w:hyperlink r:id="rId67" w:history="1">
        <w:r w:rsidRPr="003217D7">
          <w:rPr>
            <w:rStyle w:val="Hyperlink"/>
            <w:rFonts w:ascii="Palatino Linotype" w:hAnsi="Palatino Linotype"/>
          </w:rPr>
          <w:t>Resolution G-3573</w:t>
        </w:r>
      </w:hyperlink>
      <w:r w:rsidRPr="00E75001">
        <w:rPr>
          <w:rFonts w:ascii="Palatino Linotype" w:hAnsi="Palatino Linotype"/>
        </w:rPr>
        <w:t xml:space="preserve"> (2021): Approving SoCalGas’ 2021 Gas RD&amp;D Plan at OP 3 &amp; </w:t>
      </w:r>
      <w:hyperlink r:id="rId68" w:history="1">
        <w:r w:rsidRPr="003217D7">
          <w:rPr>
            <w:rStyle w:val="Hyperlink"/>
            <w:rFonts w:ascii="Palatino Linotype" w:hAnsi="Palatino Linotype"/>
          </w:rPr>
          <w:t>Resolution G-3586</w:t>
        </w:r>
      </w:hyperlink>
      <w:r w:rsidRPr="00E75001">
        <w:rPr>
          <w:rFonts w:ascii="Palatino Linotype" w:hAnsi="Palatino Linotype"/>
        </w:rPr>
        <w:t xml:space="preserve"> (2022): Approving SoCalGas’ 2022 Gas RD&amp;D Plan at OP 5</w:t>
      </w:r>
      <w:r w:rsidR="003217D7">
        <w:rPr>
          <w:rFonts w:ascii="Palatino Linotype" w:hAnsi="Palatino Linotype"/>
        </w:rPr>
        <w:t>.</w:t>
      </w:r>
    </w:p>
  </w:footnote>
  <w:footnote w:id="143">
    <w:p w14:paraId="41283728" w14:textId="2CCBB9F9" w:rsidR="00BD62C4" w:rsidRDefault="00BD62C4">
      <w:pPr>
        <w:pStyle w:val="FootnoteText"/>
      </w:pPr>
      <w:r>
        <w:rPr>
          <w:rStyle w:val="FootnoteReference"/>
        </w:rPr>
        <w:footnoteRef/>
      </w:r>
      <w:r>
        <w:t xml:space="preserve"> </w:t>
      </w:r>
      <w:hyperlink r:id="rId69" w:history="1">
        <w:r w:rsidR="004B0459" w:rsidRPr="00CA02FE">
          <w:rPr>
            <w:rStyle w:val="Hyperlink"/>
            <w:rFonts w:ascii="Palatino Linotype" w:hAnsi="Palatino Linotype"/>
          </w:rPr>
          <w:t>Resolution G-3601</w:t>
        </w:r>
      </w:hyperlink>
      <w:r w:rsidR="004B0459" w:rsidRPr="009D4B1F">
        <w:rPr>
          <w:rFonts w:ascii="Palatino Linotype" w:hAnsi="Palatino Linotype"/>
        </w:rPr>
        <w:t xml:space="preserve"> (2023)</w:t>
      </w:r>
      <w:r w:rsidR="004B0459">
        <w:rPr>
          <w:rFonts w:ascii="Palatino Linotype" w:hAnsi="Palatino Linotype"/>
        </w:rPr>
        <w:t xml:space="preserve"> at OP 6</w:t>
      </w:r>
      <w:r w:rsidR="00AF48FF">
        <w:rPr>
          <w:rFonts w:ascii="Palatino Linotype" w:hAnsi="Palatino Linotype"/>
        </w:rPr>
        <w:t>d.</w:t>
      </w:r>
    </w:p>
  </w:footnote>
  <w:footnote w:id="144">
    <w:p w14:paraId="0D5AC936" w14:textId="61B20FAA" w:rsidR="00DB2C36" w:rsidRDefault="00DB2C36" w:rsidP="00DB2C36">
      <w:pPr>
        <w:pStyle w:val="FootnoteText"/>
      </w:pPr>
      <w:r>
        <w:rPr>
          <w:rStyle w:val="FootnoteReference"/>
        </w:rPr>
        <w:footnoteRef/>
      </w:r>
      <w:r>
        <w:t xml:space="preserve"> </w:t>
      </w:r>
      <w:hyperlink r:id="rId70" w:history="1">
        <w:r w:rsidRPr="00CA02FE">
          <w:rPr>
            <w:rStyle w:val="Hyperlink"/>
            <w:rFonts w:ascii="Palatino Linotype" w:hAnsi="Palatino Linotype"/>
          </w:rPr>
          <w:t>Resolution G-3601</w:t>
        </w:r>
      </w:hyperlink>
      <w:r w:rsidRPr="009D4B1F">
        <w:rPr>
          <w:rFonts w:ascii="Palatino Linotype" w:hAnsi="Palatino Linotype"/>
        </w:rPr>
        <w:t xml:space="preserve"> (2023)</w:t>
      </w:r>
      <w:r>
        <w:rPr>
          <w:rFonts w:ascii="Palatino Linotype" w:hAnsi="Palatino Linotype"/>
        </w:rPr>
        <w:t xml:space="preserve"> at OP 6f &amp; 6g.</w:t>
      </w:r>
    </w:p>
  </w:footnote>
  <w:footnote w:id="145">
    <w:p w14:paraId="63061E9F" w14:textId="77777777" w:rsidR="00097FBB" w:rsidRDefault="00097FBB" w:rsidP="00097FBB">
      <w:pPr>
        <w:pStyle w:val="FootnoteText"/>
      </w:pPr>
      <w:r w:rsidRPr="005F6432">
        <w:rPr>
          <w:rStyle w:val="FootnoteReference"/>
        </w:rPr>
        <w:footnoteRef/>
      </w:r>
      <w:r w:rsidRPr="005F6432">
        <w:t xml:space="preserve"> </w:t>
      </w:r>
      <w:hyperlink r:id="rId71" w:history="1">
        <w:r w:rsidRPr="00933A55">
          <w:rPr>
            <w:rStyle w:val="Hyperlink"/>
            <w:rFonts w:ascii="Palatino Linotype" w:hAnsi="Palatino Linotype"/>
            <w:szCs w:val="16"/>
          </w:rPr>
          <w:t>D.19-09-051</w:t>
        </w:r>
      </w:hyperlink>
      <w:r>
        <w:rPr>
          <w:rFonts w:ascii="Palatino Linotype" w:hAnsi="Palatino Linotype"/>
          <w:color w:val="000000" w:themeColor="text1"/>
          <w:szCs w:val="16"/>
        </w:rPr>
        <w:t xml:space="preserve"> at p. 379.</w:t>
      </w:r>
    </w:p>
  </w:footnote>
  <w:footnote w:id="146">
    <w:p w14:paraId="69C0458C" w14:textId="6FF175C8" w:rsidR="000314F1" w:rsidRPr="00C33CB1" w:rsidRDefault="000314F1">
      <w:pPr>
        <w:pStyle w:val="FootnoteText"/>
        <w:rPr>
          <w:rFonts w:ascii="Palatino Linotype" w:hAnsi="Palatino Linotype"/>
        </w:rPr>
      </w:pPr>
      <w:r w:rsidRPr="00C33CB1">
        <w:rPr>
          <w:rStyle w:val="FootnoteReference"/>
          <w:rFonts w:ascii="Palatino Linotype" w:hAnsi="Palatino Linotype"/>
        </w:rPr>
        <w:footnoteRef/>
      </w:r>
      <w:r w:rsidRPr="00C33CB1">
        <w:rPr>
          <w:rFonts w:ascii="Palatino Linotype" w:hAnsi="Palatino Linotype"/>
        </w:rPr>
        <w:t xml:space="preserve"> Consistent with: </w:t>
      </w:r>
      <w:hyperlink r:id="rId72" w:history="1">
        <w:r w:rsidRPr="00C33CB1">
          <w:rPr>
            <w:rStyle w:val="Hyperlink"/>
            <w:rFonts w:ascii="Palatino Linotype" w:hAnsi="Palatino Linotype"/>
          </w:rPr>
          <w:t>Resolution G-3571</w:t>
        </w:r>
      </w:hyperlink>
      <w:r w:rsidRPr="00C33CB1">
        <w:rPr>
          <w:rFonts w:ascii="Palatino Linotype" w:hAnsi="Palatino Linotype"/>
        </w:rPr>
        <w:t xml:space="preserve"> (2020): Approving </w:t>
      </w:r>
      <w:r w:rsidR="00C33CB1" w:rsidRPr="00C33CB1">
        <w:rPr>
          <w:rFonts w:ascii="Palatino Linotype" w:hAnsi="Palatino Linotype"/>
        </w:rPr>
        <w:t>CEC’s FY 2020-2021 Gas RD&amp;D Plan</w:t>
      </w:r>
      <w:r w:rsidRPr="00C33CB1">
        <w:rPr>
          <w:rFonts w:ascii="Palatino Linotype" w:hAnsi="Palatino Linotype"/>
        </w:rPr>
        <w:t xml:space="preserve"> at OP 5c &amp; 5d.</w:t>
      </w:r>
    </w:p>
  </w:footnote>
  <w:footnote w:id="147">
    <w:p w14:paraId="178CB0CE" w14:textId="3846921C" w:rsidR="00DD5AD2" w:rsidRDefault="00DD5AD2">
      <w:pPr>
        <w:pStyle w:val="FootnoteText"/>
      </w:pPr>
      <w:r>
        <w:rPr>
          <w:rStyle w:val="FootnoteReference"/>
        </w:rPr>
        <w:footnoteRef/>
      </w:r>
      <w:r>
        <w:t xml:space="preserve"> </w:t>
      </w:r>
      <w:hyperlink r:id="rId73" w:history="1">
        <w:r w:rsidR="004F1947" w:rsidRPr="00543D9F">
          <w:rPr>
            <w:rStyle w:val="Hyperlink"/>
            <w:rFonts w:ascii="Palatino Linotype" w:hAnsi="Palatino Linotype"/>
          </w:rPr>
          <w:t>Resolution G-3586</w:t>
        </w:r>
      </w:hyperlink>
      <w:r w:rsidR="004F1947" w:rsidRPr="008E6240">
        <w:rPr>
          <w:rFonts w:ascii="Palatino Linotype" w:hAnsi="Palatino Linotype"/>
        </w:rPr>
        <w:t xml:space="preserve"> (2022)</w:t>
      </w:r>
      <w:r w:rsidR="004F1947">
        <w:rPr>
          <w:rFonts w:ascii="Palatino Linotype" w:hAnsi="Palatino Linotype"/>
        </w:rPr>
        <w:t xml:space="preserve"> at OP 5</w:t>
      </w:r>
      <w:r w:rsidR="00630C13">
        <w:rPr>
          <w:rFonts w:ascii="Palatino Linotype" w:hAnsi="Palatino Linotype"/>
        </w:rPr>
        <w:t xml:space="preserve"> &amp; </w:t>
      </w:r>
      <w:hyperlink r:id="rId74" w:history="1">
        <w:r w:rsidR="00630C13" w:rsidRPr="001267CA">
          <w:rPr>
            <w:rStyle w:val="Hyperlink"/>
            <w:rFonts w:ascii="Palatino Linotype" w:hAnsi="Palatino Linotype"/>
          </w:rPr>
          <w:t>D.24-12-074</w:t>
        </w:r>
      </w:hyperlink>
      <w:r w:rsidR="00630C13">
        <w:rPr>
          <w:rFonts w:ascii="Palatino Linotype" w:hAnsi="Palatino Linotype"/>
        </w:rPr>
        <w:t xml:space="preserve"> at p. </w:t>
      </w:r>
      <w:r w:rsidR="001267CA">
        <w:rPr>
          <w:rFonts w:ascii="Palatino Linotype" w:hAnsi="Palatino Linotype"/>
        </w:rPr>
        <w:t>329.</w:t>
      </w:r>
    </w:p>
  </w:footnote>
  <w:footnote w:id="148">
    <w:p w14:paraId="0FA1927D" w14:textId="21DEBCCC" w:rsidR="00F01B75" w:rsidRDefault="00F01B75">
      <w:pPr>
        <w:pStyle w:val="FootnoteText"/>
      </w:pPr>
      <w:r>
        <w:rPr>
          <w:rStyle w:val="FootnoteReference"/>
        </w:rPr>
        <w:footnoteRef/>
      </w:r>
      <w:r>
        <w:t xml:space="preserve"> </w:t>
      </w:r>
      <w:hyperlink r:id="rId75" w:history="1">
        <w:r w:rsidR="0024284F" w:rsidRPr="00A671A4">
          <w:rPr>
            <w:rStyle w:val="Hyperlink"/>
            <w:rFonts w:ascii="Palatino Linotype" w:hAnsi="Palatino Linotype"/>
          </w:rPr>
          <w:t>Resolution G-3573</w:t>
        </w:r>
      </w:hyperlink>
      <w:r w:rsidR="0024284F" w:rsidRPr="008D2497">
        <w:rPr>
          <w:rFonts w:ascii="Palatino Linotype" w:hAnsi="Palatino Linotype"/>
        </w:rPr>
        <w:t xml:space="preserve"> (2021)</w:t>
      </w:r>
      <w:r w:rsidR="0024284F">
        <w:rPr>
          <w:rFonts w:ascii="Palatino Linotype" w:hAnsi="Palatino Linotype"/>
        </w:rPr>
        <w:t xml:space="preserve"> at OP 3</w:t>
      </w:r>
      <w:r w:rsidR="005B38BF">
        <w:rPr>
          <w:rFonts w:ascii="Palatino Linotype" w:hAnsi="Palatino Linotype"/>
        </w:rPr>
        <w:t xml:space="preserve">; </w:t>
      </w:r>
      <w:hyperlink r:id="rId76" w:history="1">
        <w:r w:rsidR="005B38BF" w:rsidRPr="00543D9F">
          <w:rPr>
            <w:rStyle w:val="Hyperlink"/>
            <w:rFonts w:ascii="Palatino Linotype" w:hAnsi="Palatino Linotype"/>
          </w:rPr>
          <w:t>Resolution G-3586</w:t>
        </w:r>
      </w:hyperlink>
      <w:r w:rsidR="005B38BF" w:rsidRPr="008E6240">
        <w:rPr>
          <w:rFonts w:ascii="Palatino Linotype" w:hAnsi="Palatino Linotype"/>
        </w:rPr>
        <w:t xml:space="preserve"> (2022)</w:t>
      </w:r>
      <w:r w:rsidR="005B38BF">
        <w:rPr>
          <w:rFonts w:ascii="Palatino Linotype" w:hAnsi="Palatino Linotype"/>
        </w:rPr>
        <w:t xml:space="preserve"> at OP 5; &amp; </w:t>
      </w:r>
      <w:hyperlink r:id="rId77" w:history="1">
        <w:r w:rsidR="007E7B6A" w:rsidRPr="00CA02FE">
          <w:rPr>
            <w:rStyle w:val="Hyperlink"/>
            <w:rFonts w:ascii="Palatino Linotype" w:hAnsi="Palatino Linotype"/>
          </w:rPr>
          <w:t>Resolution G-3601</w:t>
        </w:r>
      </w:hyperlink>
      <w:r w:rsidR="007E7B6A" w:rsidRPr="009D4B1F">
        <w:rPr>
          <w:rFonts w:ascii="Palatino Linotype" w:hAnsi="Palatino Linotype"/>
        </w:rPr>
        <w:t xml:space="preserve"> (2023)</w:t>
      </w:r>
      <w:r w:rsidR="007E7B6A">
        <w:rPr>
          <w:rFonts w:ascii="Palatino Linotype" w:hAnsi="Palatino Linotype"/>
        </w:rPr>
        <w:t xml:space="preserve"> at OP 6b.</w:t>
      </w:r>
    </w:p>
  </w:footnote>
  <w:footnote w:id="149">
    <w:p w14:paraId="55B5A8BD" w14:textId="77777777" w:rsidR="002B3132" w:rsidRPr="00942843" w:rsidRDefault="002B3132" w:rsidP="002B3132">
      <w:pPr>
        <w:pStyle w:val="FootnoteText"/>
        <w:rPr>
          <w:rFonts w:ascii="Palatino Linotype" w:hAnsi="Palatino Linotype"/>
        </w:rPr>
      </w:pPr>
      <w:r w:rsidRPr="00942843">
        <w:rPr>
          <w:rStyle w:val="FootnoteReference"/>
          <w:rFonts w:ascii="Palatino Linotype" w:hAnsi="Palatino Linotype"/>
        </w:rPr>
        <w:footnoteRef/>
      </w:r>
      <w:r w:rsidRPr="00942843">
        <w:rPr>
          <w:rFonts w:ascii="Palatino Linotype" w:hAnsi="Palatino Linotype"/>
        </w:rPr>
        <w:t xml:space="preserve"> </w:t>
      </w:r>
      <w:hyperlink r:id="rId78" w:tgtFrame="_blank" w:history="1">
        <w:r w:rsidRPr="00942843">
          <w:rPr>
            <w:rStyle w:val="Hyperlink"/>
            <w:rFonts w:ascii="Palatino Linotype" w:hAnsi="Palatino Linotype"/>
          </w:rPr>
          <w:t>D.19-09-051</w:t>
        </w:r>
      </w:hyperlink>
      <w:r w:rsidRPr="00942843">
        <w:rPr>
          <w:rFonts w:ascii="Palatino Linotype" w:hAnsi="Palatino Linotype"/>
        </w:rPr>
        <w:t> at p. 377-379</w:t>
      </w:r>
      <w:r>
        <w:rPr>
          <w:rFonts w:ascii="Palatino Linotype" w:hAnsi="Palatino Linotype"/>
        </w:rPr>
        <w:t xml:space="preserve"> &amp; </w:t>
      </w:r>
      <w:hyperlink r:id="rId79" w:tgtFrame="_blank" w:history="1">
        <w:r w:rsidRPr="00D517DE">
          <w:rPr>
            <w:rStyle w:val="Hyperlink"/>
            <w:rFonts w:ascii="Palatino Linotype" w:hAnsi="Palatino Linotype"/>
          </w:rPr>
          <w:t>D.24-12-074</w:t>
        </w:r>
      </w:hyperlink>
      <w:r w:rsidRPr="00D517DE">
        <w:rPr>
          <w:rFonts w:ascii="Palatino Linotype" w:hAnsi="Palatino Linotype"/>
        </w:rPr>
        <w:t> at p. 327-330.</w:t>
      </w:r>
    </w:p>
  </w:footnote>
  <w:footnote w:id="150">
    <w:p w14:paraId="4B183F12" w14:textId="5790BB27" w:rsidR="00F24C03" w:rsidRDefault="00F24C03">
      <w:pPr>
        <w:pStyle w:val="FootnoteText"/>
      </w:pPr>
      <w:r>
        <w:rPr>
          <w:rStyle w:val="FootnoteReference"/>
        </w:rPr>
        <w:footnoteRef/>
      </w:r>
      <w:r>
        <w:t xml:space="preserve"> </w:t>
      </w:r>
      <w:hyperlink r:id="rId80" w:tgtFrame="_blank" w:history="1">
        <w:r w:rsidRPr="00942843">
          <w:rPr>
            <w:rStyle w:val="Hyperlink"/>
            <w:rFonts w:ascii="Palatino Linotype" w:hAnsi="Palatino Linotype"/>
          </w:rPr>
          <w:t>D.19-09-051</w:t>
        </w:r>
      </w:hyperlink>
      <w:r w:rsidRPr="00942843">
        <w:rPr>
          <w:rFonts w:ascii="Palatino Linotype" w:hAnsi="Palatino Linotype"/>
        </w:rPr>
        <w:t> at p. 37</w:t>
      </w:r>
      <w:r>
        <w:rPr>
          <w:rFonts w:ascii="Palatino Linotype" w:hAnsi="Palatino Linotype"/>
        </w:rPr>
        <w:t>8</w:t>
      </w:r>
      <w:r w:rsidR="00EE7D7D">
        <w:rPr>
          <w:rFonts w:ascii="Palatino Linotype" w:hAnsi="Palatino Linotype"/>
        </w:rPr>
        <w:t xml:space="preserve"> &amp; </w:t>
      </w:r>
      <w:hyperlink r:id="rId81" w:tgtFrame="_blank" w:history="1">
        <w:r w:rsidR="00EE7D7D" w:rsidRPr="00D517DE">
          <w:rPr>
            <w:rStyle w:val="Hyperlink"/>
            <w:rFonts w:ascii="Palatino Linotype" w:hAnsi="Palatino Linotype"/>
          </w:rPr>
          <w:t>D.24-12-074</w:t>
        </w:r>
      </w:hyperlink>
      <w:r w:rsidR="00EE7D7D" w:rsidRPr="00D517DE">
        <w:rPr>
          <w:rFonts w:ascii="Palatino Linotype" w:hAnsi="Palatino Linotype"/>
        </w:rPr>
        <w:t> at p. 330.</w:t>
      </w:r>
    </w:p>
  </w:footnote>
  <w:footnote w:id="151">
    <w:p w14:paraId="6C6C38C9" w14:textId="15D7227D" w:rsidR="00D52583" w:rsidRDefault="00D52583">
      <w:pPr>
        <w:pStyle w:val="FootnoteText"/>
      </w:pPr>
      <w:r>
        <w:rPr>
          <w:rStyle w:val="FootnoteReference"/>
        </w:rPr>
        <w:footnoteRef/>
      </w:r>
      <w:r>
        <w:t xml:space="preserve"> </w:t>
      </w:r>
      <w:hyperlink r:id="rId82" w:history="1">
        <w:r w:rsidR="009920DB" w:rsidRPr="00933A55">
          <w:rPr>
            <w:rStyle w:val="Hyperlink"/>
            <w:rFonts w:ascii="Palatino Linotype" w:hAnsi="Palatino Linotype"/>
            <w:szCs w:val="16"/>
          </w:rPr>
          <w:t>D.19-09-051</w:t>
        </w:r>
      </w:hyperlink>
      <w:r w:rsidR="009920DB">
        <w:rPr>
          <w:rFonts w:ascii="Palatino Linotype" w:hAnsi="Palatino Linotype"/>
          <w:color w:val="000000" w:themeColor="text1"/>
          <w:szCs w:val="16"/>
        </w:rPr>
        <w:t xml:space="preserve"> at p. 37</w:t>
      </w:r>
      <w:r w:rsidR="00112308">
        <w:rPr>
          <w:rFonts w:ascii="Palatino Linotype" w:hAnsi="Palatino Linotype"/>
          <w:color w:val="000000" w:themeColor="text1"/>
          <w:szCs w:val="16"/>
        </w:rPr>
        <w:t>8</w:t>
      </w:r>
      <w:r w:rsidR="009920DB">
        <w:rPr>
          <w:rFonts w:ascii="Palatino Linotype" w:hAnsi="Palatino Linotype"/>
          <w:color w:val="000000" w:themeColor="text1"/>
          <w:szCs w:val="16"/>
        </w:rPr>
        <w:t>.</w:t>
      </w:r>
    </w:p>
  </w:footnote>
  <w:footnote w:id="152">
    <w:p w14:paraId="106C0B74" w14:textId="32627F7F" w:rsidR="0054265C" w:rsidRPr="00193A72" w:rsidRDefault="0054265C">
      <w:pPr>
        <w:pStyle w:val="FootnoteText"/>
        <w:rPr>
          <w:rFonts w:ascii="Palatino Linotype" w:hAnsi="Palatino Linotype"/>
        </w:rPr>
      </w:pPr>
      <w:r w:rsidRPr="00193A72">
        <w:rPr>
          <w:rStyle w:val="FootnoteReference"/>
          <w:rFonts w:ascii="Palatino Linotype" w:hAnsi="Palatino Linotype"/>
        </w:rPr>
        <w:footnoteRef/>
      </w:r>
      <w:r w:rsidRPr="00193A72">
        <w:rPr>
          <w:rFonts w:ascii="Palatino Linotype" w:hAnsi="Palatino Linotype"/>
        </w:rPr>
        <w:t xml:space="preserve"> A March 1 deadline is consistent with </w:t>
      </w:r>
      <w:r w:rsidR="00193A72" w:rsidRPr="00193A72">
        <w:rPr>
          <w:rFonts w:ascii="Palatino Linotype" w:hAnsi="Palatino Linotype"/>
        </w:rPr>
        <w:t>other Gas RD&amp;D administrator schedules to support requirements for intra-administrator coordination</w:t>
      </w:r>
      <w:r w:rsidR="00193A72">
        <w:rPr>
          <w:rFonts w:ascii="Palatino Linotype" w:hAnsi="Palatino Linotype"/>
        </w:rPr>
        <w:t xml:space="preserve">: See </w:t>
      </w:r>
      <w:hyperlink r:id="rId83" w:history="1">
        <w:r w:rsidR="00193A72" w:rsidRPr="005158AA">
          <w:rPr>
            <w:rStyle w:val="Hyperlink"/>
            <w:rFonts w:ascii="Palatino Linotype" w:hAnsi="Palatino Linotype"/>
          </w:rPr>
          <w:t>Resolution G-3618</w:t>
        </w:r>
      </w:hyperlink>
      <w:r w:rsidR="00193A72">
        <w:rPr>
          <w:rFonts w:ascii="Palatino Linotype" w:hAnsi="Palatino Linotype"/>
        </w:rPr>
        <w:t xml:space="preserve"> (2026) at p. 23. </w:t>
      </w:r>
    </w:p>
  </w:footnote>
  <w:footnote w:id="153">
    <w:p w14:paraId="4382676D" w14:textId="1C77105E" w:rsidR="008877C3" w:rsidRDefault="008877C3">
      <w:pPr>
        <w:pStyle w:val="FootnoteText"/>
      </w:pPr>
      <w:r>
        <w:rPr>
          <w:rStyle w:val="FootnoteReference"/>
        </w:rPr>
        <w:footnoteRef/>
      </w:r>
      <w:r>
        <w:t xml:space="preserve"> </w:t>
      </w:r>
      <w:hyperlink r:id="rId84" w:history="1">
        <w:r w:rsidRPr="00933A55">
          <w:rPr>
            <w:rStyle w:val="Hyperlink"/>
            <w:rFonts w:ascii="Palatino Linotype" w:hAnsi="Palatino Linotype"/>
            <w:szCs w:val="16"/>
          </w:rPr>
          <w:t>D.19-09-051</w:t>
        </w:r>
      </w:hyperlink>
      <w:r>
        <w:rPr>
          <w:rFonts w:ascii="Palatino Linotype" w:hAnsi="Palatino Linotype"/>
          <w:color w:val="000000" w:themeColor="text1"/>
          <w:szCs w:val="16"/>
        </w:rPr>
        <w:t xml:space="preserve"> at p. 378.</w:t>
      </w:r>
    </w:p>
  </w:footnote>
  <w:footnote w:id="154">
    <w:p w14:paraId="5B3ED72E" w14:textId="542B7393" w:rsidR="005D124F" w:rsidRPr="005D124F" w:rsidRDefault="005D124F" w:rsidP="005D124F">
      <w:pPr>
        <w:pStyle w:val="FootnoteText"/>
      </w:pPr>
      <w:r>
        <w:rPr>
          <w:rStyle w:val="FootnoteReference"/>
        </w:rPr>
        <w:footnoteRef/>
      </w:r>
      <w:r>
        <w:t xml:space="preserve"> </w:t>
      </w:r>
      <w:hyperlink r:id="rId85" w:history="1">
        <w:r w:rsidRPr="00CA02FE">
          <w:rPr>
            <w:rStyle w:val="Hyperlink"/>
            <w:rFonts w:ascii="Palatino Linotype" w:hAnsi="Palatino Linotype"/>
          </w:rPr>
          <w:t>Resolution G-3601</w:t>
        </w:r>
      </w:hyperlink>
      <w:r w:rsidRPr="009D4B1F">
        <w:rPr>
          <w:rFonts w:ascii="Palatino Linotype" w:hAnsi="Palatino Linotype"/>
        </w:rPr>
        <w:t xml:space="preserve"> (2023)</w:t>
      </w:r>
      <w:r>
        <w:rPr>
          <w:rFonts w:ascii="Palatino Linotype" w:hAnsi="Palatino Linotype"/>
        </w:rPr>
        <w:t xml:space="preserve"> at </w:t>
      </w:r>
      <w:r w:rsidRPr="005D124F">
        <w:rPr>
          <w:rFonts w:ascii="Palatino Linotype" w:hAnsi="Palatino Linotype"/>
        </w:rPr>
        <w:t xml:space="preserve">OP 6. </w:t>
      </w:r>
      <w:r>
        <w:rPr>
          <w:rFonts w:ascii="Palatino Linotype" w:hAnsi="Palatino Linotype"/>
        </w:rPr>
        <w:t>“</w:t>
      </w:r>
      <w:r w:rsidRPr="005D124F">
        <w:rPr>
          <w:rFonts w:ascii="Palatino Linotype" w:hAnsi="Palatino Linotype"/>
        </w:rPr>
        <w:t>In its 2024 Gas Research, Development, and Demonstration (RD&amp;D) Research Plan and beyond, Southern California Gas Company (SoCalGas) shall: a. Meet with Energy Division at least six weeks of submitting its annual RD&amp;D Plan to present its proposed Plan and incorporate Energy Division feedback. At that time SoCalGas’ proposed Plan should reflect input from RD&amp;D administrator coordination and broad stakeholders including the research and ESJ communities.</w:t>
      </w:r>
      <w:r>
        <w:rPr>
          <w:rFonts w:ascii="Palatino Linotype" w:hAnsi="Palatino Linotype"/>
        </w:rPr>
        <w:t>”</w:t>
      </w:r>
      <w:r w:rsidRPr="005D124F">
        <w:t>  </w:t>
      </w:r>
    </w:p>
  </w:footnote>
  <w:footnote w:id="155">
    <w:p w14:paraId="59E0B0A4" w14:textId="19803194" w:rsidR="005C464A" w:rsidRPr="004123A3" w:rsidRDefault="005C464A">
      <w:pPr>
        <w:pStyle w:val="FootnoteText"/>
        <w:rPr>
          <w:rFonts w:ascii="Palatino Linotype" w:hAnsi="Palatino Linotype"/>
        </w:rPr>
      </w:pPr>
      <w:r w:rsidRPr="004123A3">
        <w:rPr>
          <w:rStyle w:val="FootnoteReference"/>
          <w:rFonts w:ascii="Palatino Linotype" w:hAnsi="Palatino Linotype"/>
        </w:rPr>
        <w:footnoteRef/>
      </w:r>
      <w:r w:rsidRPr="004123A3">
        <w:rPr>
          <w:rFonts w:ascii="Palatino Linotype" w:hAnsi="Palatino Linotype"/>
        </w:rPr>
        <w:t xml:space="preserve"> </w:t>
      </w:r>
      <w:hyperlink r:id="rId86" w:history="1">
        <w:r w:rsidR="001C22E8" w:rsidRPr="004123A3">
          <w:rPr>
            <w:rStyle w:val="Hyperlink"/>
            <w:rFonts w:ascii="Palatino Linotype" w:hAnsi="Palatino Linotype"/>
          </w:rPr>
          <w:t>Resolution G-3601</w:t>
        </w:r>
      </w:hyperlink>
      <w:r w:rsidR="001C22E8" w:rsidRPr="004123A3">
        <w:rPr>
          <w:rFonts w:ascii="Palatino Linotype" w:hAnsi="Palatino Linotype"/>
        </w:rPr>
        <w:t xml:space="preserve"> (2023) at OP 6. “In its 2024 Gas Research, Development, and Demonstration (RD&amp;D) Research Plan and beyond, Southern California Gas Company (SoCalGas) shall: </w:t>
      </w:r>
      <w:r w:rsidR="004123A3" w:rsidRPr="004123A3">
        <w:rPr>
          <w:rFonts w:ascii="Palatino Linotype" w:hAnsi="Palatino Linotype"/>
        </w:rPr>
        <w:t xml:space="preserve">e. </w:t>
      </w:r>
      <w:r w:rsidR="001C22E8" w:rsidRPr="004123A3">
        <w:rPr>
          <w:rFonts w:ascii="Palatino Linotype" w:hAnsi="Palatino Linotype"/>
        </w:rPr>
        <w:t>Modify the term “benefits analysis framework” to “uniform impact analysis framework” to better explain the Commission’s intent. SoCalGas shall implement the uniform impacts analysis framework approved in Appendix A of Decision (D.) 23-04-042, as relevant for Gas RD&amp;D, to allow for tracking and evaluating the quantitative impacts of all Gas RD&amp;D projects.</w:t>
      </w:r>
      <w:r w:rsidR="004123A3">
        <w:rPr>
          <w:rFonts w:ascii="Palatino Linotype" w:hAnsi="Palatino Linotype"/>
        </w:rPr>
        <w:t>”</w:t>
      </w:r>
      <w:r w:rsidR="001C22E8" w:rsidRPr="004123A3">
        <w:rPr>
          <w:rFonts w:ascii="Palatino Linotype" w:hAnsi="Palatino Linotype"/>
        </w:rPr>
        <w:t xml:space="preserve">  </w:t>
      </w:r>
    </w:p>
  </w:footnote>
  <w:footnote w:id="156">
    <w:p w14:paraId="3607F8B9" w14:textId="50DC0D6F" w:rsidR="002B5ADD" w:rsidRPr="00E709F9" w:rsidRDefault="002B5ADD">
      <w:pPr>
        <w:pStyle w:val="FootnoteText"/>
        <w:rPr>
          <w:rFonts w:ascii="Palatino Linotype" w:hAnsi="Palatino Linotype"/>
        </w:rPr>
      </w:pPr>
      <w:r w:rsidRPr="00E709F9">
        <w:rPr>
          <w:rStyle w:val="FootnoteReference"/>
          <w:rFonts w:ascii="Palatino Linotype" w:hAnsi="Palatino Linotype"/>
        </w:rPr>
        <w:footnoteRef/>
      </w:r>
      <w:r w:rsidRPr="00E709F9">
        <w:rPr>
          <w:rFonts w:ascii="Palatino Linotype" w:hAnsi="Palatino Linotype"/>
        </w:rPr>
        <w:t xml:space="preserve"> See Resolution G-3624 at Appendix </w:t>
      </w:r>
      <w:r w:rsidR="00E709F9" w:rsidRPr="00E709F9">
        <w:rPr>
          <w:rFonts w:ascii="Palatino Linotype" w:hAnsi="Palatino Linotype"/>
        </w:rPr>
        <w:t>G: Compliance Assessment of Advice Letter 6495-G-A – 2024 Plan.</w:t>
      </w:r>
    </w:p>
  </w:footnote>
  <w:footnote w:id="157">
    <w:p w14:paraId="16CA3297" w14:textId="721615BB" w:rsidR="00E03D49" w:rsidRPr="00E709F9" w:rsidRDefault="00E03D49" w:rsidP="00E03D49">
      <w:pPr>
        <w:pStyle w:val="FootnoteText"/>
        <w:rPr>
          <w:rFonts w:ascii="Palatino Linotype" w:hAnsi="Palatino Linotype"/>
        </w:rPr>
      </w:pPr>
      <w:r w:rsidRPr="00E709F9">
        <w:rPr>
          <w:rStyle w:val="FootnoteReference"/>
          <w:rFonts w:ascii="Palatino Linotype" w:hAnsi="Palatino Linotype"/>
        </w:rPr>
        <w:footnoteRef/>
      </w:r>
      <w:r w:rsidRPr="00E709F9">
        <w:rPr>
          <w:rFonts w:ascii="Palatino Linotype" w:hAnsi="Palatino Linotype"/>
        </w:rPr>
        <w:t xml:space="preserve"> See Resolution G-3624 at Appendix </w:t>
      </w:r>
      <w:r w:rsidR="00546D1C">
        <w:rPr>
          <w:rFonts w:ascii="Palatino Linotype" w:hAnsi="Palatino Linotype"/>
        </w:rPr>
        <w:t>H</w:t>
      </w:r>
      <w:r w:rsidRPr="00E709F9">
        <w:rPr>
          <w:rFonts w:ascii="Palatino Linotype" w:hAnsi="Palatino Linotype"/>
        </w:rPr>
        <w:t>: Compliance Assessment of Advice Letter 649</w:t>
      </w:r>
      <w:r w:rsidR="00546D1C">
        <w:rPr>
          <w:rFonts w:ascii="Palatino Linotype" w:hAnsi="Palatino Linotype"/>
        </w:rPr>
        <w:t>6</w:t>
      </w:r>
      <w:r w:rsidRPr="00E709F9">
        <w:rPr>
          <w:rFonts w:ascii="Palatino Linotype" w:hAnsi="Palatino Linotype"/>
        </w:rPr>
        <w:t>-G-A – 202</w:t>
      </w:r>
      <w:r w:rsidR="00574CC3">
        <w:rPr>
          <w:rFonts w:ascii="Palatino Linotype" w:hAnsi="Palatino Linotype"/>
        </w:rPr>
        <w:t>5</w:t>
      </w:r>
      <w:r w:rsidRPr="00E709F9">
        <w:rPr>
          <w:rFonts w:ascii="Palatino Linotype" w:hAnsi="Palatino Linotype"/>
        </w:rPr>
        <w:t xml:space="preserve"> Plan.</w:t>
      </w:r>
    </w:p>
  </w:footnote>
  <w:footnote w:id="158">
    <w:p w14:paraId="7961D196" w14:textId="5EFDF580" w:rsidR="00E03D49" w:rsidRPr="00E709F9" w:rsidRDefault="00E03D49" w:rsidP="00E03D49">
      <w:pPr>
        <w:pStyle w:val="FootnoteText"/>
        <w:rPr>
          <w:rFonts w:ascii="Palatino Linotype" w:hAnsi="Palatino Linotype"/>
        </w:rPr>
      </w:pPr>
      <w:r w:rsidRPr="00E709F9">
        <w:rPr>
          <w:rStyle w:val="FootnoteReference"/>
          <w:rFonts w:ascii="Palatino Linotype" w:hAnsi="Palatino Linotype"/>
        </w:rPr>
        <w:footnoteRef/>
      </w:r>
      <w:r w:rsidRPr="00E709F9">
        <w:rPr>
          <w:rFonts w:ascii="Palatino Linotype" w:hAnsi="Palatino Linotype"/>
        </w:rPr>
        <w:t xml:space="preserve"> See Resolution G-3624 at Appendix </w:t>
      </w:r>
      <w:r w:rsidR="00546D1C">
        <w:rPr>
          <w:rFonts w:ascii="Palatino Linotype" w:hAnsi="Palatino Linotype"/>
        </w:rPr>
        <w:t>I</w:t>
      </w:r>
      <w:r w:rsidRPr="00E709F9">
        <w:rPr>
          <w:rFonts w:ascii="Palatino Linotype" w:hAnsi="Palatino Linotype"/>
        </w:rPr>
        <w:t>: Compliance Assessment of Advice Letter 6</w:t>
      </w:r>
      <w:r w:rsidR="00546D1C">
        <w:rPr>
          <w:rFonts w:ascii="Palatino Linotype" w:hAnsi="Palatino Linotype"/>
        </w:rPr>
        <w:t>645</w:t>
      </w:r>
      <w:r w:rsidR="002F173A">
        <w:rPr>
          <w:rFonts w:ascii="Palatino Linotype" w:hAnsi="Palatino Linotype"/>
        </w:rPr>
        <w:t>-</w:t>
      </w:r>
      <w:r w:rsidR="001868FB">
        <w:rPr>
          <w:rFonts w:ascii="Palatino Linotype" w:hAnsi="Palatino Linotype"/>
        </w:rPr>
        <w:t>G</w:t>
      </w:r>
      <w:r w:rsidRPr="00E709F9">
        <w:rPr>
          <w:rFonts w:ascii="Palatino Linotype" w:hAnsi="Palatino Linotype"/>
        </w:rPr>
        <w:t xml:space="preserve"> – 202</w:t>
      </w:r>
      <w:r w:rsidR="00853BC4">
        <w:rPr>
          <w:rFonts w:ascii="Palatino Linotype" w:hAnsi="Palatino Linotype"/>
        </w:rPr>
        <w:t>6</w:t>
      </w:r>
      <w:r w:rsidRPr="00E709F9">
        <w:rPr>
          <w:rFonts w:ascii="Palatino Linotype" w:hAnsi="Palatino Linotype"/>
        </w:rPr>
        <w:t xml:space="preserve"> Plan.</w:t>
      </w:r>
    </w:p>
  </w:footnote>
  <w:footnote w:id="159">
    <w:p w14:paraId="77360D57" w14:textId="2EA12744" w:rsidR="00E03D49" w:rsidRPr="00E709F9" w:rsidRDefault="00E03D49" w:rsidP="00E03D49">
      <w:pPr>
        <w:pStyle w:val="FootnoteText"/>
        <w:rPr>
          <w:rFonts w:ascii="Palatino Linotype" w:hAnsi="Palatino Linotype"/>
        </w:rPr>
      </w:pPr>
      <w:r w:rsidRPr="00E709F9">
        <w:rPr>
          <w:rStyle w:val="FootnoteReference"/>
          <w:rFonts w:ascii="Palatino Linotype" w:hAnsi="Palatino Linotype"/>
        </w:rPr>
        <w:footnoteRef/>
      </w:r>
      <w:r w:rsidRPr="00E709F9">
        <w:rPr>
          <w:rFonts w:ascii="Palatino Linotype" w:hAnsi="Palatino Linotype"/>
        </w:rPr>
        <w:t xml:space="preserve"> See Resolution G-3624 at Appendix </w:t>
      </w:r>
      <w:r w:rsidR="00546D1C">
        <w:rPr>
          <w:rFonts w:ascii="Palatino Linotype" w:hAnsi="Palatino Linotype"/>
        </w:rPr>
        <w:t>J</w:t>
      </w:r>
      <w:r w:rsidRPr="00E709F9">
        <w:rPr>
          <w:rFonts w:ascii="Palatino Linotype" w:hAnsi="Palatino Linotype"/>
        </w:rPr>
        <w:t>: Compliance Assessment of Advice Letter 6</w:t>
      </w:r>
      <w:r w:rsidR="001868FB">
        <w:rPr>
          <w:rFonts w:ascii="Palatino Linotype" w:hAnsi="Palatino Linotype"/>
        </w:rPr>
        <w:t>646-G</w:t>
      </w:r>
      <w:r w:rsidRPr="00E709F9">
        <w:rPr>
          <w:rFonts w:ascii="Palatino Linotype" w:hAnsi="Palatino Linotype"/>
        </w:rPr>
        <w:t xml:space="preserve"> – </w:t>
      </w:r>
      <w:r w:rsidR="1033E26C" w:rsidRPr="00E709F9">
        <w:rPr>
          <w:rFonts w:ascii="Palatino Linotype" w:hAnsi="Palatino Linotype"/>
        </w:rPr>
        <w:t>202</w:t>
      </w:r>
      <w:r w:rsidR="1033E26C" w:rsidRPr="1033E26C">
        <w:rPr>
          <w:rFonts w:ascii="Palatino Linotype" w:hAnsi="Palatino Linotype"/>
        </w:rPr>
        <w:t>7</w:t>
      </w:r>
      <w:r w:rsidRPr="00E709F9">
        <w:rPr>
          <w:rFonts w:ascii="Palatino Linotype" w:hAnsi="Palatino Linotype"/>
        </w:rPr>
        <w:t xml:space="preserve"> Plan.</w:t>
      </w:r>
    </w:p>
  </w:footnote>
  <w:footnote w:id="160">
    <w:p w14:paraId="1DA84F9C" w14:textId="370B4496" w:rsidR="00A4086D" w:rsidRPr="00A4086D" w:rsidRDefault="00A4086D">
      <w:pPr>
        <w:pStyle w:val="FootnoteText"/>
        <w:rPr>
          <w:rFonts w:ascii="Palatino Linotype" w:hAnsi="Palatino Linotype"/>
        </w:rPr>
      </w:pPr>
      <w:r w:rsidRPr="00A4086D">
        <w:rPr>
          <w:rStyle w:val="FootnoteReference"/>
          <w:rFonts w:ascii="Palatino Linotype" w:hAnsi="Palatino Linotype"/>
        </w:rPr>
        <w:footnoteRef/>
      </w:r>
      <w:r w:rsidRPr="00A4086D">
        <w:rPr>
          <w:rFonts w:ascii="Palatino Linotype" w:hAnsi="Palatino Linotype"/>
        </w:rPr>
        <w:t xml:space="preserve"> Consistent with </w:t>
      </w:r>
      <w:hyperlink r:id="rId87" w:history="1">
        <w:r w:rsidRPr="00856F2F">
          <w:rPr>
            <w:rStyle w:val="Hyperlink"/>
            <w:rFonts w:ascii="Palatino Linotype" w:hAnsi="Palatino Linotype"/>
          </w:rPr>
          <w:t>Resolution G-3601</w:t>
        </w:r>
      </w:hyperlink>
      <w:r w:rsidRPr="00A4086D">
        <w:rPr>
          <w:rFonts w:ascii="Palatino Linotype" w:hAnsi="Palatino Linotype"/>
        </w:rPr>
        <w:t xml:space="preserve"> at OP 7. “Southern California Gas Company may spend its approved 2023 Research, Development, and Demonstration funding in calendar year 2024.”</w:t>
      </w:r>
    </w:p>
  </w:footnote>
  <w:footnote w:id="161">
    <w:p w14:paraId="375A8427" w14:textId="77777777" w:rsidR="00B628BB" w:rsidRPr="005C2CBD" w:rsidRDefault="00B628BB" w:rsidP="00B628BB">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AL 6495-G-A at p. 6 &amp; Attachment A at p. 9-10, 14, &amp; 41.</w:t>
      </w:r>
    </w:p>
  </w:footnote>
  <w:footnote w:id="162">
    <w:p w14:paraId="268CA5B6" w14:textId="77777777" w:rsidR="00B628BB" w:rsidRPr="005C2CBD" w:rsidRDefault="00B628BB" w:rsidP="00B628BB">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AL 6496-G-A at p. 6 &amp; Attachment A at p. 9-10, 13, &amp; 38.</w:t>
      </w:r>
    </w:p>
  </w:footnote>
  <w:footnote w:id="163">
    <w:p w14:paraId="7CBDECEA" w14:textId="77777777" w:rsidR="00B628BB" w:rsidRPr="005C2CBD" w:rsidRDefault="00B628BB" w:rsidP="00B628BB">
      <w:pPr>
        <w:pStyle w:val="FootnoteText"/>
        <w:rPr>
          <w:rFonts w:ascii="Palatino Linotype" w:hAnsi="Palatino Linotype"/>
          <w:highlight w:val="yellow"/>
        </w:rPr>
      </w:pPr>
      <w:r w:rsidRPr="005C2CBD">
        <w:rPr>
          <w:rStyle w:val="FootnoteReference"/>
          <w:rFonts w:ascii="Palatino Linotype" w:hAnsi="Palatino Linotype"/>
        </w:rPr>
        <w:footnoteRef/>
      </w:r>
      <w:r w:rsidRPr="005C2CBD">
        <w:rPr>
          <w:rFonts w:ascii="Palatino Linotype" w:hAnsi="Palatino Linotype"/>
        </w:rPr>
        <w:t xml:space="preserve"> AL 6645-G at p. 6 &amp; Attachment A at p. 17-18.</w:t>
      </w:r>
    </w:p>
  </w:footnote>
  <w:footnote w:id="164">
    <w:p w14:paraId="1D36B6E2" w14:textId="77777777" w:rsidR="00B628BB" w:rsidRDefault="00B628BB" w:rsidP="00B628BB">
      <w:pPr>
        <w:pStyle w:val="FootnoteText"/>
      </w:pPr>
      <w:r w:rsidRPr="005C2CBD">
        <w:rPr>
          <w:rStyle w:val="FootnoteReference"/>
          <w:rFonts w:ascii="Palatino Linotype" w:hAnsi="Palatino Linotype"/>
        </w:rPr>
        <w:footnoteRef/>
      </w:r>
      <w:r w:rsidRPr="005C2CBD">
        <w:rPr>
          <w:rFonts w:ascii="Palatino Linotype" w:hAnsi="Palatino Linotype"/>
        </w:rPr>
        <w:t xml:space="preserve"> AL 6646-G at p. 6 &amp; Attachment A at p. 17-18.</w:t>
      </w:r>
    </w:p>
  </w:footnote>
  <w:footnote w:id="165">
    <w:p w14:paraId="05409146" w14:textId="77777777" w:rsidR="00490177" w:rsidRPr="003E5F32" w:rsidRDefault="00490177" w:rsidP="00490177">
      <w:pPr>
        <w:pStyle w:val="FootnoteText"/>
        <w:rPr>
          <w:rFonts w:ascii="Palatino Linotype" w:hAnsi="Palatino Linotype"/>
        </w:rPr>
      </w:pPr>
      <w:r w:rsidRPr="003E5F32">
        <w:rPr>
          <w:rStyle w:val="FootnoteReference"/>
          <w:rFonts w:ascii="Palatino Linotype" w:hAnsi="Palatino Linotype"/>
        </w:rPr>
        <w:footnoteRef/>
      </w:r>
      <w:r w:rsidRPr="003E5F32">
        <w:rPr>
          <w:rFonts w:ascii="Palatino Linotype" w:hAnsi="Palatino Linotype"/>
        </w:rPr>
        <w:t xml:space="preserve"> See Resolution </w:t>
      </w:r>
      <w:r>
        <w:rPr>
          <w:rFonts w:ascii="Palatino Linotype" w:eastAsia="Times New Roman" w:hAnsi="Palatino Linotype" w:cs="Times New Roman"/>
          <w:kern w:val="0"/>
          <w14:ligatures w14:val="none"/>
        </w:rPr>
        <w:t xml:space="preserve">G-3624 </w:t>
      </w:r>
      <w:r w:rsidRPr="003E5F32">
        <w:rPr>
          <w:rFonts w:ascii="Palatino Linotype" w:hAnsi="Palatino Linotype"/>
        </w:rPr>
        <w:t>at Appendix C: Administrative Budget Cost Categories.</w:t>
      </w:r>
    </w:p>
  </w:footnote>
  <w:footnote w:id="166">
    <w:p w14:paraId="1911D79D" w14:textId="77777777" w:rsidR="00490177" w:rsidRPr="005C2CBD" w:rsidRDefault="00490177" w:rsidP="00490177">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Consistent with </w:t>
      </w:r>
      <w:hyperlink r:id="rId88" w:history="1">
        <w:r w:rsidRPr="005C2CBD">
          <w:rPr>
            <w:rStyle w:val="Hyperlink"/>
            <w:rFonts w:ascii="Palatino Linotype" w:hAnsi="Palatino Linotype"/>
          </w:rPr>
          <w:t>Resolution G-3573</w:t>
        </w:r>
      </w:hyperlink>
      <w:r w:rsidRPr="005C2CBD">
        <w:rPr>
          <w:rFonts w:ascii="Palatino Linotype" w:hAnsi="Palatino Linotype"/>
        </w:rPr>
        <w:t xml:space="preserve"> (2021) at OP 3.</w:t>
      </w:r>
    </w:p>
  </w:footnote>
  <w:footnote w:id="167">
    <w:p w14:paraId="5C8969D1" w14:textId="77777777" w:rsidR="00490177" w:rsidRPr="005C2CBD" w:rsidRDefault="00490177" w:rsidP="00490177">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Consistent with </w:t>
      </w:r>
      <w:hyperlink r:id="rId89" w:history="1">
        <w:r w:rsidRPr="005C2CBD">
          <w:rPr>
            <w:rStyle w:val="Hyperlink"/>
            <w:rFonts w:ascii="Palatino Linotype" w:hAnsi="Palatino Linotype"/>
          </w:rPr>
          <w:t>Resolution G-3573</w:t>
        </w:r>
      </w:hyperlink>
      <w:r w:rsidRPr="005C2CBD">
        <w:rPr>
          <w:rFonts w:ascii="Palatino Linotype" w:hAnsi="Palatino Linotype"/>
        </w:rPr>
        <w:t xml:space="preserve"> (2021) at OP 3 &amp; </w:t>
      </w:r>
      <w:hyperlink r:id="rId90" w:history="1">
        <w:r w:rsidRPr="005C2CBD">
          <w:rPr>
            <w:rStyle w:val="Hyperlink"/>
            <w:rFonts w:ascii="Palatino Linotype" w:hAnsi="Palatino Linotype"/>
          </w:rPr>
          <w:t>Resolution G-3586</w:t>
        </w:r>
      </w:hyperlink>
      <w:r w:rsidRPr="005C2CBD">
        <w:rPr>
          <w:rFonts w:ascii="Palatino Linotype" w:hAnsi="Palatino Linotype"/>
        </w:rPr>
        <w:t xml:space="preserve"> (2022) at OP 5.</w:t>
      </w:r>
    </w:p>
  </w:footnote>
  <w:footnote w:id="168">
    <w:p w14:paraId="1EAD5137" w14:textId="77777777" w:rsidR="00490177" w:rsidRPr="005C2CBD" w:rsidRDefault="00490177" w:rsidP="00490177">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Consistent with </w:t>
      </w:r>
      <w:hyperlink r:id="rId91">
        <w:r w:rsidRPr="40D91325">
          <w:rPr>
            <w:rStyle w:val="Hyperlink"/>
            <w:rFonts w:ascii="Palatino Linotype" w:hAnsi="Palatino Linotype"/>
          </w:rPr>
          <w:t>Resolution G-3573</w:t>
        </w:r>
      </w:hyperlink>
      <w:r w:rsidRPr="005C2CBD">
        <w:rPr>
          <w:rFonts w:ascii="Palatino Linotype" w:hAnsi="Palatino Linotype"/>
        </w:rPr>
        <w:t xml:space="preserve"> (2021) at OP 3</w:t>
      </w:r>
      <w:r w:rsidRPr="40D91325">
        <w:rPr>
          <w:rFonts w:ascii="Palatino Linotype" w:hAnsi="Palatino Linotype"/>
        </w:rPr>
        <w:t xml:space="preserve"> &amp; </w:t>
      </w:r>
      <w:hyperlink r:id="rId92">
        <w:r w:rsidRPr="40D91325">
          <w:rPr>
            <w:rStyle w:val="Hyperlink"/>
            <w:rFonts w:ascii="Palatino Linotype" w:hAnsi="Palatino Linotype"/>
          </w:rPr>
          <w:t>Resolution G-3601</w:t>
        </w:r>
      </w:hyperlink>
      <w:r w:rsidRPr="40D91325">
        <w:rPr>
          <w:rFonts w:ascii="Palatino Linotype" w:hAnsi="Palatino Linotype"/>
        </w:rPr>
        <w:t xml:space="preserve"> (2023) </w:t>
      </w:r>
      <w:r w:rsidRPr="43ADA62A">
        <w:rPr>
          <w:rFonts w:ascii="Palatino Linotype" w:hAnsi="Palatino Linotype"/>
        </w:rPr>
        <w:t>at p. 11.</w:t>
      </w:r>
    </w:p>
  </w:footnote>
  <w:footnote w:id="169">
    <w:p w14:paraId="7A118019" w14:textId="77777777" w:rsidR="00490177" w:rsidRPr="005C2CBD" w:rsidRDefault="00490177" w:rsidP="00490177">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w:t>
      </w:r>
      <w:hyperlink r:id="rId93">
        <w:r w:rsidRPr="04604B94">
          <w:rPr>
            <w:rStyle w:val="Hyperlink"/>
            <w:rFonts w:ascii="Palatino Linotype" w:hAnsi="Palatino Linotype"/>
          </w:rPr>
          <w:t>Resolution G-3586</w:t>
        </w:r>
      </w:hyperlink>
      <w:r w:rsidRPr="005C2CBD">
        <w:rPr>
          <w:rFonts w:ascii="Palatino Linotype" w:hAnsi="Palatino Linotype"/>
        </w:rPr>
        <w:t xml:space="preserve"> (2022) at OP 5</w:t>
      </w:r>
      <w:r w:rsidRPr="36EA0F18">
        <w:rPr>
          <w:rFonts w:ascii="Palatino Linotype" w:hAnsi="Palatino Linotype"/>
        </w:rPr>
        <w:t>.</w:t>
      </w:r>
    </w:p>
  </w:footnote>
  <w:footnote w:id="170">
    <w:p w14:paraId="0C6C261D" w14:textId="77777777" w:rsidR="00490177" w:rsidRPr="00CD4CDF" w:rsidRDefault="00490177" w:rsidP="00490177">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See Resolution </w:t>
      </w:r>
      <w:r w:rsidRPr="005C2CBD">
        <w:rPr>
          <w:rFonts w:ascii="Palatino Linotype" w:eastAsia="Times New Roman" w:hAnsi="Palatino Linotype" w:cs="Times New Roman"/>
          <w:kern w:val="0"/>
          <w14:ligatures w14:val="none"/>
        </w:rPr>
        <w:t xml:space="preserve">G-3624 </w:t>
      </w:r>
      <w:r w:rsidRPr="005C2CBD">
        <w:rPr>
          <w:rFonts w:ascii="Palatino Linotype" w:hAnsi="Palatino Linotype"/>
        </w:rPr>
        <w:t xml:space="preserve">at Appendix F: EPIC Foundational Principles for the Development of a Uniform Impact Analysis Framework. Consistent with </w:t>
      </w:r>
      <w:hyperlink r:id="rId94">
        <w:r w:rsidRPr="005C2CBD">
          <w:rPr>
            <w:rStyle w:val="Hyperlink"/>
            <w:rFonts w:ascii="Palatino Linotype" w:hAnsi="Palatino Linotype"/>
          </w:rPr>
          <w:t>Resolution G-3573</w:t>
        </w:r>
      </w:hyperlink>
      <w:r w:rsidRPr="005C2CBD">
        <w:rPr>
          <w:rFonts w:ascii="Palatino Linotype" w:hAnsi="Palatino Linotype"/>
        </w:rPr>
        <w:t xml:space="preserve"> (2021) at OP 3. The Commission’s compliance assessment of </w:t>
      </w:r>
      <w:hyperlink r:id="rId95">
        <w:r w:rsidRPr="005C2CBD">
          <w:rPr>
            <w:rStyle w:val="Hyperlink"/>
            <w:rFonts w:ascii="Palatino Linotype" w:hAnsi="Palatino Linotype"/>
          </w:rPr>
          <w:t>Resolution G-3586</w:t>
        </w:r>
      </w:hyperlink>
      <w:r w:rsidRPr="005C2CBD">
        <w:rPr>
          <w:rFonts w:ascii="Palatino Linotype" w:hAnsi="Palatino Linotype"/>
        </w:rPr>
        <w:t xml:space="preserve"> (2022) at OP 5 is captured in the Commission’s compliance assessment of this requirement per </w:t>
      </w:r>
      <w:hyperlink r:id="rId96" w:history="1">
        <w:r w:rsidRPr="005C2CBD">
          <w:rPr>
            <w:rStyle w:val="Hyperlink"/>
            <w:rFonts w:ascii="Palatino Linotype" w:hAnsi="Palatino Linotype"/>
          </w:rPr>
          <w:t>Resolution G-3601</w:t>
        </w:r>
      </w:hyperlink>
      <w:r w:rsidRPr="005C2CBD">
        <w:rPr>
          <w:rFonts w:ascii="Palatino Linotype" w:hAnsi="Palatino Linotype"/>
        </w:rPr>
        <w:t xml:space="preserve"> (2023</w:t>
      </w:r>
      <w:r w:rsidRPr="00DB041E">
        <w:rPr>
          <w:rFonts w:ascii="Palatino Linotype" w:hAnsi="Palatino Linotype"/>
          <w:color w:val="000000" w:themeColor="text1"/>
        </w:rPr>
        <w:t>) at p. 18. “’By nature, research and development (R&amp;D) projects have an element of risk, which means that not all EPIC projects will directly benefit ratepayers in a quantifiable manner. There still should be an easily explainable impact, benefit, or lesson learned, that should be detailed in project reports and summarized in annual reports and inform program evaluations.’ Once the EPIC impact analysis is adopted by the Commission, SoCalGas must implement the Impact Analysis Framework in all future Gas RD&amp;D research plans. In the interim, SoCalGas should generally follow the Impact Analysis Framework principles outlined in Appendix A of D.23-04-042 and continue to measure program outcomes.”</w:t>
      </w:r>
    </w:p>
  </w:footnote>
  <w:footnote w:id="171">
    <w:p w14:paraId="2BFED0B9" w14:textId="77777777" w:rsidR="00490177" w:rsidRPr="005C2CBD" w:rsidRDefault="00490177" w:rsidP="00490177">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Consistent with </w:t>
      </w:r>
      <w:hyperlink r:id="rId97" w:history="1">
        <w:r w:rsidRPr="005C2CBD">
          <w:rPr>
            <w:rStyle w:val="Hyperlink"/>
            <w:rFonts w:ascii="Palatino Linotype" w:hAnsi="Palatino Linotype"/>
          </w:rPr>
          <w:t>Resolution G-3573</w:t>
        </w:r>
      </w:hyperlink>
      <w:r w:rsidRPr="005C2CBD">
        <w:rPr>
          <w:rFonts w:ascii="Palatino Linotype" w:hAnsi="Palatino Linotype"/>
        </w:rPr>
        <w:t xml:space="preserve"> (2021) at OP 3 &amp; </w:t>
      </w:r>
      <w:hyperlink r:id="rId98" w:history="1">
        <w:r w:rsidRPr="005C2CBD">
          <w:rPr>
            <w:rStyle w:val="Hyperlink"/>
            <w:rFonts w:ascii="Palatino Linotype" w:hAnsi="Palatino Linotype"/>
          </w:rPr>
          <w:t>Resolution G-3586</w:t>
        </w:r>
      </w:hyperlink>
      <w:r w:rsidRPr="005C2CBD">
        <w:rPr>
          <w:rFonts w:ascii="Palatino Linotype" w:hAnsi="Palatino Linotype"/>
        </w:rPr>
        <w:t xml:space="preserve"> (2022) at OP 5.</w:t>
      </w:r>
    </w:p>
  </w:footnote>
  <w:footnote w:id="172">
    <w:p w14:paraId="699A06CC" w14:textId="77777777" w:rsidR="00490177" w:rsidRDefault="00490177" w:rsidP="00490177">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Consistent with </w:t>
      </w:r>
      <w:hyperlink r:id="rId99">
        <w:r w:rsidRPr="414E9877">
          <w:rPr>
            <w:rStyle w:val="Hyperlink"/>
            <w:rFonts w:ascii="Palatino Linotype" w:hAnsi="Palatino Linotype"/>
          </w:rPr>
          <w:t>Resolution G-3586</w:t>
        </w:r>
      </w:hyperlink>
      <w:r w:rsidRPr="005C2CBD">
        <w:rPr>
          <w:rFonts w:ascii="Palatino Linotype" w:hAnsi="Palatino Linotype"/>
        </w:rPr>
        <w:t xml:space="preserve"> (2022) at OP 5</w:t>
      </w:r>
      <w:r w:rsidRPr="414E9877">
        <w:rPr>
          <w:rFonts w:ascii="Palatino Linotype" w:hAnsi="Palatino Linotype"/>
        </w:rPr>
        <w:t xml:space="preserve"> </w:t>
      </w:r>
      <w:r w:rsidRPr="253D4CA0">
        <w:rPr>
          <w:rFonts w:ascii="Palatino Linotype" w:hAnsi="Palatino Linotype"/>
        </w:rPr>
        <w:t xml:space="preserve">&amp; </w:t>
      </w:r>
      <w:hyperlink r:id="rId100">
        <w:r w:rsidRPr="253D4CA0">
          <w:rPr>
            <w:rStyle w:val="Hyperlink"/>
            <w:rFonts w:ascii="Palatino Linotype" w:hAnsi="Palatino Linotype"/>
          </w:rPr>
          <w:t>Resolution G-3601</w:t>
        </w:r>
      </w:hyperlink>
      <w:r w:rsidRPr="253D4CA0">
        <w:rPr>
          <w:rFonts w:ascii="Palatino Linotype" w:hAnsi="Palatino Linotype"/>
        </w:rPr>
        <w:t xml:space="preserve"> (2023) at </w:t>
      </w:r>
      <w:r w:rsidRPr="253D4CA0">
        <w:rPr>
          <w:rFonts w:ascii="Palatino Linotype" w:hAnsi="Palatino Linotype"/>
        </w:rPr>
        <w:t>p. 16.</w:t>
      </w:r>
    </w:p>
  </w:footnote>
  <w:footnote w:id="173">
    <w:p w14:paraId="1E386843" w14:textId="77777777" w:rsidR="006E2730" w:rsidRDefault="006E2730" w:rsidP="006E2730">
      <w:pPr>
        <w:pStyle w:val="FootnoteText"/>
      </w:pPr>
      <w:r>
        <w:rPr>
          <w:rStyle w:val="FootnoteReference"/>
        </w:rPr>
        <w:footnoteRef/>
      </w:r>
      <w:r>
        <w:t xml:space="preserve"> </w:t>
      </w:r>
      <w:r w:rsidRPr="007B5BB1">
        <w:rPr>
          <w:rFonts w:ascii="Palatino Linotype" w:hAnsi="Palatino Linotype"/>
        </w:rPr>
        <w:t xml:space="preserve">Consistent with EPIC per </w:t>
      </w:r>
      <w:hyperlink r:id="rId101" w:history="1">
        <w:r w:rsidRPr="007B5BB1">
          <w:rPr>
            <w:rStyle w:val="Hyperlink"/>
            <w:rFonts w:ascii="Palatino Linotype" w:hAnsi="Palatino Linotype"/>
          </w:rPr>
          <w:t>D.12-05-037</w:t>
        </w:r>
      </w:hyperlink>
      <w:r w:rsidRPr="007B5BB1">
        <w:rPr>
          <w:rFonts w:ascii="Palatino Linotype" w:hAnsi="Palatino Linotype"/>
        </w:rPr>
        <w:t xml:space="preserve"> at OP 3</w:t>
      </w:r>
      <w:r>
        <w:rPr>
          <w:rFonts w:ascii="Palatino Linotype" w:hAnsi="Palatino Linotype"/>
        </w:rPr>
        <w:t xml:space="preserve"> &amp;</w:t>
      </w:r>
      <w:r w:rsidRPr="007B5BB1">
        <w:rPr>
          <w:rFonts w:ascii="Palatino Linotype" w:hAnsi="Palatino Linotype"/>
        </w:rPr>
        <w:t xml:space="preserve"> </w:t>
      </w:r>
      <w:hyperlink r:id="rId102" w:history="1">
        <w:r w:rsidRPr="007B5BB1">
          <w:rPr>
            <w:rStyle w:val="Hyperlink"/>
            <w:rFonts w:ascii="Palatino Linotype" w:hAnsi="Palatino Linotype"/>
          </w:rPr>
          <w:t>D.21-11-028</w:t>
        </w:r>
      </w:hyperlink>
      <w:r w:rsidRPr="007B5BB1">
        <w:rPr>
          <w:rFonts w:ascii="Palatino Linotype" w:hAnsi="Palatino Linotype"/>
        </w:rPr>
        <w:t xml:space="preserve"> at p. 32.</w:t>
      </w:r>
    </w:p>
  </w:footnote>
  <w:footnote w:id="174">
    <w:p w14:paraId="20DFC822" w14:textId="77777777" w:rsidR="00633D60" w:rsidRPr="005C2CBD" w:rsidRDefault="00633D60" w:rsidP="00633D60">
      <w:pPr>
        <w:pStyle w:val="FootnoteText"/>
        <w:rPr>
          <w:rFonts w:ascii="Palatino Linotype" w:hAnsi="Palatino Linotype"/>
        </w:rPr>
      </w:pPr>
      <w:r w:rsidRPr="005C2CBD">
        <w:rPr>
          <w:rStyle w:val="FootnoteReference"/>
          <w:rFonts w:ascii="Palatino Linotype" w:hAnsi="Palatino Linotype"/>
        </w:rPr>
        <w:footnoteRef/>
      </w:r>
      <w:r w:rsidRPr="005C2CBD">
        <w:rPr>
          <w:rFonts w:ascii="Palatino Linotype" w:hAnsi="Palatino Linotype"/>
        </w:rPr>
        <w:t xml:space="preserve"> </w:t>
      </w:r>
      <w:hyperlink r:id="rId103" w:tgtFrame="_blank" w:history="1">
        <w:r w:rsidRPr="005C2CBD">
          <w:rPr>
            <w:rStyle w:val="Hyperlink"/>
            <w:rFonts w:ascii="Palatino Linotype" w:hAnsi="Palatino Linotype"/>
          </w:rPr>
          <w:t>Resolution G-3601</w:t>
        </w:r>
      </w:hyperlink>
      <w:r w:rsidRPr="005C2CBD">
        <w:rPr>
          <w:rFonts w:ascii="Palatino Linotype" w:hAnsi="Palatino Linotype"/>
        </w:rPr>
        <w:t xml:space="preserve"> (2023) at: </w:t>
      </w:r>
    </w:p>
    <w:p w14:paraId="440D9745" w14:textId="77777777" w:rsidR="00633D60" w:rsidRPr="005C2CBD" w:rsidRDefault="00633D60" w:rsidP="00633D60">
      <w:pPr>
        <w:pStyle w:val="FootnoteText"/>
        <w:ind w:left="720"/>
        <w:rPr>
          <w:rFonts w:ascii="Palatino Linotype" w:hAnsi="Palatino Linotype"/>
        </w:rPr>
      </w:pPr>
      <w:r w:rsidRPr="00F281D2">
        <w:rPr>
          <w:rFonts w:ascii="Palatino Linotype" w:hAnsi="Palatino Linotype"/>
        </w:rPr>
        <w:t xml:space="preserve">OP 5. “All of [SoCalGas’] new and future [RD&amp;D] projects shall occur in the State of California. The only exception may be made for projects with out-of-state federal labs. In this case, SoCalGas shall explicitly justify benefits to its gas ratepayers of an out-of-state project in its Tier 3 Advice Letter annual </w:t>
      </w:r>
      <w:r w:rsidRPr="00F281D2">
        <w:rPr>
          <w:rFonts w:ascii="Palatino Linotype" w:hAnsi="Palatino Linotype"/>
        </w:rPr>
        <w:t>plan.”</w:t>
      </w:r>
    </w:p>
    <w:p w14:paraId="58710084" w14:textId="77777777" w:rsidR="00633D60" w:rsidRDefault="00633D60" w:rsidP="00633D60">
      <w:pPr>
        <w:pStyle w:val="FootnoteText"/>
        <w:ind w:left="720"/>
      </w:pPr>
      <w:r w:rsidRPr="005C2CBD">
        <w:rPr>
          <w:rFonts w:ascii="Palatino Linotype" w:hAnsi="Palatino Linotype"/>
        </w:rPr>
        <w:t>OP 6. “[SoCalGas shall] b. Explicitly justify how all consortia dues benefit gas ratepayers.”</w:t>
      </w:r>
    </w:p>
  </w:footnote>
  <w:footnote w:id="175">
    <w:p w14:paraId="3C23E2F6" w14:textId="77777777" w:rsidR="00477204" w:rsidRPr="00982769" w:rsidRDefault="00477204" w:rsidP="00477204">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hyperlink r:id="rId104" w:history="1">
        <w:r w:rsidRPr="00982769">
          <w:rPr>
            <w:rFonts w:ascii="Palatino Linotype" w:hAnsi="Palatino Linotype"/>
            <w:color w:val="467886" w:themeColor="hyperlink"/>
            <w:u w:val="single"/>
          </w:rPr>
          <w:t>D.23-04-042</w:t>
        </w:r>
      </w:hyperlink>
      <w:r w:rsidRPr="00982769">
        <w:rPr>
          <w:rFonts w:ascii="Palatino Linotype" w:hAnsi="Palatino Linotype"/>
        </w:rPr>
        <w:t xml:space="preserve"> at Appendix A. </w:t>
      </w:r>
      <w:hyperlink r:id="rId105" w:history="1">
        <w:r w:rsidRPr="00982769">
          <w:rPr>
            <w:rStyle w:val="Hyperlink"/>
            <w:rFonts w:ascii="Palatino Linotype" w:hAnsi="Palatino Linotype"/>
          </w:rPr>
          <w:t>Resolution G-3601</w:t>
        </w:r>
      </w:hyperlink>
      <w:r w:rsidRPr="00982769">
        <w:rPr>
          <w:rFonts w:ascii="Palatino Linotype" w:hAnsi="Palatino Linotype"/>
        </w:rPr>
        <w:t xml:space="preserve"> (2023) at p. 18. “’By nature, research and development (R&amp;D) projects have an element of risk, which means that not all EPIC projects will directly benefit ratepayers in a quantifiable manner. There still should be an easily explainable impact, benefit, or lesson learned, that should be detailed in project reports and summarized in annual reports and inform program evaluations.’ Once the EPIC impact analysis is adopted by the Commission, SoCalGas must implement the Impact Analysis Framework in all future Gas RD&amp;D research plans. In the interim, SoCalGas should generally follow the Impact Analysis Framework principles outlined in Appendix A of D.23-04-042 and continue to measure program outcomes.”</w:t>
      </w:r>
    </w:p>
  </w:footnote>
  <w:footnote w:id="176">
    <w:p w14:paraId="47C6B8A1" w14:textId="77777777" w:rsidR="00477204" w:rsidRPr="00982769" w:rsidRDefault="00477204" w:rsidP="00477204">
      <w:pPr>
        <w:pStyle w:val="FootnoteText"/>
        <w:rPr>
          <w:rFonts w:ascii="Palatino Linotype" w:hAnsi="Palatino Linotype" w:cs="Arial"/>
        </w:rPr>
      </w:pPr>
      <w:r w:rsidRPr="00982769">
        <w:rPr>
          <w:rStyle w:val="FootnoteReference"/>
          <w:rFonts w:ascii="Palatino Linotype" w:hAnsi="Palatino Linotype"/>
        </w:rPr>
        <w:footnoteRef/>
      </w:r>
      <w:r w:rsidRPr="00982769">
        <w:rPr>
          <w:rFonts w:ascii="Palatino Linotype" w:hAnsi="Palatino Linotype"/>
        </w:rPr>
        <w:t xml:space="preserve"> </w:t>
      </w:r>
      <w:hyperlink r:id="rId106" w:history="1">
        <w:r w:rsidRPr="00982769">
          <w:rPr>
            <w:rStyle w:val="Hyperlink"/>
            <w:rFonts w:ascii="Palatino Linotype" w:hAnsi="Palatino Linotype"/>
            <w:color w:val="4B8090" w:themeColor="hyperlink" w:themeTint="F2"/>
          </w:rPr>
          <w:t>D.12-05-037</w:t>
        </w:r>
      </w:hyperlink>
      <w:r w:rsidRPr="00982769">
        <w:rPr>
          <w:rFonts w:ascii="Palatino Linotype" w:hAnsi="Palatino Linotype"/>
          <w:color w:val="0D0D0D" w:themeColor="text1" w:themeTint="F2"/>
        </w:rPr>
        <w:t>: OIR on the Commission's Own Motion to Determine the Impact on Public Benefits Associated with the Expiration of Ratepayer Charges Pursuant to Public Utilities Code Section 399.8.</w:t>
      </w:r>
    </w:p>
  </w:footnote>
  <w:footnote w:id="177">
    <w:p w14:paraId="2DA5DA59" w14:textId="77777777" w:rsidR="00477204" w:rsidRDefault="00477204" w:rsidP="00477204">
      <w:pPr>
        <w:pStyle w:val="FootnoteText"/>
      </w:pPr>
      <w:r w:rsidRPr="00982769">
        <w:rPr>
          <w:rStyle w:val="FootnoteReference"/>
          <w:rFonts w:ascii="Palatino Linotype" w:hAnsi="Palatino Linotype"/>
        </w:rPr>
        <w:footnoteRef/>
      </w:r>
      <w:r w:rsidRPr="00982769">
        <w:rPr>
          <w:rFonts w:ascii="Palatino Linotype" w:hAnsi="Palatino Linotype"/>
        </w:rPr>
        <w:t xml:space="preserve"> California Public Utilities Code Section 740.1 at (a) and (b).</w:t>
      </w:r>
    </w:p>
  </w:footnote>
  <w:footnote w:id="178">
    <w:p w14:paraId="4EB64459" w14:textId="77777777" w:rsidR="00477204" w:rsidRPr="00982769" w:rsidRDefault="00477204" w:rsidP="00477204">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Including for example, but not limited to, the following works and other works by their respective authors: An Investigation of Innovative Energy Technologies Entering the Market between 2009-2015, Enabled by EERE-funded R&amp;D. PNNL-31895. Pacific Northwest National Laboratories. August 2021; Metrics for an Equitable and Just Energy System. Pacific Northwest National Laboratories. June 2021; Evaluating Realized Impacts of DOE/EERE R&amp;D Programs Standard Impact Evaluation Method. DOE/EE-1117. August 2014; A Framework for Evaluating R&amp;D Impacts and Supply Chain Dynamics Early in a Product Life Cycle. DOE/EE-1096. June 2014; A Proposed Methodology to Determine the Leverage Impacts of Technology Deployment Programs. James L. Wolf. Prepared for US DOE/EERE. June 2008; Impact Evaluation Framework for Technology Deployment Programs. Sandia National Laboratories. Prepared for US DOE/EERE. July 2007; and Prospective Evaluation of Applied Energy Research and Development at DOE (Phase Two). National Research Council. The National Academies Press. 2007.</w:t>
      </w:r>
    </w:p>
  </w:footnote>
  <w:footnote w:id="179">
    <w:p w14:paraId="0B544F05"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Upheld in </w:t>
      </w:r>
      <w:hyperlink r:id="rId107" w:history="1">
        <w:r w:rsidRPr="00982769">
          <w:rPr>
            <w:rStyle w:val="Hyperlink"/>
            <w:rFonts w:ascii="Palatino Linotype" w:hAnsi="Palatino Linotype"/>
          </w:rPr>
          <w:t>D.24-12-074</w:t>
        </w:r>
      </w:hyperlink>
      <w:r w:rsidRPr="00982769">
        <w:rPr>
          <w:rFonts w:ascii="Palatino Linotype" w:hAnsi="Palatino Linotype"/>
        </w:rPr>
        <w:t xml:space="preserve"> at p. 327-330.</w:t>
      </w:r>
    </w:p>
  </w:footnote>
  <w:footnote w:id="180">
    <w:p w14:paraId="3C682E3C"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w:t>
      </w:r>
      <w:r w:rsidRPr="00982769">
        <w:rPr>
          <w:rFonts w:ascii="Palatino Linotype" w:hAnsi="Palatino Linotype"/>
        </w:rPr>
        <w:t>at p. 7.</w:t>
      </w:r>
    </w:p>
  </w:footnote>
  <w:footnote w:id="181">
    <w:p w14:paraId="03C28F37"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SoCalGas lists service lists notified on AL 6495-G-A at p. 8.</w:t>
      </w:r>
    </w:p>
  </w:footnote>
  <w:footnote w:id="182">
    <w:p w14:paraId="59FCD52B" w14:textId="77777777" w:rsidR="00860D16" w:rsidRPr="00CB5965"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 p. 8. </w:t>
      </w:r>
      <w:hyperlink r:id="rId108" w:history="1">
        <w:r w:rsidRPr="00982769">
          <w:rPr>
            <w:rStyle w:val="Hyperlink"/>
            <w:rFonts w:ascii="Palatino Linotype" w:hAnsi="Palatino Linotype"/>
            <w:bCs/>
          </w:rPr>
          <w:t>SoCalGas RD&amp;D 2024 Research Plan Public Workshop (April 28, 2025) Recording.</w:t>
        </w:r>
      </w:hyperlink>
    </w:p>
  </w:footnote>
  <w:footnote w:id="183">
    <w:p w14:paraId="538AC88F"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AL 6495-G-A at p. 8.</w:t>
      </w:r>
    </w:p>
  </w:footnote>
  <w:footnote w:id="184">
    <w:p w14:paraId="0E3CEC0C"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20, 23-24, 27-28, 31-32, 35, 38-39, 47, 52, 57-58, &amp; 62.</w:t>
      </w:r>
    </w:p>
  </w:footnote>
  <w:footnote w:id="185">
    <w:p w14:paraId="52383085"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Upheld in </w:t>
      </w:r>
      <w:hyperlink r:id="rId109" w:history="1">
        <w:r w:rsidRPr="00982769">
          <w:rPr>
            <w:rStyle w:val="Hyperlink"/>
            <w:rFonts w:ascii="Palatino Linotype" w:hAnsi="Palatino Linotype"/>
          </w:rPr>
          <w:t>D.24-12-074</w:t>
        </w:r>
      </w:hyperlink>
      <w:r w:rsidRPr="00982769">
        <w:rPr>
          <w:rFonts w:ascii="Palatino Linotype" w:hAnsi="Palatino Linotype"/>
        </w:rPr>
        <w:t xml:space="preserve"> at p. 327-330.</w:t>
      </w:r>
    </w:p>
  </w:footnote>
  <w:footnote w:id="186">
    <w:p w14:paraId="50AA45F1"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w:t>
      </w:r>
      <w:hyperlink r:id="rId110">
        <w:r w:rsidRPr="00982769">
          <w:rPr>
            <w:rStyle w:val="Hyperlink"/>
            <w:rFonts w:ascii="Palatino Linotype" w:hAnsi="Palatino Linotype"/>
          </w:rPr>
          <w:t>SoCalGas’ 2024 Annual Gas RD&amp;D Report</w:t>
        </w:r>
      </w:hyperlink>
      <w:r w:rsidRPr="00982769">
        <w:rPr>
          <w:rFonts w:ascii="Palatino Linotype" w:hAnsi="Palatino Linotype"/>
        </w:rPr>
        <w:t>.</w:t>
      </w:r>
    </w:p>
  </w:footnote>
  <w:footnote w:id="187">
    <w:p w14:paraId="2F4A1069"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Upheld in </w:t>
      </w:r>
      <w:hyperlink r:id="rId111" w:history="1">
        <w:r w:rsidRPr="00982769">
          <w:rPr>
            <w:rStyle w:val="Hyperlink"/>
            <w:rFonts w:ascii="Palatino Linotype" w:hAnsi="Palatino Linotype"/>
          </w:rPr>
          <w:t>D.24-12-074</w:t>
        </w:r>
      </w:hyperlink>
      <w:r w:rsidRPr="00982769">
        <w:rPr>
          <w:rFonts w:ascii="Palatino Linotype" w:hAnsi="Palatino Linotype"/>
        </w:rPr>
        <w:t xml:space="preserve"> at p. 327-330.</w:t>
      </w:r>
    </w:p>
  </w:footnote>
  <w:footnote w:id="188">
    <w:p w14:paraId="47644829"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w:t>
      </w:r>
      <w:hyperlink r:id="rId112" w:history="1">
        <w:r w:rsidRPr="00982769">
          <w:rPr>
            <w:rStyle w:val="Hyperlink"/>
            <w:rFonts w:ascii="Palatino Linotype" w:hAnsi="Palatino Linotype"/>
          </w:rPr>
          <w:t>D.24-12-074</w:t>
        </w:r>
      </w:hyperlink>
      <w:r w:rsidRPr="00982769">
        <w:rPr>
          <w:rFonts w:ascii="Palatino Linotype" w:hAnsi="Palatino Linotype"/>
        </w:rPr>
        <w:t xml:space="preserve"> at p. 21-24, 327-330, 895, &amp; 901; FOF 110; &amp; COL 305. See Resolution G-3624 </w:t>
      </w:r>
      <w:r w:rsidRPr="00982769">
        <w:rPr>
          <w:rFonts w:ascii="Palatino Linotype" w:hAnsi="Palatino Linotype"/>
        </w:rPr>
        <w:t>at p. 4-5.</w:t>
      </w:r>
    </w:p>
  </w:footnote>
  <w:footnote w:id="189">
    <w:p w14:paraId="6D3139B0"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 p. 6 &amp; Attachment A at p. 9.</w:t>
      </w:r>
    </w:p>
  </w:footnote>
  <w:footnote w:id="190">
    <w:p w14:paraId="147F0B41" w14:textId="77777777" w:rsidR="00860D16" w:rsidRPr="00347B5B"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AL 6495-G-A Attachment A at p. 19, 23, 26-27, 30-31, 34, 37-38, 46, 51, 57, &amp; 61.</w:t>
      </w:r>
    </w:p>
  </w:footnote>
  <w:footnote w:id="191">
    <w:p w14:paraId="68DF68E5" w14:textId="77777777" w:rsidR="00860D16" w:rsidRPr="00347B5B" w:rsidRDefault="00860D16" w:rsidP="00860D16">
      <w:pPr>
        <w:pStyle w:val="FootnoteText"/>
        <w:rPr>
          <w:rFonts w:ascii="Palatino Linotype" w:hAnsi="Palatino Linotype"/>
        </w:rPr>
      </w:pPr>
      <w:r w:rsidRPr="00347B5B">
        <w:rPr>
          <w:rStyle w:val="FootnoteReference"/>
          <w:rFonts w:ascii="Palatino Linotype" w:hAnsi="Palatino Linotype"/>
        </w:rPr>
        <w:footnoteRef/>
      </w:r>
      <w:r w:rsidRPr="00347B5B">
        <w:rPr>
          <w:rFonts w:ascii="Palatino Linotype" w:hAnsi="Palatino Linotype"/>
        </w:rPr>
        <w:t xml:space="preserve"> </w:t>
      </w:r>
      <w:r w:rsidRPr="00F95C47">
        <w:rPr>
          <w:rFonts w:ascii="Palatino Linotype" w:hAnsi="Palatino Linotype"/>
          <w:color w:val="000000" w:themeColor="text1"/>
        </w:rPr>
        <w:t xml:space="preserve">AL 6495-G-A </w:t>
      </w:r>
      <w:r w:rsidRPr="00F95C47">
        <w:rPr>
          <w:rFonts w:ascii="Palatino Linotype" w:hAnsi="Palatino Linotype"/>
          <w:bCs/>
          <w:color w:val="000000" w:themeColor="text1"/>
        </w:rPr>
        <w:t>Attachment A at p. 55.</w:t>
      </w:r>
    </w:p>
  </w:footnote>
  <w:footnote w:id="192">
    <w:p w14:paraId="5DC80071" w14:textId="77777777" w:rsidR="00860D16" w:rsidRPr="00347B5B" w:rsidRDefault="00860D16" w:rsidP="00860D16">
      <w:pPr>
        <w:pStyle w:val="FootnoteText"/>
        <w:rPr>
          <w:rFonts w:ascii="Palatino Linotype" w:hAnsi="Palatino Linotype"/>
        </w:rPr>
      </w:pPr>
      <w:r w:rsidRPr="00347B5B">
        <w:rPr>
          <w:rStyle w:val="FootnoteReference"/>
          <w:rFonts w:ascii="Palatino Linotype" w:hAnsi="Palatino Linotype"/>
        </w:rPr>
        <w:footnoteRef/>
      </w:r>
      <w:r w:rsidRPr="00347B5B">
        <w:rPr>
          <w:rFonts w:ascii="Palatino Linotype" w:hAnsi="Palatino Linotype"/>
        </w:rPr>
        <w:t xml:space="preserve"> </w:t>
      </w:r>
      <w:r w:rsidRPr="00F95C47">
        <w:rPr>
          <w:rFonts w:ascii="Palatino Linotype" w:hAnsi="Palatino Linotype"/>
        </w:rPr>
        <w:t>AL 6495-G-A Attachment A at p. 8.</w:t>
      </w:r>
    </w:p>
  </w:footnote>
  <w:footnote w:id="193">
    <w:p w14:paraId="5CC5D46D" w14:textId="77777777" w:rsidR="00860D16" w:rsidRPr="00F95C47"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Cite: “In addition to the requirements outlined in D.19-09-051 (SoCalGas’ TY 2019 GRC decision), the CPUC provided guidance in 2022 for future RD&amp;D Research Plans in OP 5 of Resolution G-3586. The CPUC recognized in Resolution G-3586 that SoCalGas’s research project activity can span multiple years, with some project funding already contracted and spent as the subsequent year research plan is being considered. Resolution G-3586 authorized SoCalGas to record in the one-way RDDEA balancing account expenses for multi-year projects approved and contracted prior to the Resolution.”</w:t>
      </w:r>
    </w:p>
  </w:footnote>
  <w:footnote w:id="194">
    <w:p w14:paraId="2C735096" w14:textId="77777777" w:rsidR="00860D16" w:rsidRPr="00F95C47"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AL 6495-G-A Attachment A at p. 8.  </w:t>
      </w:r>
    </w:p>
  </w:footnote>
  <w:footnote w:id="195">
    <w:p w14:paraId="5EE74F0D" w14:textId="77777777" w:rsidR="00860D16" w:rsidRPr="00F95C47"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AL 6495-G-A Attachment A at p. 37.</w:t>
      </w:r>
    </w:p>
  </w:footnote>
  <w:footnote w:id="196">
    <w:p w14:paraId="6AD08747" w14:textId="77777777" w:rsidR="00860D16" w:rsidRPr="00347B5B"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AL 6495-G-A at p. 13.</w:t>
      </w:r>
    </w:p>
  </w:footnote>
  <w:footnote w:id="197">
    <w:p w14:paraId="5CE29BAA" w14:textId="50ED07C6" w:rsidR="00860D16" w:rsidRPr="00F95C47"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w:t>
      </w:r>
      <w:r w:rsidR="00670F74" w:rsidRPr="00F95C47">
        <w:rPr>
          <w:rFonts w:ascii="Palatino Linotype" w:hAnsi="Palatino Linotype"/>
        </w:rPr>
        <w:t xml:space="preserve">See </w:t>
      </w:r>
      <w:r w:rsidR="00BA6A9E" w:rsidRPr="00F95C47">
        <w:rPr>
          <w:rFonts w:ascii="Palatino Linotype" w:hAnsi="Palatino Linotype"/>
        </w:rPr>
        <w:t xml:space="preserve">also: </w:t>
      </w:r>
      <w:hyperlink r:id="rId113" w:tgtFrame="_blank" w:history="1">
        <w:r w:rsidR="00670F74" w:rsidRPr="00F95C47">
          <w:rPr>
            <w:rStyle w:val="Hyperlink"/>
            <w:rFonts w:ascii="Palatino Linotype" w:hAnsi="Palatino Linotype"/>
          </w:rPr>
          <w:t>Resolution G-3618</w:t>
        </w:r>
      </w:hyperlink>
      <w:r w:rsidR="00670F74" w:rsidRPr="00F95C47">
        <w:rPr>
          <w:rFonts w:ascii="Palatino Linotype" w:hAnsi="Palatino Linotype"/>
        </w:rPr>
        <w:t xml:space="preserve"> (2026)</w:t>
      </w:r>
      <w:r w:rsidR="00DA1CFF" w:rsidRPr="00F95C47">
        <w:rPr>
          <w:rFonts w:ascii="Palatino Linotype" w:hAnsi="Palatino Linotype"/>
        </w:rPr>
        <w:t xml:space="preserve"> at</w:t>
      </w:r>
      <w:r w:rsidR="00670F74" w:rsidRPr="00F95C47">
        <w:rPr>
          <w:rFonts w:ascii="Palatino Linotype" w:hAnsi="Palatino Linotype"/>
        </w:rPr>
        <w:t xml:space="preserve"> p. 16 &amp; 18</w:t>
      </w:r>
      <w:r w:rsidR="00DA1CFF" w:rsidRPr="00F95C47">
        <w:rPr>
          <w:rFonts w:ascii="Palatino Linotype" w:hAnsi="Palatino Linotype"/>
        </w:rPr>
        <w:t xml:space="preserve">; </w:t>
      </w:r>
      <w:hyperlink r:id="rId114" w:tgtFrame="_blank" w:history="1">
        <w:r w:rsidR="00ED6A2D" w:rsidRPr="00F95C47">
          <w:rPr>
            <w:rStyle w:val="Hyperlink"/>
            <w:rFonts w:ascii="Palatino Linotype" w:hAnsi="Palatino Linotype"/>
          </w:rPr>
          <w:t>Resolution G-3623</w:t>
        </w:r>
      </w:hyperlink>
      <w:r w:rsidR="00ED6A2D" w:rsidRPr="00F95C47">
        <w:rPr>
          <w:rFonts w:ascii="Palatino Linotype" w:hAnsi="Palatino Linotype"/>
        </w:rPr>
        <w:t xml:space="preserve"> (2026) at p. 28 &amp; FOF 3b.</w:t>
      </w:r>
    </w:p>
  </w:footnote>
  <w:footnote w:id="198">
    <w:p w14:paraId="7C7A9FBF" w14:textId="77777777" w:rsidR="00860D16" w:rsidRPr="00F95C47"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w:t>
      </w:r>
      <w:hyperlink r:id="rId115" w:tgtFrame="_blank" w:history="1">
        <w:r w:rsidRPr="00F95C47">
          <w:rPr>
            <w:rStyle w:val="Hyperlink"/>
            <w:rFonts w:ascii="Palatino Linotype" w:hAnsi="Palatino Linotype"/>
          </w:rPr>
          <w:t>Resolution G-3573</w:t>
        </w:r>
      </w:hyperlink>
      <w:r w:rsidRPr="00F95C47">
        <w:rPr>
          <w:rFonts w:ascii="Palatino Linotype" w:hAnsi="Palatino Linotype"/>
        </w:rPr>
        <w:t xml:space="preserve"> (2021): Addressing SoCalGas’ 2021 Gas RD&amp;D Plan.</w:t>
      </w:r>
    </w:p>
  </w:footnote>
  <w:footnote w:id="199">
    <w:p w14:paraId="074F5E2C" w14:textId="77777777" w:rsidR="00860D16" w:rsidRPr="003D4765" w:rsidRDefault="00860D16" w:rsidP="00860D16">
      <w:pPr>
        <w:pStyle w:val="FootnoteText"/>
        <w:rPr>
          <w:rFonts w:ascii="Palatino Linotype" w:hAnsi="Palatino Linotype"/>
        </w:rPr>
      </w:pPr>
      <w:r w:rsidRPr="00F95C47">
        <w:rPr>
          <w:rStyle w:val="FootnoteReference"/>
          <w:rFonts w:ascii="Palatino Linotype" w:hAnsi="Palatino Linotype"/>
        </w:rPr>
        <w:footnoteRef/>
      </w:r>
      <w:r w:rsidRPr="00F95C47">
        <w:rPr>
          <w:rFonts w:ascii="Palatino Linotype" w:hAnsi="Palatino Linotype"/>
        </w:rPr>
        <w:t xml:space="preserve"> </w:t>
      </w:r>
      <w:hyperlink r:id="rId116" w:tgtFrame="_blank" w:history="1">
        <w:r w:rsidRPr="00F95C47">
          <w:rPr>
            <w:rStyle w:val="Hyperlink"/>
            <w:rFonts w:ascii="Palatino Linotype" w:hAnsi="Palatino Linotype"/>
          </w:rPr>
          <w:t>D.19-09-051</w:t>
        </w:r>
      </w:hyperlink>
      <w:r w:rsidRPr="00F95C47">
        <w:rPr>
          <w:rFonts w:ascii="Palatino Linotype" w:hAnsi="Palatino Linotype"/>
        </w:rPr>
        <w:t xml:space="preserve"> at p. 379 &amp; OP 68. Cited in </w:t>
      </w:r>
      <w:hyperlink r:id="rId117" w:tgtFrame="_blank" w:history="1">
        <w:r w:rsidRPr="00F95C47">
          <w:rPr>
            <w:rStyle w:val="Hyperlink"/>
            <w:rFonts w:ascii="Palatino Linotype" w:hAnsi="Palatino Linotype"/>
          </w:rPr>
          <w:t>Resolution G-3586</w:t>
        </w:r>
      </w:hyperlink>
      <w:r w:rsidRPr="00F95C47">
        <w:rPr>
          <w:rFonts w:ascii="Palatino Linotype" w:hAnsi="Palatino Linotype"/>
        </w:rPr>
        <w:t xml:space="preserve"> (2022) at p. 7. See also: </w:t>
      </w:r>
      <w:hyperlink r:id="rId118" w:tgtFrame="_blank" w:history="1">
        <w:r w:rsidRPr="00F95C47">
          <w:rPr>
            <w:rStyle w:val="Hyperlink"/>
            <w:rFonts w:ascii="Palatino Linotype" w:hAnsi="Palatino Linotype"/>
          </w:rPr>
          <w:t>Resolution G-3601</w:t>
        </w:r>
      </w:hyperlink>
      <w:r w:rsidRPr="00F95C47">
        <w:rPr>
          <w:rFonts w:ascii="Palatino Linotype" w:hAnsi="Palatino Linotype"/>
        </w:rPr>
        <w:t xml:space="preserve"> (2023) at p. 1 &amp; OP 7 authorized SoCalGas to continue spending from an approved Plan in subsequent years until the end of the GRC cycle, with any unspent funds returned to ratepayers.</w:t>
      </w:r>
    </w:p>
  </w:footnote>
  <w:footnote w:id="200">
    <w:p w14:paraId="0ADC7429" w14:textId="77777777" w:rsidR="00860D16" w:rsidRPr="000D00C1" w:rsidRDefault="00860D16" w:rsidP="00860D16">
      <w:pPr>
        <w:pStyle w:val="FootnoteText"/>
        <w:rPr>
          <w:rFonts w:ascii="Palatino Linotype" w:hAnsi="Palatino Linotype"/>
        </w:rPr>
      </w:pPr>
      <w:r w:rsidRPr="000D00C1">
        <w:rPr>
          <w:rStyle w:val="FootnoteReference"/>
          <w:rFonts w:ascii="Palatino Linotype" w:hAnsi="Palatino Linotype"/>
        </w:rPr>
        <w:footnoteRef/>
      </w:r>
      <w:r w:rsidRPr="000D00C1">
        <w:rPr>
          <w:rFonts w:ascii="Palatino Linotype" w:hAnsi="Palatino Linotype"/>
        </w:rPr>
        <w:t xml:space="preserve"> </w:t>
      </w:r>
      <w:hyperlink r:id="rId119" w:tgtFrame="_blank" w:history="1">
        <w:r w:rsidRPr="000D00C1">
          <w:rPr>
            <w:rStyle w:val="Hyperlink"/>
            <w:rFonts w:ascii="Palatino Linotype" w:hAnsi="Palatino Linotype"/>
          </w:rPr>
          <w:t>D.19-09-051</w:t>
        </w:r>
      </w:hyperlink>
      <w:r w:rsidRPr="000D00C1">
        <w:rPr>
          <w:rFonts w:ascii="Palatino Linotype" w:hAnsi="Palatino Linotype"/>
        </w:rPr>
        <w:t xml:space="preserve"> at p. 377-378.</w:t>
      </w:r>
    </w:p>
  </w:footnote>
  <w:footnote w:id="201">
    <w:p w14:paraId="139EA497"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w:t>
      </w:r>
      <w:r w:rsidRPr="00982769">
        <w:rPr>
          <w:rFonts w:ascii="Palatino Linotype" w:hAnsi="Palatino Linotype"/>
        </w:rPr>
        <w:t>at p. 6.</w:t>
      </w:r>
    </w:p>
  </w:footnote>
  <w:footnote w:id="202">
    <w:p w14:paraId="481CEA34"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14.</w:t>
      </w:r>
    </w:p>
  </w:footnote>
  <w:footnote w:id="203">
    <w:p w14:paraId="1851B352"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41.</w:t>
      </w:r>
    </w:p>
  </w:footnote>
  <w:footnote w:id="204">
    <w:p w14:paraId="11590FE2"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Appendix 2: Project Selection Process.</w:t>
      </w:r>
    </w:p>
  </w:footnote>
  <w:footnote w:id="205">
    <w:p w14:paraId="20C30255"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65.</w:t>
      </w:r>
    </w:p>
  </w:footnote>
  <w:footnote w:id="206">
    <w:p w14:paraId="743D3750"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10-11, 21, 24-25, 28, 32-33, 36, 39-40, </w:t>
      </w:r>
      <w:r w:rsidRPr="00982769">
        <w:rPr>
          <w:rFonts w:ascii="Palatino Linotype" w:hAnsi="Palatino Linotype"/>
        </w:rPr>
        <w:t>48, 53, 58-59, &amp; 62-63.</w:t>
      </w:r>
    </w:p>
  </w:footnote>
  <w:footnote w:id="207">
    <w:p w14:paraId="6B80005B"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79-80 &amp; </w:t>
      </w:r>
      <w:r w:rsidRPr="00982769">
        <w:rPr>
          <w:rFonts w:ascii="Palatino Linotype" w:eastAsia="Palatino Linotype" w:hAnsi="Palatino Linotype" w:cs="Times New Roman"/>
          <w:bCs/>
          <w:color w:val="000000" w:themeColor="text1"/>
          <w:kern w:val="0"/>
          <w14:ligatures w14:val="none"/>
        </w:rPr>
        <w:t>Section 6.4. Appendix 4 – Project Details.</w:t>
      </w:r>
    </w:p>
  </w:footnote>
  <w:footnote w:id="208">
    <w:p w14:paraId="289A8C7C"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See Resolution </w:t>
      </w:r>
      <w:r w:rsidRPr="00982769">
        <w:rPr>
          <w:rFonts w:ascii="Palatino Linotype" w:eastAsia="Times New Roman" w:hAnsi="Palatino Linotype" w:cs="Times New Roman"/>
          <w:kern w:val="0"/>
          <w14:ligatures w14:val="none"/>
        </w:rPr>
        <w:t xml:space="preserve">G-3624 </w:t>
      </w:r>
      <w:r w:rsidRPr="00982769">
        <w:rPr>
          <w:rFonts w:ascii="Palatino Linotype" w:hAnsi="Palatino Linotype"/>
        </w:rPr>
        <w:t xml:space="preserve">at Appendix </w:t>
      </w:r>
      <w:r w:rsidRPr="00982769">
        <w:rPr>
          <w:rFonts w:ascii="Palatino Linotype" w:hAnsi="Palatino Linotype"/>
          <w:color w:val="000000" w:themeColor="text1"/>
        </w:rPr>
        <w:t xml:space="preserve">C: Administrative </w:t>
      </w:r>
      <w:r w:rsidRPr="00982769">
        <w:rPr>
          <w:rFonts w:ascii="Palatino Linotype" w:hAnsi="Palatino Linotype"/>
        </w:rPr>
        <w:t>Budget Cost Categories.</w:t>
      </w:r>
    </w:p>
  </w:footnote>
  <w:footnote w:id="209">
    <w:p w14:paraId="4C0C3A67"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 p. 6 &amp; Attachment A at p. 9-10.</w:t>
      </w:r>
    </w:p>
  </w:footnote>
  <w:footnote w:id="210">
    <w:p w14:paraId="0C295498"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10.</w:t>
      </w:r>
    </w:p>
  </w:footnote>
  <w:footnote w:id="211">
    <w:p w14:paraId="289EF029"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Appendix 8: Program Administration Categorization.</w:t>
      </w:r>
    </w:p>
  </w:footnote>
  <w:footnote w:id="212">
    <w:p w14:paraId="74701D6C"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w:t>
      </w:r>
      <w:r w:rsidRPr="00982769">
        <w:rPr>
          <w:rFonts w:ascii="Palatino Linotype" w:hAnsi="Palatino Linotype"/>
        </w:rPr>
        <w:t>at p. 12.</w:t>
      </w:r>
    </w:p>
  </w:footnote>
  <w:footnote w:id="213">
    <w:p w14:paraId="0C25B1D9"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 p. 6 &amp; Attachment A at p. 9 &amp; 11-12.</w:t>
      </w:r>
    </w:p>
  </w:footnote>
  <w:footnote w:id="214">
    <w:p w14:paraId="1D247DD1"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 p. 6 &amp; Attachment A at p. 9 &amp; 11-12.</w:t>
      </w:r>
    </w:p>
  </w:footnote>
  <w:footnote w:id="215">
    <w:p w14:paraId="1BFB864E"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79.</w:t>
      </w:r>
    </w:p>
  </w:footnote>
  <w:footnote w:id="216">
    <w:p w14:paraId="1B5C2DD6"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20, 23-24, 27-28, 31-32, 35-36, 38-39, 47-48, 52-53, 57-58, &amp; 62.</w:t>
      </w:r>
    </w:p>
  </w:footnote>
  <w:footnote w:id="217">
    <w:p w14:paraId="3A5739DE"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64-65 &amp; 68-71.</w:t>
      </w:r>
    </w:p>
  </w:footnote>
  <w:footnote w:id="218">
    <w:p w14:paraId="3F53CC4B"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 p. 9.</w:t>
      </w:r>
    </w:p>
  </w:footnote>
  <w:footnote w:id="219">
    <w:p w14:paraId="0CD14080"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66.</w:t>
      </w:r>
    </w:p>
  </w:footnote>
  <w:footnote w:id="220">
    <w:p w14:paraId="52A42D84"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AL 6495-G-A at p. 5-6.</w:t>
      </w:r>
    </w:p>
  </w:footnote>
  <w:footnote w:id="221">
    <w:p w14:paraId="7F72F193"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 xml:space="preserve">AL 6495-G-A </w:t>
      </w:r>
      <w:r w:rsidRPr="00982769">
        <w:rPr>
          <w:rFonts w:ascii="Palatino Linotype" w:hAnsi="Palatino Linotype"/>
          <w:bCs/>
          <w:color w:val="000000" w:themeColor="text1"/>
        </w:rPr>
        <w:t>Attachment A at p. 14-16, 19-20, 23, 27, 31, 34-35, 38, 41-42, 46-47, 51-52, 57, &amp; 61-62.</w:t>
      </w:r>
    </w:p>
  </w:footnote>
  <w:footnote w:id="222">
    <w:p w14:paraId="77AA7F52"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AL 6495-G-A at p. 9.</w:t>
      </w:r>
    </w:p>
  </w:footnote>
  <w:footnote w:id="223">
    <w:p w14:paraId="62E374C8"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 xml:space="preserve">AL 6495-G-A </w:t>
      </w:r>
      <w:r w:rsidRPr="00982769">
        <w:rPr>
          <w:rFonts w:ascii="Palatino Linotype" w:hAnsi="Palatino Linotype"/>
          <w:bCs/>
          <w:color w:val="000000" w:themeColor="text1"/>
        </w:rPr>
        <w:t>Attachment A at p. 31 &amp; 67.</w:t>
      </w:r>
    </w:p>
  </w:footnote>
  <w:footnote w:id="224">
    <w:p w14:paraId="4B041092" w14:textId="77777777" w:rsidR="00860D16" w:rsidRPr="00982769" w:rsidRDefault="00860D16" w:rsidP="00860D16">
      <w:pPr>
        <w:pStyle w:val="FootnoteText"/>
        <w:rPr>
          <w:rFonts w:ascii="Palatino Linotype" w:hAnsi="Palatino Linotype"/>
          <w:color w:val="000000" w:themeColor="text1"/>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 xml:space="preserve">AL 6495-G-A </w:t>
      </w:r>
      <w:r w:rsidRPr="00982769">
        <w:rPr>
          <w:rFonts w:ascii="Palatino Linotype" w:hAnsi="Palatino Linotype"/>
          <w:bCs/>
          <w:color w:val="000000" w:themeColor="text1"/>
        </w:rPr>
        <w:t xml:space="preserve">Attachment A </w:t>
      </w:r>
      <w:r w:rsidRPr="00982769">
        <w:rPr>
          <w:rFonts w:ascii="Palatino Linotype" w:hAnsi="Palatino Linotype"/>
          <w:bCs/>
          <w:color w:val="000000" w:themeColor="text1"/>
        </w:rPr>
        <w:t>at p. 35</w:t>
      </w:r>
      <w:r w:rsidRPr="00982769">
        <w:rPr>
          <w:rFonts w:ascii="Palatino Linotype" w:hAnsi="Palatino Linotype"/>
          <w:color w:val="000000" w:themeColor="text1"/>
        </w:rPr>
        <w:t xml:space="preserve"> &amp; 47</w:t>
      </w:r>
      <w:r w:rsidRPr="00982769">
        <w:rPr>
          <w:rFonts w:ascii="Palatino Linotype" w:hAnsi="Palatino Linotype"/>
          <w:bCs/>
          <w:color w:val="000000" w:themeColor="text1"/>
        </w:rPr>
        <w:t>.</w:t>
      </w:r>
    </w:p>
  </w:footnote>
  <w:footnote w:id="225">
    <w:p w14:paraId="75FC8ACD"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 xml:space="preserve">AL 6495-G-A </w:t>
      </w:r>
      <w:r w:rsidRPr="00982769">
        <w:rPr>
          <w:rFonts w:ascii="Palatino Linotype" w:hAnsi="Palatino Linotype"/>
          <w:bCs/>
          <w:color w:val="000000" w:themeColor="text1"/>
        </w:rPr>
        <w:t>Attachment A at p. 38.</w:t>
      </w:r>
    </w:p>
  </w:footnote>
  <w:footnote w:id="226">
    <w:p w14:paraId="7465CB89"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w:t>
      </w:r>
      <w:r w:rsidRPr="00982769">
        <w:rPr>
          <w:rFonts w:ascii="Palatino Linotype" w:hAnsi="Palatino Linotype"/>
          <w:color w:val="000000" w:themeColor="text1"/>
        </w:rPr>
        <w:t>AL 6495-G-A Attachment A at p. 43.</w:t>
      </w:r>
    </w:p>
  </w:footnote>
  <w:footnote w:id="227">
    <w:p w14:paraId="003E4AB9" w14:textId="77777777" w:rsidR="00860D16" w:rsidRDefault="00860D16" w:rsidP="00860D16">
      <w:pPr>
        <w:pStyle w:val="FootnoteText"/>
      </w:pPr>
      <w:r>
        <w:rPr>
          <w:rStyle w:val="FootnoteReference"/>
        </w:rPr>
        <w:footnoteRef/>
      </w:r>
      <w:r>
        <w:t xml:space="preserve"> </w:t>
      </w:r>
      <w:r w:rsidRPr="008B779A">
        <w:rPr>
          <w:rFonts w:ascii="Palatino Linotype" w:hAnsi="Palatino Linotype"/>
          <w:color w:val="000000" w:themeColor="text1"/>
        </w:rPr>
        <w:t xml:space="preserve">AL 6495-G-A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43.</w:t>
      </w:r>
    </w:p>
  </w:footnote>
  <w:footnote w:id="228">
    <w:p w14:paraId="70C549BC" w14:textId="77777777" w:rsidR="00860D16" w:rsidRDefault="00860D16" w:rsidP="00860D16">
      <w:pPr>
        <w:pStyle w:val="FootnoteText"/>
      </w:pPr>
      <w:r>
        <w:rPr>
          <w:rStyle w:val="FootnoteReference"/>
        </w:rPr>
        <w:footnoteRef/>
      </w:r>
      <w:r>
        <w:t xml:space="preserve"> </w:t>
      </w:r>
      <w:r w:rsidRPr="008B779A">
        <w:rPr>
          <w:rFonts w:ascii="Palatino Linotype" w:hAnsi="Palatino Linotype"/>
          <w:color w:val="000000" w:themeColor="text1"/>
        </w:rPr>
        <w:t xml:space="preserve">AL 6495-G-A </w:t>
      </w:r>
      <w:r w:rsidRPr="008B779A">
        <w:rPr>
          <w:rFonts w:ascii="Palatino Linotype" w:hAnsi="Palatino Linotype"/>
          <w:bCs/>
          <w:color w:val="000000" w:themeColor="text1"/>
        </w:rPr>
        <w:t xml:space="preserve">Attachment A </w:t>
      </w:r>
      <w:r w:rsidRPr="008B779A">
        <w:rPr>
          <w:rFonts w:ascii="Palatino Linotype" w:hAnsi="Palatino Linotype"/>
          <w:bCs/>
          <w:color w:val="000000" w:themeColor="text1"/>
        </w:rPr>
        <w:t>at p.</w:t>
      </w:r>
      <w:r>
        <w:rPr>
          <w:rFonts w:ascii="Palatino Linotype" w:hAnsi="Palatino Linotype"/>
          <w:bCs/>
          <w:color w:val="000000" w:themeColor="text1"/>
        </w:rPr>
        <w:t xml:space="preserve"> 54.</w:t>
      </w:r>
    </w:p>
  </w:footnote>
  <w:footnote w:id="229">
    <w:p w14:paraId="5BAAA9C8"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82. See also AL 6495-G-A Attachment A </w:t>
      </w:r>
      <w:r w:rsidRPr="00982769">
        <w:rPr>
          <w:rFonts w:ascii="Palatino Linotype" w:hAnsi="Palatino Linotype"/>
        </w:rPr>
        <w:t>at p. 82-88.</w:t>
      </w:r>
    </w:p>
  </w:footnote>
  <w:footnote w:id="230">
    <w:p w14:paraId="3D4048E1"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83.</w:t>
      </w:r>
    </w:p>
  </w:footnote>
  <w:footnote w:id="231">
    <w:p w14:paraId="6638B6CE"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84.</w:t>
      </w:r>
    </w:p>
  </w:footnote>
  <w:footnote w:id="232">
    <w:p w14:paraId="28C9D939"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20, 23-24, 27-28, 31-32, 35-36, 38-39, 47-48, 52-53, 57-58, 62, &amp; 68-71.</w:t>
      </w:r>
    </w:p>
  </w:footnote>
  <w:footnote w:id="233">
    <w:p w14:paraId="629F381F"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64-65 &amp; 68-71.</w:t>
      </w:r>
    </w:p>
  </w:footnote>
  <w:footnote w:id="234">
    <w:p w14:paraId="1138E3FE"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71-72.</w:t>
      </w:r>
    </w:p>
  </w:footnote>
  <w:footnote w:id="235">
    <w:p w14:paraId="4E8F3BDF"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32. </w:t>
      </w:r>
    </w:p>
  </w:footnote>
  <w:footnote w:id="236">
    <w:p w14:paraId="67F8C77B"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Appendix 5: Summary of Stakeholder Input from Annual Outreach Campaign.</w:t>
      </w:r>
    </w:p>
  </w:footnote>
  <w:footnote w:id="237">
    <w:p w14:paraId="4E09A1FC"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35. </w:t>
      </w:r>
    </w:p>
  </w:footnote>
  <w:footnote w:id="238">
    <w:p w14:paraId="62981464"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38-39.</w:t>
      </w:r>
    </w:p>
  </w:footnote>
  <w:footnote w:id="239">
    <w:p w14:paraId="7F5323FB"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47.</w:t>
      </w:r>
    </w:p>
  </w:footnote>
  <w:footnote w:id="240">
    <w:p w14:paraId="3398445A"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52 &amp; 58.</w:t>
      </w:r>
    </w:p>
  </w:footnote>
  <w:footnote w:id="241">
    <w:p w14:paraId="73830762"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62.</w:t>
      </w:r>
    </w:p>
  </w:footnote>
  <w:footnote w:id="242">
    <w:p w14:paraId="04BF40E1"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See Resolution </w:t>
      </w:r>
      <w:r w:rsidRPr="00982769">
        <w:rPr>
          <w:rFonts w:ascii="Palatino Linotype" w:eastAsia="Times New Roman" w:hAnsi="Palatino Linotype" w:cs="Times New Roman"/>
          <w:kern w:val="0"/>
          <w14:ligatures w14:val="none"/>
        </w:rPr>
        <w:t xml:space="preserve">G-3624 </w:t>
      </w:r>
      <w:r w:rsidRPr="00982769">
        <w:rPr>
          <w:rFonts w:ascii="Palatino Linotype" w:hAnsi="Palatino Linotype"/>
        </w:rPr>
        <w:t>at Appendix F: EPIC Foundational Principles for the Development of a Uniform Impact Analysis Framework.</w:t>
      </w:r>
    </w:p>
  </w:footnote>
  <w:footnote w:id="243">
    <w:p w14:paraId="38289808"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80-81.</w:t>
      </w:r>
    </w:p>
  </w:footnote>
  <w:footnote w:id="244">
    <w:p w14:paraId="085D4FC3"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 p. 8-9 &amp; Attachment A at p. 19, 23, 26-27, 30-31, 34, 37-38, 46, 51, 57, &amp; 61.</w:t>
      </w:r>
    </w:p>
  </w:footnote>
  <w:footnote w:id="245">
    <w:p w14:paraId="7EC9B20B"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21, 24, 28, 32, 36, 39, 48, 53, 58, &amp; 62.</w:t>
      </w:r>
    </w:p>
  </w:footnote>
  <w:footnote w:id="246">
    <w:p w14:paraId="1AC057C5"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w:t>
      </w:r>
      <w:hyperlink r:id="rId120" w:history="1">
        <w:r w:rsidRPr="00982769">
          <w:rPr>
            <w:rStyle w:val="Hyperlink"/>
            <w:rFonts w:ascii="Palatino Linotype" w:hAnsi="Palatino Linotype"/>
            <w:bCs/>
          </w:rPr>
          <w:t>Resolution G-3601</w:t>
        </w:r>
      </w:hyperlink>
      <w:r w:rsidRPr="00982769">
        <w:rPr>
          <w:rFonts w:ascii="Palatino Linotype" w:hAnsi="Palatino Linotype"/>
          <w:bCs/>
          <w:color w:val="000000" w:themeColor="text1"/>
        </w:rPr>
        <w:t xml:space="preserve"> (2023) at p. 18.</w:t>
      </w:r>
    </w:p>
  </w:footnote>
  <w:footnote w:id="247">
    <w:p w14:paraId="5FF3D923"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Appendix 6.</w:t>
      </w:r>
    </w:p>
  </w:footnote>
  <w:footnote w:id="248">
    <w:p w14:paraId="28DDF2E0"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20, 24, 27, 31, &amp; 72.</w:t>
      </w:r>
    </w:p>
  </w:footnote>
  <w:footnote w:id="249">
    <w:p w14:paraId="65BB4913"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35, 38-39, &amp; 47.</w:t>
      </w:r>
    </w:p>
  </w:footnote>
  <w:footnote w:id="250">
    <w:p w14:paraId="5CEF459A"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62.</w:t>
      </w:r>
    </w:p>
  </w:footnote>
  <w:footnote w:id="251">
    <w:p w14:paraId="624E0DC5"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w:t>
      </w:r>
      <w:r w:rsidRPr="00982769">
        <w:rPr>
          <w:rFonts w:ascii="Palatino Linotype" w:hAnsi="Palatino Linotype"/>
        </w:rPr>
        <w:t>at p. 72-73.</w:t>
      </w:r>
      <w:r w:rsidRPr="442217DA">
        <w:rPr>
          <w:rFonts w:ascii="Palatino Linotype" w:hAnsi="Palatino Linotype"/>
        </w:rPr>
        <w:t xml:space="preserve"> </w:t>
      </w:r>
    </w:p>
  </w:footnote>
  <w:footnote w:id="252">
    <w:p w14:paraId="67731CD3"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 p. 8. </w:t>
      </w:r>
      <w:hyperlink r:id="rId121" w:history="1">
        <w:r w:rsidRPr="00982769">
          <w:rPr>
            <w:rStyle w:val="Hyperlink"/>
            <w:rFonts w:ascii="Palatino Linotype" w:hAnsi="Palatino Linotype"/>
            <w:bCs/>
          </w:rPr>
          <w:t>SoCalGas RD&amp;D 2024 Research Plan Public Workshop (April 28, 2025) Recording.</w:t>
        </w:r>
      </w:hyperlink>
    </w:p>
  </w:footnote>
  <w:footnote w:id="253">
    <w:p w14:paraId="4625B7D3"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w:t>
      </w:r>
      <w:r w:rsidRPr="00982769">
        <w:rPr>
          <w:rFonts w:ascii="Palatino Linotype" w:hAnsi="Palatino Linotype"/>
        </w:rPr>
        <w:t>at p. 11.</w:t>
      </w:r>
    </w:p>
  </w:footnote>
  <w:footnote w:id="254">
    <w:p w14:paraId="3009E615"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20, 23-24, 27-28, 31-32, 35-36, 38-39, 47-48, 52-53, 57-58, &amp; 62.</w:t>
      </w:r>
    </w:p>
  </w:footnote>
  <w:footnote w:id="255">
    <w:p w14:paraId="06CC7199"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w:t>
      </w:r>
      <w:r w:rsidRPr="00982769">
        <w:rPr>
          <w:rFonts w:ascii="Palatino Linotype" w:hAnsi="Palatino Linotype"/>
        </w:rPr>
        <w:t>at p. 11.</w:t>
      </w:r>
    </w:p>
  </w:footnote>
  <w:footnote w:id="256">
    <w:p w14:paraId="6C2EB65F"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AL 6495-G-A Attachment A at p. 78.</w:t>
      </w:r>
    </w:p>
  </w:footnote>
  <w:footnote w:id="257">
    <w:p w14:paraId="571758C4"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20, 24, 28, 32, 35-36, 39, 47-48, 53, 58, &amp; 62.</w:t>
      </w:r>
    </w:p>
  </w:footnote>
  <w:footnote w:id="258">
    <w:p w14:paraId="35B53397"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11.</w:t>
      </w:r>
    </w:p>
  </w:footnote>
  <w:footnote w:id="259">
    <w:p w14:paraId="03890046"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w:t>
      </w:r>
      <w:r w:rsidRPr="00982769">
        <w:rPr>
          <w:rFonts w:ascii="Palatino Linotype" w:hAnsi="Palatino Linotype"/>
        </w:rPr>
        <w:t xml:space="preserve">p. 20 &amp; 24. </w:t>
      </w:r>
    </w:p>
  </w:footnote>
  <w:footnote w:id="260">
    <w:p w14:paraId="39DC3DCB"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28.</w:t>
      </w:r>
    </w:p>
  </w:footnote>
  <w:footnote w:id="261">
    <w:p w14:paraId="513B6FB5"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32.</w:t>
      </w:r>
    </w:p>
  </w:footnote>
  <w:footnote w:id="262">
    <w:p w14:paraId="70396039"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24.</w:t>
      </w:r>
    </w:p>
  </w:footnote>
  <w:footnote w:id="263">
    <w:p w14:paraId="642D5301"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28.</w:t>
      </w:r>
    </w:p>
  </w:footnote>
  <w:footnote w:id="264">
    <w:p w14:paraId="39D64792"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32.</w:t>
      </w:r>
    </w:p>
  </w:footnote>
  <w:footnote w:id="265">
    <w:p w14:paraId="6C848FB1"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28, 35, 39, 48, &amp; 53. </w:t>
      </w:r>
    </w:p>
  </w:footnote>
  <w:footnote w:id="266">
    <w:p w14:paraId="34896978"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28.</w:t>
      </w:r>
    </w:p>
  </w:footnote>
  <w:footnote w:id="267">
    <w:p w14:paraId="169FF74A"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32.</w:t>
      </w:r>
    </w:p>
  </w:footnote>
  <w:footnote w:id="268">
    <w:p w14:paraId="11DE8B6E"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17-18, 22, 26, 29-30, 33-34, 37, 44-45, 50-51, 55-56, &amp; 60. See also: AL 6496-G-A Attachment A at “Future Project Areas in 25 Research Plan” for each Initiative.</w:t>
      </w:r>
    </w:p>
  </w:footnote>
  <w:footnote w:id="269">
    <w:p w14:paraId="2197C19F"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p. 33.</w:t>
      </w:r>
    </w:p>
  </w:footnote>
  <w:footnote w:id="270">
    <w:p w14:paraId="55EBAF40"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6496-G-A Attachment A at p. 34.</w:t>
      </w:r>
    </w:p>
  </w:footnote>
  <w:footnote w:id="271">
    <w:p w14:paraId="4DAF16D2" w14:textId="77777777" w:rsidR="00860D16" w:rsidRPr="00982769" w:rsidRDefault="00860D16" w:rsidP="00860D16">
      <w:pPr>
        <w:pStyle w:val="FootnoteText"/>
        <w:rPr>
          <w:rFonts w:ascii="Palatino Linotype" w:hAnsi="Palatino Linotype"/>
        </w:rPr>
      </w:pPr>
      <w:r w:rsidRPr="00982769">
        <w:rPr>
          <w:rStyle w:val="FootnoteReference"/>
          <w:rFonts w:ascii="Palatino Linotype" w:hAnsi="Palatino Linotype"/>
        </w:rPr>
        <w:footnoteRef/>
      </w:r>
      <w:r w:rsidRPr="00982769">
        <w:rPr>
          <w:rFonts w:ascii="Palatino Linotype" w:hAnsi="Palatino Linotype"/>
        </w:rPr>
        <w:t xml:space="preserve"> AL 6495-G-A Attachment A at </w:t>
      </w:r>
      <w:r w:rsidRPr="00982769">
        <w:rPr>
          <w:rFonts w:ascii="Palatino Linotype" w:hAnsi="Palatino Linotype"/>
        </w:rPr>
        <w:t>p. 25.</w:t>
      </w:r>
    </w:p>
  </w:footnote>
  <w:footnote w:id="272">
    <w:p w14:paraId="510B57B2" w14:textId="77777777" w:rsidR="00860D16" w:rsidRDefault="00860D16" w:rsidP="00860D16">
      <w:pPr>
        <w:pStyle w:val="FootnoteText"/>
      </w:pPr>
      <w:r w:rsidRPr="00982769">
        <w:rPr>
          <w:rStyle w:val="FootnoteReference"/>
          <w:rFonts w:ascii="Palatino Linotype" w:hAnsi="Palatino Linotype"/>
        </w:rPr>
        <w:footnoteRef/>
      </w:r>
      <w:r w:rsidRPr="00982769">
        <w:rPr>
          <w:rFonts w:ascii="Palatino Linotype" w:hAnsi="Palatino Linotype"/>
        </w:rPr>
        <w:t xml:space="preserve"> </w:t>
      </w:r>
      <w:hyperlink r:id="rId122" w:history="1">
        <w:r w:rsidRPr="00982769">
          <w:rPr>
            <w:rStyle w:val="Hyperlink"/>
            <w:rFonts w:ascii="Palatino Linotype" w:hAnsi="Palatino Linotype"/>
          </w:rPr>
          <w:t>CEC’s Proposed FY 2024-2025 Gas RD&amp;D Plan</w:t>
        </w:r>
      </w:hyperlink>
      <w:r w:rsidRPr="00982769">
        <w:rPr>
          <w:rFonts w:ascii="Palatino Linotype" w:hAnsi="Palatino Linotype"/>
        </w:rPr>
        <w:t xml:space="preserve"> at p. 48.</w:t>
      </w:r>
    </w:p>
  </w:footnote>
  <w:footnote w:id="273">
    <w:p w14:paraId="7EF8FFB1"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Upheld in </w:t>
      </w:r>
      <w:hyperlink r:id="rId123" w:history="1">
        <w:r w:rsidRPr="00443B80">
          <w:rPr>
            <w:rStyle w:val="Hyperlink"/>
            <w:rFonts w:ascii="Palatino Linotype" w:hAnsi="Palatino Linotype"/>
          </w:rPr>
          <w:t>D.24-12-074</w:t>
        </w:r>
      </w:hyperlink>
      <w:r w:rsidRPr="00443B80">
        <w:rPr>
          <w:rFonts w:ascii="Palatino Linotype" w:hAnsi="Palatino Linotype"/>
        </w:rPr>
        <w:t xml:space="preserve"> at p. 327-330.</w:t>
      </w:r>
    </w:p>
  </w:footnote>
  <w:footnote w:id="274">
    <w:p w14:paraId="3176144D"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AL 6496-G-A at p</w:t>
      </w:r>
      <w:r w:rsidRPr="00443B80">
        <w:rPr>
          <w:rFonts w:ascii="Palatino Linotype" w:hAnsi="Palatino Linotype"/>
          <w:color w:val="000000" w:themeColor="text1"/>
        </w:rPr>
        <w:t>. 7.</w:t>
      </w:r>
    </w:p>
  </w:footnote>
  <w:footnote w:id="275">
    <w:p w14:paraId="19F59023"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SoCalGas lists service lists notified on AL 6496-G-A at p. 8.</w:t>
      </w:r>
    </w:p>
  </w:footnote>
  <w:footnote w:id="276">
    <w:p w14:paraId="7CA75119"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AL 6496-G-A </w:t>
      </w:r>
      <w:r w:rsidRPr="00443B80">
        <w:rPr>
          <w:rFonts w:ascii="Palatino Linotype" w:hAnsi="Palatino Linotype"/>
        </w:rPr>
        <w:t>at p</w:t>
      </w:r>
      <w:r w:rsidRPr="00443B80">
        <w:rPr>
          <w:rFonts w:ascii="Palatino Linotype" w:hAnsi="Palatino Linotype"/>
          <w:color w:val="000000" w:themeColor="text1"/>
        </w:rPr>
        <w:t>. 8. </w:t>
      </w:r>
      <w:hyperlink r:id="rId124" w:tgtFrame="_blank" w:history="1">
        <w:r w:rsidRPr="00443B80">
          <w:rPr>
            <w:rStyle w:val="Hyperlink"/>
            <w:rFonts w:ascii="Palatino Linotype" w:hAnsi="Palatino Linotype"/>
          </w:rPr>
          <w:t>SoCalGas RD&amp;D 2024 Research Plan Public Workshop (April 28, 2025) Recording.</w:t>
        </w:r>
      </w:hyperlink>
    </w:p>
  </w:footnote>
  <w:footnote w:id="277">
    <w:p w14:paraId="39DF29BD"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w:t>
      </w:r>
      <w:r w:rsidRPr="00443B80">
        <w:rPr>
          <w:rFonts w:ascii="Palatino Linotype" w:hAnsi="Palatino Linotype"/>
          <w:color w:val="000000" w:themeColor="text1"/>
        </w:rPr>
        <w:t>at p. 8. </w:t>
      </w:r>
    </w:p>
  </w:footnote>
  <w:footnote w:id="278">
    <w:p w14:paraId="415102AA"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19-20, 23, 27-28, 32, 36, 44-45, 50-51, &amp; 55.</w:t>
      </w:r>
    </w:p>
  </w:footnote>
  <w:footnote w:id="279">
    <w:p w14:paraId="5BE006C7"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Upheld in </w:t>
      </w:r>
      <w:hyperlink r:id="rId125" w:history="1">
        <w:r w:rsidRPr="00443B80">
          <w:rPr>
            <w:rStyle w:val="Hyperlink"/>
            <w:rFonts w:ascii="Palatino Linotype" w:hAnsi="Palatino Linotype"/>
          </w:rPr>
          <w:t>D.24-12-074</w:t>
        </w:r>
      </w:hyperlink>
      <w:r w:rsidRPr="00443B80">
        <w:rPr>
          <w:rFonts w:ascii="Palatino Linotype" w:hAnsi="Palatino Linotype"/>
        </w:rPr>
        <w:t xml:space="preserve"> at p. 327-330.</w:t>
      </w:r>
    </w:p>
  </w:footnote>
  <w:footnote w:id="280">
    <w:p w14:paraId="3C70E406"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26">
        <w:r w:rsidRPr="00443B80">
          <w:rPr>
            <w:rStyle w:val="Hyperlink"/>
            <w:rFonts w:ascii="Palatino Linotype" w:hAnsi="Palatino Linotype"/>
          </w:rPr>
          <w:t>SoCalGas’ 2024 Annual Gas RD&amp;D Report</w:t>
        </w:r>
      </w:hyperlink>
      <w:r w:rsidRPr="00443B80">
        <w:rPr>
          <w:rFonts w:ascii="Palatino Linotype" w:hAnsi="Palatino Linotype"/>
        </w:rPr>
        <w:t>.</w:t>
      </w:r>
    </w:p>
  </w:footnote>
  <w:footnote w:id="281">
    <w:p w14:paraId="51E88AF4"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27">
        <w:r w:rsidRPr="00443B80">
          <w:rPr>
            <w:rStyle w:val="Hyperlink"/>
            <w:rFonts w:ascii="Palatino Linotype" w:hAnsi="Palatino Linotype"/>
          </w:rPr>
          <w:t>SoCalGas’ 2024 Annual Gas RD&amp;D Report</w:t>
        </w:r>
      </w:hyperlink>
      <w:r w:rsidRPr="00443B80">
        <w:rPr>
          <w:rFonts w:ascii="Palatino Linotype" w:hAnsi="Palatino Linotype"/>
        </w:rPr>
        <w:t xml:space="preserve"> at </w:t>
      </w:r>
      <w:r w:rsidRPr="00443B80">
        <w:rPr>
          <w:rFonts w:ascii="Palatino Linotype" w:hAnsi="Palatino Linotype"/>
        </w:rPr>
        <w:t>p. 14.</w:t>
      </w:r>
    </w:p>
  </w:footnote>
  <w:footnote w:id="282">
    <w:p w14:paraId="61278523"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28">
        <w:r w:rsidRPr="00443B80">
          <w:rPr>
            <w:rStyle w:val="Hyperlink"/>
            <w:rFonts w:ascii="Palatino Linotype" w:hAnsi="Palatino Linotype"/>
          </w:rPr>
          <w:t>SoCalGas’ 2024 Annual Gas RD&amp;D Report</w:t>
        </w:r>
      </w:hyperlink>
      <w:r w:rsidRPr="00443B80">
        <w:rPr>
          <w:rFonts w:ascii="Palatino Linotype" w:hAnsi="Palatino Linotype"/>
        </w:rPr>
        <w:t xml:space="preserve"> at </w:t>
      </w:r>
      <w:r w:rsidRPr="00443B80">
        <w:rPr>
          <w:rFonts w:ascii="Palatino Linotype" w:hAnsi="Palatino Linotype"/>
        </w:rPr>
        <w:t>p. 15.</w:t>
      </w:r>
    </w:p>
  </w:footnote>
  <w:footnote w:id="283">
    <w:p w14:paraId="442B6908"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29">
        <w:r w:rsidRPr="00443B80">
          <w:rPr>
            <w:rStyle w:val="Hyperlink"/>
            <w:rFonts w:ascii="Palatino Linotype" w:hAnsi="Palatino Linotype"/>
          </w:rPr>
          <w:t>SoCalGas’ 2024 Annual Gas RD&amp;D Report</w:t>
        </w:r>
      </w:hyperlink>
      <w:r w:rsidRPr="00443B80">
        <w:rPr>
          <w:rFonts w:ascii="Palatino Linotype" w:hAnsi="Palatino Linotype"/>
        </w:rPr>
        <w:t xml:space="preserve"> at p</w:t>
      </w:r>
      <w:r w:rsidRPr="00443B80">
        <w:rPr>
          <w:rFonts w:ascii="Palatino Linotype" w:hAnsi="Palatino Linotype"/>
        </w:rPr>
        <w:t>. 54.</w:t>
      </w:r>
    </w:p>
  </w:footnote>
  <w:footnote w:id="284">
    <w:p w14:paraId="50691F2A"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30">
        <w:r w:rsidRPr="00443B80">
          <w:rPr>
            <w:rStyle w:val="Hyperlink"/>
            <w:rFonts w:ascii="Palatino Linotype" w:hAnsi="Palatino Linotype"/>
          </w:rPr>
          <w:t>SoCalGas’ 2024 Annual Gas RD&amp;D Report</w:t>
        </w:r>
      </w:hyperlink>
      <w:r w:rsidRPr="00443B80">
        <w:rPr>
          <w:rFonts w:ascii="Palatino Linotype" w:hAnsi="Palatino Linotype"/>
        </w:rPr>
        <w:t xml:space="preserve"> at </w:t>
      </w:r>
      <w:r w:rsidRPr="00443B80">
        <w:rPr>
          <w:rFonts w:ascii="Palatino Linotype" w:hAnsi="Palatino Linotype"/>
        </w:rPr>
        <w:t>p. 15.</w:t>
      </w:r>
    </w:p>
  </w:footnote>
  <w:footnote w:id="285">
    <w:p w14:paraId="6BDD5E21"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31">
        <w:r w:rsidRPr="00443B80">
          <w:rPr>
            <w:rStyle w:val="Hyperlink"/>
            <w:rFonts w:ascii="Palatino Linotype" w:hAnsi="Palatino Linotype"/>
          </w:rPr>
          <w:t>SoCalGas’ 2024 Annual Gas RD&amp;D Report</w:t>
        </w:r>
      </w:hyperlink>
      <w:r w:rsidRPr="00443B80">
        <w:rPr>
          <w:rFonts w:ascii="Palatino Linotype" w:hAnsi="Palatino Linotype"/>
        </w:rPr>
        <w:t xml:space="preserve"> at p. 60.</w:t>
      </w:r>
    </w:p>
  </w:footnote>
  <w:footnote w:id="286">
    <w:p w14:paraId="267109F5"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32">
        <w:r w:rsidRPr="00443B80">
          <w:rPr>
            <w:rStyle w:val="Hyperlink"/>
            <w:rFonts w:ascii="Palatino Linotype" w:hAnsi="Palatino Linotype"/>
          </w:rPr>
          <w:t>SoCalGas’ 2024 Annual Gas RD&amp;D Report</w:t>
        </w:r>
      </w:hyperlink>
      <w:r w:rsidRPr="00443B80">
        <w:rPr>
          <w:rFonts w:ascii="Palatino Linotype" w:hAnsi="Palatino Linotype"/>
        </w:rPr>
        <w:t xml:space="preserve"> at p. 41.</w:t>
      </w:r>
    </w:p>
  </w:footnote>
  <w:footnote w:id="287">
    <w:p w14:paraId="5997BA1E"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Upheld in </w:t>
      </w:r>
      <w:hyperlink r:id="rId133" w:history="1">
        <w:r w:rsidRPr="00443B80">
          <w:rPr>
            <w:rStyle w:val="Hyperlink"/>
            <w:rFonts w:ascii="Palatino Linotype" w:hAnsi="Palatino Linotype"/>
          </w:rPr>
          <w:t>D.24-12-074</w:t>
        </w:r>
      </w:hyperlink>
      <w:r w:rsidRPr="00443B80">
        <w:rPr>
          <w:rFonts w:ascii="Palatino Linotype" w:hAnsi="Palatino Linotype"/>
        </w:rPr>
        <w:t xml:space="preserve"> at p. 327-330.</w:t>
      </w:r>
    </w:p>
  </w:footnote>
  <w:footnote w:id="288">
    <w:p w14:paraId="2CCC00FE"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34" w:history="1">
        <w:r w:rsidRPr="00443B80">
          <w:rPr>
            <w:rStyle w:val="Hyperlink"/>
            <w:rFonts w:ascii="Palatino Linotype" w:hAnsi="Palatino Linotype"/>
          </w:rPr>
          <w:t>D.24-12-074</w:t>
        </w:r>
      </w:hyperlink>
      <w:r w:rsidRPr="00443B80">
        <w:rPr>
          <w:rFonts w:ascii="Palatino Linotype" w:hAnsi="Palatino Linotype"/>
        </w:rPr>
        <w:t xml:space="preserve"> at p. 21-24, 327-330, 895, &amp; 901; FOF 110; &amp; COL 305. See Resolution G-3624 </w:t>
      </w:r>
      <w:r w:rsidRPr="00443B80">
        <w:rPr>
          <w:rFonts w:ascii="Palatino Linotype" w:hAnsi="Palatino Linotype"/>
        </w:rPr>
        <w:t>at p. 4-5.</w:t>
      </w:r>
    </w:p>
  </w:footnote>
  <w:footnote w:id="289">
    <w:p w14:paraId="294EDFED"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rPr>
        <w:footnoteRef/>
      </w:r>
      <w:r w:rsidRPr="00443B80">
        <w:rPr>
          <w:rFonts w:ascii="Palatino Linotype" w:hAnsi="Palatino Linotype"/>
        </w:rPr>
        <w:t xml:space="preserve"> AL 6496-G-A at p. 6 &amp; </w:t>
      </w:r>
      <w:r w:rsidRPr="00443B80">
        <w:rPr>
          <w:rFonts w:ascii="Palatino Linotype" w:hAnsi="Palatino Linotype"/>
          <w:color w:val="000000" w:themeColor="text1"/>
        </w:rPr>
        <w:t>Attachment A at p. 9.</w:t>
      </w:r>
    </w:p>
  </w:footnote>
  <w:footnote w:id="290">
    <w:p w14:paraId="51F13DCB" w14:textId="77777777" w:rsidR="00C05FB0" w:rsidRPr="00CF6C09" w:rsidRDefault="00C05FB0" w:rsidP="00C05FB0">
      <w:pPr>
        <w:pStyle w:val="FootnoteText"/>
        <w:rPr>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18-19, 22-23, 26-27, 31-32, 35, 43-44, 49-50, &amp; 54-55.</w:t>
      </w:r>
    </w:p>
  </w:footnote>
  <w:footnote w:id="291">
    <w:p w14:paraId="2EDC8584" w14:textId="77777777" w:rsidR="00C05FB0" w:rsidRDefault="00C05FB0" w:rsidP="00C05FB0">
      <w:pPr>
        <w:pStyle w:val="FootnoteText"/>
      </w:pPr>
      <w:r>
        <w:rPr>
          <w:rStyle w:val="FootnoteReference"/>
        </w:rPr>
        <w:footnoteRef/>
      </w:r>
      <w:r>
        <w:t xml:space="preserve"> </w:t>
      </w:r>
      <w:r w:rsidRPr="008B779A">
        <w:rPr>
          <w:rFonts w:ascii="Palatino Linotype" w:hAnsi="Palatino Linotype"/>
          <w:color w:val="000000" w:themeColor="text1"/>
        </w:rPr>
        <w:t>AL 649</w:t>
      </w:r>
      <w:r>
        <w:rPr>
          <w:rFonts w:ascii="Palatino Linotype" w:hAnsi="Palatino Linotype"/>
          <w:color w:val="000000" w:themeColor="text1"/>
        </w:rPr>
        <w:t>6</w:t>
      </w:r>
      <w:r w:rsidRPr="008B779A">
        <w:rPr>
          <w:rFonts w:ascii="Palatino Linotype" w:hAnsi="Palatino Linotype"/>
          <w:color w:val="000000" w:themeColor="text1"/>
        </w:rPr>
        <w:t xml:space="preserve">-G-A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47.</w:t>
      </w:r>
    </w:p>
  </w:footnote>
  <w:footnote w:id="292">
    <w:p w14:paraId="5CFADA97" w14:textId="77777777" w:rsidR="00C05FB0" w:rsidRDefault="00C05FB0" w:rsidP="00C05FB0">
      <w:pPr>
        <w:pStyle w:val="FootnoteText"/>
      </w:pPr>
      <w:r>
        <w:rPr>
          <w:rStyle w:val="FootnoteReference"/>
        </w:rPr>
        <w:footnoteRef/>
      </w:r>
      <w:r>
        <w:t xml:space="preserve"> </w:t>
      </w:r>
      <w:r w:rsidRPr="008B779A">
        <w:rPr>
          <w:rFonts w:ascii="Palatino Linotype" w:hAnsi="Palatino Linotype"/>
          <w:color w:val="000000" w:themeColor="text1"/>
        </w:rPr>
        <w:t>AL 649</w:t>
      </w:r>
      <w:r>
        <w:rPr>
          <w:rFonts w:ascii="Palatino Linotype" w:hAnsi="Palatino Linotype"/>
          <w:color w:val="000000" w:themeColor="text1"/>
        </w:rPr>
        <w:t>6</w:t>
      </w:r>
      <w:r w:rsidRPr="008B779A">
        <w:rPr>
          <w:rFonts w:ascii="Palatino Linotype" w:hAnsi="Palatino Linotype"/>
          <w:color w:val="000000" w:themeColor="text1"/>
        </w:rPr>
        <w:t xml:space="preserve">-G-A </w:t>
      </w:r>
      <w:r w:rsidRPr="008B779A">
        <w:rPr>
          <w:rFonts w:ascii="Palatino Linotype" w:hAnsi="Palatino Linotype"/>
          <w:bCs/>
          <w:color w:val="000000" w:themeColor="text1"/>
        </w:rPr>
        <w:t xml:space="preserve">Attachment A at </w:t>
      </w:r>
      <w:r>
        <w:rPr>
          <w:rFonts w:ascii="Palatino Linotype" w:hAnsi="Palatino Linotype"/>
          <w:bCs/>
          <w:color w:val="000000" w:themeColor="text1"/>
        </w:rPr>
        <w:t>p. 8.</w:t>
      </w:r>
    </w:p>
  </w:footnote>
  <w:footnote w:id="293">
    <w:p w14:paraId="1EA0B131"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Cite: “In addition to the requirements outlined in D.19-09-051 (SoCalGas’ TY 2019 GRC decision), the CPUC provided guidance in 2022 for future RD&amp;D Research Plans in OP 5 of Resolution G-3586. The CPUC recognized in Resolution G-3586 that SoCalGas’s research project activity can span multiple years, with some project funding already contracted and spent as the subsequent year research plan is being considered. Resolution G-3586 authorized SoCalGas to record in the one-way RDDEA balancing account expenses for multi-year projects approved and contracted prior to the Resolution.”</w:t>
      </w:r>
    </w:p>
  </w:footnote>
  <w:footnote w:id="294">
    <w:p w14:paraId="15BA7294" w14:textId="77777777" w:rsidR="00C05FB0" w:rsidRPr="00443B80"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Attachment A at p. 8.</w:t>
      </w:r>
      <w:r w:rsidRPr="00443B80">
        <w:rPr>
          <w:rFonts w:ascii="Palatino Linotype" w:hAnsi="Palatino Linotype"/>
        </w:rPr>
        <w:t> </w:t>
      </w:r>
    </w:p>
  </w:footnote>
  <w:footnote w:id="295">
    <w:p w14:paraId="0E16D681" w14:textId="77777777" w:rsidR="004C3830" w:rsidRPr="00504106" w:rsidRDefault="004C3830" w:rsidP="004C3830">
      <w:pPr>
        <w:pStyle w:val="FootnoteText"/>
        <w:rPr>
          <w:rFonts w:ascii="Palatino Linotype" w:hAnsi="Palatino Linotype"/>
        </w:rPr>
      </w:pPr>
      <w:r w:rsidRPr="00504106">
        <w:rPr>
          <w:rStyle w:val="FootnoteReference"/>
          <w:rFonts w:ascii="Palatino Linotype" w:hAnsi="Palatino Linotype"/>
        </w:rPr>
        <w:footnoteRef/>
      </w:r>
      <w:r w:rsidRPr="00504106">
        <w:rPr>
          <w:rFonts w:ascii="Palatino Linotype" w:hAnsi="Palatino Linotype"/>
        </w:rPr>
        <w:t xml:space="preserve"> </w:t>
      </w:r>
      <w:r>
        <w:rPr>
          <w:rFonts w:ascii="Palatino Linotype" w:hAnsi="Palatino Linotype"/>
        </w:rPr>
        <w:t xml:space="preserve">See also: </w:t>
      </w:r>
      <w:hyperlink r:id="rId135" w:tgtFrame="_blank" w:history="1">
        <w:r w:rsidRPr="00670F74">
          <w:rPr>
            <w:rStyle w:val="Hyperlink"/>
            <w:rFonts w:ascii="Palatino Linotype" w:hAnsi="Palatino Linotype"/>
          </w:rPr>
          <w:t>Resolution G-3618</w:t>
        </w:r>
      </w:hyperlink>
      <w:r w:rsidRPr="00670F74">
        <w:rPr>
          <w:rFonts w:ascii="Palatino Linotype" w:hAnsi="Palatino Linotype"/>
        </w:rPr>
        <w:t xml:space="preserve"> (2026)</w:t>
      </w:r>
      <w:r>
        <w:rPr>
          <w:rFonts w:ascii="Palatino Linotype" w:hAnsi="Palatino Linotype"/>
        </w:rPr>
        <w:t xml:space="preserve"> at</w:t>
      </w:r>
      <w:r w:rsidRPr="00670F74">
        <w:rPr>
          <w:rFonts w:ascii="Palatino Linotype" w:hAnsi="Palatino Linotype"/>
        </w:rPr>
        <w:t xml:space="preserve"> p. 16 &amp; 18</w:t>
      </w:r>
      <w:r>
        <w:rPr>
          <w:rFonts w:ascii="Palatino Linotype" w:hAnsi="Palatino Linotype"/>
        </w:rPr>
        <w:t xml:space="preserve">; </w:t>
      </w:r>
      <w:hyperlink r:id="rId136" w:tgtFrame="_blank" w:history="1">
        <w:r w:rsidRPr="00ED6A2D">
          <w:rPr>
            <w:rStyle w:val="Hyperlink"/>
            <w:rFonts w:ascii="Palatino Linotype" w:hAnsi="Palatino Linotype"/>
          </w:rPr>
          <w:t>Resolution G-3623</w:t>
        </w:r>
      </w:hyperlink>
      <w:r w:rsidRPr="00ED6A2D">
        <w:rPr>
          <w:rFonts w:ascii="Palatino Linotype" w:hAnsi="Palatino Linotype"/>
        </w:rPr>
        <w:t xml:space="preserve"> (2026)</w:t>
      </w:r>
      <w:r>
        <w:rPr>
          <w:rFonts w:ascii="Palatino Linotype" w:hAnsi="Palatino Linotype"/>
        </w:rPr>
        <w:t xml:space="preserve"> </w:t>
      </w:r>
      <w:r w:rsidRPr="00ED6A2D">
        <w:rPr>
          <w:rFonts w:ascii="Palatino Linotype" w:hAnsi="Palatino Linotype"/>
        </w:rPr>
        <w:t>at p. 28 &amp; FOF 3b.</w:t>
      </w:r>
    </w:p>
  </w:footnote>
  <w:footnote w:id="296">
    <w:p w14:paraId="6AD4773E"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37" w:tgtFrame="_blank" w:history="1">
        <w:r w:rsidRPr="00443B80">
          <w:rPr>
            <w:rStyle w:val="Hyperlink"/>
            <w:rFonts w:ascii="Palatino Linotype" w:hAnsi="Palatino Linotype"/>
          </w:rPr>
          <w:t>Resolution G-3573</w:t>
        </w:r>
      </w:hyperlink>
      <w:r w:rsidRPr="00443B80">
        <w:rPr>
          <w:rFonts w:ascii="Palatino Linotype" w:hAnsi="Palatino Linotype"/>
        </w:rPr>
        <w:t> (2021): Addressing SoCalGas’ 2021 Gas RD&amp;D Plan. </w:t>
      </w:r>
    </w:p>
  </w:footnote>
  <w:footnote w:id="297">
    <w:p w14:paraId="73EF6428"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hyperlink r:id="rId138" w:tgtFrame="_blank" w:history="1">
        <w:r w:rsidRPr="00443B80">
          <w:rPr>
            <w:rStyle w:val="Hyperlink"/>
            <w:rFonts w:ascii="Palatino Linotype" w:hAnsi="Palatino Linotype"/>
          </w:rPr>
          <w:t>D.19-09-051</w:t>
        </w:r>
      </w:hyperlink>
      <w:r w:rsidRPr="00443B80">
        <w:rPr>
          <w:rFonts w:ascii="Palatino Linotype" w:hAnsi="Palatino Linotype"/>
        </w:rPr>
        <w:t> at p. 379 &amp; OP 68. Cited in </w:t>
      </w:r>
      <w:hyperlink r:id="rId139" w:tgtFrame="_blank" w:history="1">
        <w:r w:rsidRPr="00443B80">
          <w:rPr>
            <w:rStyle w:val="Hyperlink"/>
            <w:rFonts w:ascii="Palatino Linotype" w:hAnsi="Palatino Linotype"/>
          </w:rPr>
          <w:t>Resolution G-3586</w:t>
        </w:r>
      </w:hyperlink>
      <w:r w:rsidRPr="00443B80">
        <w:rPr>
          <w:rFonts w:ascii="Palatino Linotype" w:hAnsi="Palatino Linotype"/>
        </w:rPr>
        <w:t> (2022) at p. 7. See also: </w:t>
      </w:r>
      <w:hyperlink r:id="rId140" w:tgtFrame="_blank" w:history="1">
        <w:r w:rsidRPr="00443B80">
          <w:rPr>
            <w:rStyle w:val="Hyperlink"/>
            <w:rFonts w:ascii="Palatino Linotype" w:hAnsi="Palatino Linotype"/>
          </w:rPr>
          <w:t>Resolution G-3601</w:t>
        </w:r>
      </w:hyperlink>
      <w:r w:rsidRPr="00443B80">
        <w:rPr>
          <w:rFonts w:ascii="Palatino Linotype" w:hAnsi="Palatino Linotype"/>
        </w:rPr>
        <w:t> (2023) at p. 1 &amp; OP 7 authorized SoCalGas to continue spending from an approved Plan in subsequent years until the end of the GRC cycle, with any unspent funds returned to ratepayers.</w:t>
      </w:r>
    </w:p>
  </w:footnote>
  <w:footnote w:id="298">
    <w:p w14:paraId="41E23C41" w14:textId="77777777" w:rsidR="00C05FB0" w:rsidRDefault="00C05FB0" w:rsidP="00C05FB0">
      <w:pPr>
        <w:pStyle w:val="FootnoteText"/>
      </w:pPr>
      <w:r w:rsidRPr="00443B80">
        <w:rPr>
          <w:rStyle w:val="FootnoteReference"/>
          <w:rFonts w:ascii="Palatino Linotype" w:hAnsi="Palatino Linotype"/>
        </w:rPr>
        <w:footnoteRef/>
      </w:r>
      <w:r w:rsidRPr="00443B80">
        <w:rPr>
          <w:rFonts w:ascii="Palatino Linotype" w:hAnsi="Palatino Linotype"/>
        </w:rPr>
        <w:t xml:space="preserve"> </w:t>
      </w:r>
      <w:hyperlink r:id="rId141" w:tgtFrame="_blank" w:history="1">
        <w:r w:rsidRPr="00443B80">
          <w:rPr>
            <w:rStyle w:val="Hyperlink"/>
            <w:rFonts w:ascii="Palatino Linotype" w:hAnsi="Palatino Linotype"/>
          </w:rPr>
          <w:t>D.19-09-051</w:t>
        </w:r>
      </w:hyperlink>
      <w:r w:rsidRPr="00443B80">
        <w:rPr>
          <w:rFonts w:ascii="Palatino Linotype" w:hAnsi="Palatino Linotype"/>
        </w:rPr>
        <w:t> at p. 377-378.</w:t>
      </w:r>
    </w:p>
  </w:footnote>
  <w:footnote w:id="299">
    <w:p w14:paraId="1F2E6ED8"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6.</w:t>
      </w:r>
    </w:p>
  </w:footnote>
  <w:footnote w:id="300">
    <w:p w14:paraId="535F1727"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13.</w:t>
      </w:r>
    </w:p>
  </w:footnote>
  <w:footnote w:id="301">
    <w:p w14:paraId="02082656" w14:textId="77777777" w:rsidR="00C05FB0" w:rsidRDefault="00C05FB0" w:rsidP="00C05FB0">
      <w:pPr>
        <w:pStyle w:val="FootnoteText"/>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38.</w:t>
      </w:r>
    </w:p>
  </w:footnote>
  <w:footnote w:id="302">
    <w:p w14:paraId="0DB36BB1"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Appendix 2: Project Selection Process.</w:t>
      </w:r>
    </w:p>
  </w:footnote>
  <w:footnote w:id="303">
    <w:p w14:paraId="37370C7E"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58.</w:t>
      </w:r>
    </w:p>
  </w:footnote>
  <w:footnote w:id="304">
    <w:p w14:paraId="55E7082D" w14:textId="77777777" w:rsidR="00C05FB0" w:rsidRPr="00443B80" w:rsidRDefault="00C05FB0" w:rsidP="00C05FB0">
      <w:pPr>
        <w:pStyle w:val="FootnoteText"/>
        <w:rPr>
          <w:rFonts w:ascii="Palatino Linotype" w:hAnsi="Palatino Linotype"/>
          <w:color w:val="0070C0"/>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10-11, 20, 24, 28, 33, 37, 45-46, 51-52, &amp; 56.</w:t>
      </w:r>
    </w:p>
  </w:footnote>
  <w:footnote w:id="305">
    <w:p w14:paraId="1B318E5A" w14:textId="77777777" w:rsidR="00C05FB0" w:rsidRDefault="00C05FB0" w:rsidP="00C05FB0">
      <w:pPr>
        <w:pStyle w:val="FootnoteText"/>
      </w:pPr>
      <w:r w:rsidRPr="00443B80">
        <w:rPr>
          <w:rStyle w:val="FootnoteReference"/>
          <w:rFonts w:ascii="Palatino Linotype" w:hAnsi="Palatino Linotype"/>
        </w:rPr>
        <w:footnoteRef/>
      </w:r>
      <w:r w:rsidRPr="00443B80">
        <w:rPr>
          <w:rFonts w:ascii="Palatino Linotype" w:hAnsi="Palatino Linotype"/>
        </w:rPr>
        <w:t xml:space="preserve"> AL 6496-G-A </w:t>
      </w:r>
      <w:r w:rsidRPr="00443B80">
        <w:rPr>
          <w:rFonts w:ascii="Palatino Linotype" w:hAnsi="Palatino Linotype"/>
          <w:color w:val="000000" w:themeColor="text1"/>
        </w:rPr>
        <w:t xml:space="preserve">Attachment A at p. 72-73 &amp; </w:t>
      </w:r>
      <w:r w:rsidRPr="00443B80">
        <w:rPr>
          <w:rFonts w:ascii="Palatino Linotype" w:eastAsia="Palatino Linotype" w:hAnsi="Palatino Linotype" w:cs="Times New Roman"/>
          <w:bCs/>
          <w:color w:val="000000" w:themeColor="text1"/>
          <w:kern w:val="0"/>
          <w14:ligatures w14:val="none"/>
        </w:rPr>
        <w:t>Section 6.4. Appendix 4 – Project Details.</w:t>
      </w:r>
    </w:p>
  </w:footnote>
  <w:footnote w:id="306">
    <w:p w14:paraId="572ECAAA"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See Resolution </w:t>
      </w:r>
      <w:r w:rsidRPr="00443B80">
        <w:rPr>
          <w:rFonts w:ascii="Palatino Linotype" w:eastAsia="Times New Roman" w:hAnsi="Palatino Linotype" w:cs="Times New Roman"/>
          <w:kern w:val="0"/>
          <w14:ligatures w14:val="none"/>
        </w:rPr>
        <w:t xml:space="preserve">G-3624 </w:t>
      </w:r>
      <w:r w:rsidRPr="00443B80">
        <w:rPr>
          <w:rFonts w:ascii="Palatino Linotype" w:hAnsi="Palatino Linotype"/>
        </w:rPr>
        <w:t>at Appendix C: Administrative Budget Cost Categories.</w:t>
      </w:r>
    </w:p>
  </w:footnote>
  <w:footnote w:id="307">
    <w:p w14:paraId="3921CFE6" w14:textId="77777777" w:rsidR="00C05FB0" w:rsidRDefault="00C05FB0" w:rsidP="00C05FB0">
      <w:pPr>
        <w:pStyle w:val="FootnoteText"/>
      </w:pPr>
      <w:r w:rsidRPr="00443B80">
        <w:rPr>
          <w:rStyle w:val="FootnoteReference"/>
          <w:rFonts w:ascii="Palatino Linotype" w:hAnsi="Palatino Linotype"/>
        </w:rPr>
        <w:footnoteRef/>
      </w:r>
      <w:r w:rsidRPr="00443B80">
        <w:rPr>
          <w:rFonts w:ascii="Palatino Linotype" w:hAnsi="Palatino Linotype"/>
        </w:rPr>
        <w:t xml:space="preserve"> AL 6496-G-A at p. 6 &amp; Attachment A at p</w:t>
      </w:r>
      <w:r w:rsidRPr="00443B80">
        <w:rPr>
          <w:rFonts w:ascii="Palatino Linotype" w:hAnsi="Palatino Linotype"/>
          <w:color w:val="000000" w:themeColor="text1"/>
        </w:rPr>
        <w:t>. 9-10.</w:t>
      </w:r>
    </w:p>
  </w:footnote>
  <w:footnote w:id="308">
    <w:p w14:paraId="613172DC"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rPr>
        <w:footnoteRef/>
      </w:r>
      <w:r w:rsidRPr="00443B80">
        <w:rPr>
          <w:rFonts w:ascii="Palatino Linotype" w:hAnsi="Palatino Linotype"/>
        </w:rPr>
        <w:t xml:space="preserve"> AL 6496-G-A Attachment </w:t>
      </w:r>
      <w:r w:rsidRPr="00443B80">
        <w:rPr>
          <w:rFonts w:ascii="Palatino Linotype" w:hAnsi="Palatino Linotype"/>
          <w:color w:val="000000" w:themeColor="text1"/>
        </w:rPr>
        <w:t>A at p. 9.</w:t>
      </w:r>
    </w:p>
  </w:footnote>
  <w:footnote w:id="309">
    <w:p w14:paraId="411046A0"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AL 6496-G-A Attachment </w:t>
      </w:r>
      <w:r w:rsidRPr="00443B80">
        <w:rPr>
          <w:rFonts w:ascii="Palatino Linotype" w:hAnsi="Palatino Linotype"/>
          <w:color w:val="000000" w:themeColor="text1"/>
        </w:rPr>
        <w:t>A at Appendix 8: Program Administration Categorization.</w:t>
      </w:r>
    </w:p>
  </w:footnote>
  <w:footnote w:id="310">
    <w:p w14:paraId="287246C3"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w:t>
      </w:r>
      <w:r w:rsidRPr="00443B80">
        <w:rPr>
          <w:rFonts w:ascii="Palatino Linotype" w:hAnsi="Palatino Linotype"/>
          <w:color w:val="000000" w:themeColor="text1"/>
        </w:rPr>
        <w:t>at p. 11-12.</w:t>
      </w:r>
    </w:p>
  </w:footnote>
  <w:footnote w:id="311">
    <w:p w14:paraId="43116A20" w14:textId="77777777" w:rsidR="00C05FB0" w:rsidRPr="00CF6C09" w:rsidRDefault="00C05FB0" w:rsidP="00C05FB0">
      <w:pPr>
        <w:pStyle w:val="FootnoteText"/>
        <w:rPr>
          <w:color w:val="000000" w:themeColor="text1"/>
        </w:rPr>
      </w:pPr>
      <w:r w:rsidRPr="00443B80">
        <w:rPr>
          <w:rStyle w:val="FootnoteReference"/>
          <w:rFonts w:ascii="Palatino Linotype" w:hAnsi="Palatino Linotype"/>
        </w:rPr>
        <w:footnoteRef/>
      </w:r>
      <w:r w:rsidRPr="00443B80">
        <w:rPr>
          <w:rFonts w:ascii="Palatino Linotype" w:hAnsi="Palatino Linotype"/>
        </w:rPr>
        <w:t xml:space="preserve"> AL 6496-G-A Attachment </w:t>
      </w:r>
      <w:r w:rsidRPr="00443B80">
        <w:rPr>
          <w:rFonts w:ascii="Palatino Linotype" w:hAnsi="Palatino Linotype"/>
          <w:color w:val="000000" w:themeColor="text1"/>
        </w:rPr>
        <w:t>A at p. 72.</w:t>
      </w:r>
    </w:p>
  </w:footnote>
  <w:footnote w:id="312">
    <w:p w14:paraId="0E212BD0"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19-20, 23, 27-28, 32, 36, 44-45, 50-51, &amp; 55.</w:t>
      </w:r>
    </w:p>
  </w:footnote>
  <w:footnote w:id="313">
    <w:p w14:paraId="299A8A67"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57-58.</w:t>
      </w:r>
    </w:p>
  </w:footnote>
  <w:footnote w:id="314">
    <w:p w14:paraId="28BC61F8"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w:t>
      </w:r>
      <w:r w:rsidRPr="00443B80">
        <w:rPr>
          <w:rFonts w:ascii="Palatino Linotype" w:hAnsi="Palatino Linotype"/>
          <w:color w:val="000000" w:themeColor="text1"/>
        </w:rPr>
        <w:t>at p. 9.</w:t>
      </w:r>
    </w:p>
  </w:footnote>
  <w:footnote w:id="315">
    <w:p w14:paraId="5E0724AF"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AL 6496-G-A Attachment A </w:t>
      </w:r>
      <w:r w:rsidRPr="00443B80">
        <w:rPr>
          <w:rFonts w:ascii="Palatino Linotype" w:hAnsi="Palatino Linotype"/>
          <w:color w:val="000000" w:themeColor="text1"/>
        </w:rPr>
        <w:t>at p. 58-60.</w:t>
      </w:r>
    </w:p>
  </w:footnote>
  <w:footnote w:id="316">
    <w:p w14:paraId="53173340"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 p. 5-6.</w:t>
      </w:r>
    </w:p>
  </w:footnote>
  <w:footnote w:id="317">
    <w:p w14:paraId="3C160ABF"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Attachment A at p. 13-15, 19, 23, 27, 32, 34-35, 38-39, 44, 50, &amp; 55.</w:t>
      </w:r>
    </w:p>
  </w:footnote>
  <w:footnote w:id="318">
    <w:p w14:paraId="34A71BD4" w14:textId="77777777" w:rsidR="00C05FB0" w:rsidRPr="00443B80" w:rsidRDefault="00C05FB0" w:rsidP="00C05FB0">
      <w:pPr>
        <w:pStyle w:val="FootnoteText"/>
        <w:rPr>
          <w:rFonts w:ascii="Palatino Linotype" w:hAnsi="Palatino Linotype"/>
          <w:color w:val="000000" w:themeColor="text1"/>
        </w:rPr>
      </w:pPr>
      <w:r w:rsidRPr="00443B80">
        <w:rPr>
          <w:rStyle w:val="FootnoteReference"/>
          <w:rFonts w:ascii="Palatino Linotype" w:hAnsi="Palatino Linotype"/>
          <w:color w:val="000000" w:themeColor="text1"/>
        </w:rPr>
        <w:footnoteRef/>
      </w:r>
      <w:r w:rsidRPr="00443B80">
        <w:rPr>
          <w:rFonts w:ascii="Palatino Linotype" w:hAnsi="Palatino Linotype"/>
          <w:color w:val="000000" w:themeColor="text1"/>
        </w:rPr>
        <w:t xml:space="preserve"> AL 6496-G-A </w:t>
      </w:r>
      <w:r w:rsidRPr="00443B80">
        <w:rPr>
          <w:rFonts w:ascii="Palatino Linotype" w:hAnsi="Palatino Linotype"/>
          <w:color w:val="000000" w:themeColor="text1"/>
        </w:rPr>
        <w:t>at p. 9.</w:t>
      </w:r>
    </w:p>
  </w:footnote>
  <w:footnote w:id="319">
    <w:p w14:paraId="09E350B6"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r w:rsidRPr="00443B80">
        <w:rPr>
          <w:rFonts w:ascii="Palatino Linotype" w:hAnsi="Palatino Linotype"/>
          <w:color w:val="000000" w:themeColor="text1"/>
        </w:rPr>
        <w:t>AL 6496-G-A Attachment A at p. 32 &amp; 60.</w:t>
      </w:r>
    </w:p>
  </w:footnote>
  <w:footnote w:id="320">
    <w:p w14:paraId="709C0E89"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Attachment A </w:t>
      </w:r>
      <w:r w:rsidRPr="003B3926">
        <w:rPr>
          <w:rFonts w:ascii="Palatino Linotype" w:hAnsi="Palatino Linotype"/>
          <w:color w:val="000000" w:themeColor="text1"/>
        </w:rPr>
        <w:t>at p. 36 &amp; 44.</w:t>
      </w:r>
    </w:p>
  </w:footnote>
  <w:footnote w:id="321">
    <w:p w14:paraId="2DE6955B" w14:textId="77777777" w:rsidR="00C05FB0" w:rsidRPr="00443B80" w:rsidRDefault="00C05FB0" w:rsidP="00C05FB0">
      <w:pPr>
        <w:pStyle w:val="FootnoteText"/>
        <w:rPr>
          <w:rFonts w:ascii="Palatino Linotype" w:hAnsi="Palatino Linotype"/>
        </w:rPr>
      </w:pPr>
      <w:r w:rsidRPr="00443B80">
        <w:rPr>
          <w:rStyle w:val="FootnoteReference"/>
          <w:rFonts w:ascii="Palatino Linotype" w:hAnsi="Palatino Linotype"/>
        </w:rPr>
        <w:footnoteRef/>
      </w:r>
      <w:r w:rsidRPr="00443B80">
        <w:rPr>
          <w:rFonts w:ascii="Palatino Linotype" w:hAnsi="Palatino Linotype"/>
        </w:rPr>
        <w:t xml:space="preserve"> </w:t>
      </w:r>
      <w:r w:rsidRPr="00443B80">
        <w:rPr>
          <w:rFonts w:ascii="Palatino Linotype" w:hAnsi="Palatino Linotype"/>
          <w:color w:val="000000" w:themeColor="text1"/>
        </w:rPr>
        <w:t>AL 6496-G-A Attachment A at p. 40.</w:t>
      </w:r>
    </w:p>
  </w:footnote>
  <w:footnote w:id="322">
    <w:p w14:paraId="01FC9A01" w14:textId="77777777" w:rsidR="00C05FB0" w:rsidRDefault="00C05FB0" w:rsidP="00C05FB0">
      <w:pPr>
        <w:pStyle w:val="FootnoteText"/>
      </w:pPr>
      <w:r>
        <w:rPr>
          <w:rStyle w:val="FootnoteReference"/>
        </w:rPr>
        <w:footnoteRef/>
      </w:r>
      <w:r>
        <w:t xml:space="preserve"> </w:t>
      </w:r>
      <w:r w:rsidRPr="00443B80">
        <w:rPr>
          <w:rFonts w:ascii="Palatino Linotype" w:hAnsi="Palatino Linotype"/>
          <w:color w:val="000000" w:themeColor="text1"/>
        </w:rPr>
        <w:t>AL 6496-G-A Attachment A at p.</w:t>
      </w:r>
      <w:r>
        <w:rPr>
          <w:rFonts w:ascii="Palatino Linotype" w:hAnsi="Palatino Linotype"/>
          <w:color w:val="000000" w:themeColor="text1"/>
        </w:rPr>
        <w:t xml:space="preserve"> 40.</w:t>
      </w:r>
    </w:p>
  </w:footnote>
  <w:footnote w:id="323">
    <w:p w14:paraId="52ACD8F3" w14:textId="77777777" w:rsidR="00C05FB0" w:rsidRDefault="00C05FB0" w:rsidP="00C05FB0">
      <w:pPr>
        <w:pStyle w:val="FootnoteText"/>
      </w:pPr>
      <w:r>
        <w:rPr>
          <w:rStyle w:val="FootnoteReference"/>
        </w:rPr>
        <w:footnoteRef/>
      </w:r>
      <w:r>
        <w:t xml:space="preserve"> </w:t>
      </w:r>
      <w:r w:rsidRPr="00443B80">
        <w:rPr>
          <w:rFonts w:ascii="Palatino Linotype" w:hAnsi="Palatino Linotype"/>
          <w:color w:val="000000" w:themeColor="text1"/>
        </w:rPr>
        <w:t xml:space="preserve">AL 6496-G-A Attachment A at p. </w:t>
      </w:r>
      <w:r>
        <w:rPr>
          <w:rFonts w:ascii="Palatino Linotype" w:hAnsi="Palatino Linotype"/>
          <w:color w:val="000000" w:themeColor="text1"/>
        </w:rPr>
        <w:t>47.</w:t>
      </w:r>
    </w:p>
  </w:footnote>
  <w:footnote w:id="324">
    <w:p w14:paraId="4C0BD226"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rPr>
        <w:footnoteRef/>
      </w:r>
      <w:r w:rsidRPr="003B3926">
        <w:rPr>
          <w:rFonts w:ascii="Palatino Linotype" w:hAnsi="Palatino Linotype"/>
        </w:rPr>
        <w:t xml:space="preserve"> AL 6496-G-A Attachment A </w:t>
      </w:r>
      <w:r w:rsidRPr="003B3926">
        <w:rPr>
          <w:rFonts w:ascii="Palatino Linotype" w:hAnsi="Palatino Linotype"/>
          <w:color w:val="000000" w:themeColor="text1"/>
        </w:rPr>
        <w:t>at p. 75. See also AL 6496-G-A Attachment A at p. 75-82.</w:t>
      </w:r>
    </w:p>
  </w:footnote>
  <w:footnote w:id="325">
    <w:p w14:paraId="7C89CD8C"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Attachment A at p. 76.</w:t>
      </w:r>
    </w:p>
  </w:footnote>
  <w:footnote w:id="326">
    <w:p w14:paraId="4D9F7A94"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Attachment A at p. 78.</w:t>
      </w:r>
    </w:p>
  </w:footnote>
  <w:footnote w:id="327">
    <w:p w14:paraId="7A2E7061" w14:textId="77777777" w:rsidR="00C05FB0" w:rsidRDefault="00C05FB0" w:rsidP="00C05FB0">
      <w:pPr>
        <w:pStyle w:val="FootnoteText"/>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19.</w:t>
      </w:r>
      <w:r>
        <w:rPr>
          <w:rFonts w:ascii="Palatino Linotype" w:hAnsi="Palatino Linotype"/>
          <w:color w:val="000000" w:themeColor="text1"/>
        </w:rPr>
        <w:t xml:space="preserve"> </w:t>
      </w:r>
    </w:p>
  </w:footnote>
  <w:footnote w:id="328">
    <w:p w14:paraId="629A39AA"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rPr>
        <w:footnoteRef/>
      </w:r>
      <w:r w:rsidRPr="003B3926">
        <w:rPr>
          <w:rFonts w:ascii="Palatino Linotype" w:hAnsi="Palatino Linotype"/>
        </w:rPr>
        <w:t xml:space="preserve"> AL 6496-G-A Attachment A at p</w:t>
      </w:r>
      <w:r w:rsidRPr="003B3926">
        <w:rPr>
          <w:rFonts w:ascii="Palatino Linotype" w:hAnsi="Palatino Linotype"/>
          <w:color w:val="000000" w:themeColor="text1"/>
        </w:rPr>
        <w:t>. 19-20, 23, 27-28, 32, 36, 44-45, 50-51, 55, &amp; 61-64.</w:t>
      </w:r>
    </w:p>
  </w:footnote>
  <w:footnote w:id="329">
    <w:p w14:paraId="51A3157C"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Attachment A </w:t>
      </w:r>
      <w:r w:rsidRPr="003B3926">
        <w:rPr>
          <w:rFonts w:ascii="Palatino Linotype" w:hAnsi="Palatino Linotype"/>
        </w:rPr>
        <w:t>at p. 57-58 &amp; 61-64.</w:t>
      </w:r>
    </w:p>
  </w:footnote>
  <w:footnote w:id="330">
    <w:p w14:paraId="787C1102" w14:textId="77777777" w:rsidR="00C05FB0" w:rsidRDefault="00C05FB0" w:rsidP="00C05FB0">
      <w:pPr>
        <w:pStyle w:val="FootnoteText"/>
      </w:pPr>
      <w:r w:rsidRPr="003B3926">
        <w:rPr>
          <w:rStyle w:val="FootnoteReference"/>
          <w:rFonts w:ascii="Palatino Linotype" w:hAnsi="Palatino Linotype"/>
        </w:rPr>
        <w:footnoteRef/>
      </w:r>
      <w:r w:rsidRPr="003B3926">
        <w:rPr>
          <w:rFonts w:ascii="Palatino Linotype" w:hAnsi="Palatino Linotype"/>
        </w:rPr>
        <w:t xml:space="preserve"> AL 6496-G-A Attachment A at p. 65.</w:t>
      </w:r>
    </w:p>
  </w:footnote>
  <w:footnote w:id="331">
    <w:p w14:paraId="4AA56732"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Attachment A at p. 32.</w:t>
      </w:r>
    </w:p>
  </w:footnote>
  <w:footnote w:id="332">
    <w:p w14:paraId="4674D18A"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Attachment A at Appendix 5: Summary of Stakeholder Input from Annual Outreach Campaign.</w:t>
      </w:r>
    </w:p>
  </w:footnote>
  <w:footnote w:id="333">
    <w:p w14:paraId="0A9775F3"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Attachment A at p. 36.</w:t>
      </w:r>
    </w:p>
  </w:footnote>
  <w:footnote w:id="334">
    <w:p w14:paraId="6F94A472" w14:textId="77777777" w:rsidR="00C05FB0" w:rsidRDefault="00C05FB0" w:rsidP="00C05FB0">
      <w:pPr>
        <w:pStyle w:val="FootnoteText"/>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44-45.</w:t>
      </w:r>
    </w:p>
  </w:footnote>
  <w:footnote w:id="335">
    <w:p w14:paraId="347599F5"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51.</w:t>
      </w:r>
    </w:p>
  </w:footnote>
  <w:footnote w:id="336">
    <w:p w14:paraId="1EA01F40" w14:textId="77777777" w:rsidR="00C05FB0" w:rsidRDefault="00C05FB0" w:rsidP="00C05FB0">
      <w:pPr>
        <w:pStyle w:val="FootnoteText"/>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55.</w:t>
      </w:r>
    </w:p>
  </w:footnote>
  <w:footnote w:id="337">
    <w:p w14:paraId="7FDBAC85"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See Resolution </w:t>
      </w:r>
      <w:r w:rsidRPr="003B3926">
        <w:rPr>
          <w:rFonts w:ascii="Palatino Linotype" w:eastAsia="Times New Roman" w:hAnsi="Palatino Linotype" w:cs="Times New Roman"/>
          <w:kern w:val="0"/>
          <w14:ligatures w14:val="none"/>
        </w:rPr>
        <w:t xml:space="preserve">G-3624 </w:t>
      </w:r>
      <w:r w:rsidRPr="003B3926">
        <w:rPr>
          <w:rFonts w:ascii="Palatino Linotype" w:hAnsi="Palatino Linotype"/>
        </w:rPr>
        <w:t>at Appendix F: EPIC Foundational Principles for the Development of a Uniform Impact Analysis Framework.</w:t>
      </w:r>
    </w:p>
  </w:footnote>
  <w:footnote w:id="338">
    <w:p w14:paraId="29765517"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Attachment A at p. 73-74.</w:t>
      </w:r>
    </w:p>
  </w:footnote>
  <w:footnote w:id="339">
    <w:p w14:paraId="3BAB270D"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 p. 8-9 &amp; Attachment A at p. 18-19, 22-23, 26-27, 31-32, 35, 43-44, 49-50, &amp; 54-55.  </w:t>
      </w:r>
    </w:p>
  </w:footnote>
  <w:footnote w:id="340">
    <w:p w14:paraId="3005F371"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rPr>
        <w:footnoteRef/>
      </w:r>
      <w:r w:rsidRPr="003B3926">
        <w:rPr>
          <w:rFonts w:ascii="Palatino Linotype" w:hAnsi="Palatino Linotype"/>
        </w:rPr>
        <w:t xml:space="preserve"> AL 6496-G-A Attachment A at </w:t>
      </w:r>
      <w:r w:rsidRPr="003B3926">
        <w:rPr>
          <w:rFonts w:ascii="Palatino Linotype" w:hAnsi="Palatino Linotype"/>
          <w:color w:val="000000" w:themeColor="text1"/>
        </w:rPr>
        <w:t>p. 20, 24, 28, 33, 37, 45, 51, &amp; 56.  </w:t>
      </w:r>
    </w:p>
  </w:footnote>
  <w:footnote w:id="341">
    <w:p w14:paraId="6F590818" w14:textId="77777777" w:rsidR="00C05FB0" w:rsidRDefault="00C05FB0" w:rsidP="00C05FB0">
      <w:pPr>
        <w:pStyle w:val="FootnoteText"/>
      </w:pPr>
      <w:r w:rsidRPr="003B3926">
        <w:rPr>
          <w:rStyle w:val="FootnoteReference"/>
          <w:rFonts w:ascii="Palatino Linotype" w:hAnsi="Palatino Linotype"/>
        </w:rPr>
        <w:footnoteRef/>
      </w:r>
      <w:r w:rsidRPr="003B3926">
        <w:rPr>
          <w:rFonts w:ascii="Palatino Linotype" w:hAnsi="Palatino Linotype"/>
        </w:rPr>
        <w:t xml:space="preserve"> </w:t>
      </w:r>
      <w:hyperlink r:id="rId142" w:history="1">
        <w:r w:rsidRPr="003B3926">
          <w:rPr>
            <w:rStyle w:val="Hyperlink"/>
            <w:rFonts w:ascii="Palatino Linotype" w:hAnsi="Palatino Linotype"/>
            <w:bCs/>
          </w:rPr>
          <w:t>Resolution G-3601</w:t>
        </w:r>
      </w:hyperlink>
      <w:r w:rsidRPr="003B3926">
        <w:rPr>
          <w:rFonts w:ascii="Palatino Linotype" w:hAnsi="Palatino Linotype"/>
          <w:bCs/>
          <w:color w:val="000000" w:themeColor="text1"/>
        </w:rPr>
        <w:t xml:space="preserve"> (2023) at p. 18.</w:t>
      </w:r>
    </w:p>
  </w:footnote>
  <w:footnote w:id="342">
    <w:p w14:paraId="45987CF3"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19, 23, 27, &amp; 32.</w:t>
      </w:r>
    </w:p>
  </w:footnote>
  <w:footnote w:id="343">
    <w:p w14:paraId="05FE566A"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36 &amp; 44-45.</w:t>
      </w:r>
    </w:p>
  </w:footnote>
  <w:footnote w:id="344">
    <w:p w14:paraId="0945D5B6" w14:textId="77777777" w:rsidR="00C05FB0" w:rsidRDefault="00C05FB0" w:rsidP="00C05FB0">
      <w:pPr>
        <w:pStyle w:val="FootnoteText"/>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55.</w:t>
      </w:r>
    </w:p>
  </w:footnote>
  <w:footnote w:id="345">
    <w:p w14:paraId="5724593E"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 xml:space="preserve">AL 6496-G-A Attachment A at </w:t>
      </w:r>
      <w:r w:rsidRPr="003B3926">
        <w:rPr>
          <w:rFonts w:ascii="Palatino Linotype" w:hAnsi="Palatino Linotype"/>
          <w:color w:val="000000" w:themeColor="text1"/>
        </w:rPr>
        <w:t>p. 66.</w:t>
      </w:r>
    </w:p>
  </w:footnote>
  <w:footnote w:id="346">
    <w:p w14:paraId="28808D38"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w:t>
      </w:r>
      <w:r w:rsidRPr="003B3926">
        <w:rPr>
          <w:rFonts w:ascii="Palatino Linotype" w:hAnsi="Palatino Linotype"/>
        </w:rPr>
        <w:t>at p</w:t>
      </w:r>
      <w:r w:rsidRPr="003B3926">
        <w:rPr>
          <w:rFonts w:ascii="Palatino Linotype" w:hAnsi="Palatino Linotype"/>
          <w:color w:val="000000" w:themeColor="text1"/>
        </w:rPr>
        <w:t xml:space="preserve">. 8. </w:t>
      </w:r>
      <w:hyperlink r:id="rId143" w:history="1">
        <w:r w:rsidRPr="003B3926">
          <w:rPr>
            <w:rStyle w:val="Hyperlink"/>
            <w:rFonts w:ascii="Palatino Linotype" w:hAnsi="Palatino Linotype"/>
            <w:bCs/>
          </w:rPr>
          <w:t>SoCalGas RD&amp;D 2024 Research Plan Public Workshop (April 28, 2025) Recording.</w:t>
        </w:r>
      </w:hyperlink>
    </w:p>
  </w:footnote>
  <w:footnote w:id="347">
    <w:p w14:paraId="66B6742F"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rPr>
        <w:footnoteRef/>
      </w:r>
      <w:r w:rsidRPr="003B3926">
        <w:rPr>
          <w:rFonts w:ascii="Palatino Linotype" w:hAnsi="Palatino Linotype"/>
        </w:rPr>
        <w:t xml:space="preserve"> AL 6496-G-A </w:t>
      </w:r>
      <w:r w:rsidRPr="003B3926">
        <w:rPr>
          <w:rFonts w:ascii="Palatino Linotype" w:hAnsi="Palatino Linotype"/>
        </w:rPr>
        <w:t xml:space="preserve">at </w:t>
      </w:r>
      <w:r w:rsidRPr="003B3926">
        <w:rPr>
          <w:rFonts w:ascii="Palatino Linotype" w:hAnsi="Palatino Linotype"/>
          <w:color w:val="000000" w:themeColor="text1"/>
        </w:rPr>
        <w:t>p. 11.</w:t>
      </w:r>
    </w:p>
  </w:footnote>
  <w:footnote w:id="348">
    <w:p w14:paraId="00941CEC"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Attachment A at p. 19-20, 23, 27-28, 32, 36, 44-45, 50-51, &amp; 55.  </w:t>
      </w:r>
    </w:p>
  </w:footnote>
  <w:footnote w:id="349">
    <w:p w14:paraId="4D264826"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w:t>
      </w:r>
      <w:r w:rsidRPr="003B3926">
        <w:rPr>
          <w:rFonts w:ascii="Palatino Linotype" w:hAnsi="Palatino Linotype"/>
          <w:color w:val="000000" w:themeColor="text1"/>
        </w:rPr>
        <w:t>at p. 11.</w:t>
      </w:r>
    </w:p>
  </w:footnote>
  <w:footnote w:id="350">
    <w:p w14:paraId="50AABF68" w14:textId="77777777" w:rsidR="00C05FB0" w:rsidRDefault="00C05FB0" w:rsidP="00C05FB0">
      <w:pPr>
        <w:pStyle w:val="FootnoteText"/>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Attachment A at p. 71.</w:t>
      </w:r>
    </w:p>
  </w:footnote>
  <w:footnote w:id="351">
    <w:p w14:paraId="417DE9C6"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rPr>
        <w:footnoteRef/>
      </w:r>
      <w:r w:rsidRPr="003B3926">
        <w:rPr>
          <w:rFonts w:ascii="Palatino Linotype" w:hAnsi="Palatino Linotype"/>
        </w:rPr>
        <w:t xml:space="preserve"> AL 6496-G-</w:t>
      </w:r>
      <w:r w:rsidRPr="003B3926">
        <w:rPr>
          <w:rFonts w:ascii="Palatino Linotype" w:hAnsi="Palatino Linotype"/>
          <w:color w:val="000000" w:themeColor="text1"/>
        </w:rPr>
        <w:t>A Attachment A at p. 19-20, 24, 27-28, 32-33, 36-37, 45, 51, &amp; 56.  </w:t>
      </w:r>
    </w:p>
  </w:footnote>
  <w:footnote w:id="352">
    <w:p w14:paraId="167E277A" w14:textId="77777777" w:rsidR="00C05FB0" w:rsidRPr="003B3926" w:rsidRDefault="00C05FB0" w:rsidP="00C05FB0">
      <w:pPr>
        <w:pStyle w:val="FootnoteText"/>
        <w:rPr>
          <w:rFonts w:ascii="Palatino Linotype" w:hAnsi="Palatino Linotype"/>
          <w:color w:val="000000" w:themeColor="text1"/>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Attachment A at p. 11.</w:t>
      </w:r>
    </w:p>
  </w:footnote>
  <w:footnote w:id="353">
    <w:p w14:paraId="00BD1EEF"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20 &amp; 24.</w:t>
      </w:r>
    </w:p>
  </w:footnote>
  <w:footnote w:id="354">
    <w:p w14:paraId="72585F5C"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28.</w:t>
      </w:r>
    </w:p>
  </w:footnote>
  <w:footnote w:id="355">
    <w:p w14:paraId="434F3087"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33.</w:t>
      </w:r>
    </w:p>
  </w:footnote>
  <w:footnote w:id="356">
    <w:p w14:paraId="500583D5"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24.</w:t>
      </w:r>
    </w:p>
  </w:footnote>
  <w:footnote w:id="357">
    <w:p w14:paraId="7E9F6595"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28.</w:t>
      </w:r>
    </w:p>
  </w:footnote>
  <w:footnote w:id="358">
    <w:p w14:paraId="4408F1DA"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32.</w:t>
      </w:r>
    </w:p>
  </w:footnote>
  <w:footnote w:id="359">
    <w:p w14:paraId="26330141"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 xml:space="preserve">AL 6496-G-A Attachment A </w:t>
      </w:r>
      <w:r w:rsidRPr="003B3926">
        <w:rPr>
          <w:rFonts w:ascii="Palatino Linotype" w:hAnsi="Palatino Linotype"/>
          <w:color w:val="000000" w:themeColor="text1"/>
        </w:rPr>
        <w:t>at p. 28, 36, &amp; 45.</w:t>
      </w:r>
    </w:p>
  </w:footnote>
  <w:footnote w:id="360">
    <w:p w14:paraId="0DC3D1EA"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28</w:t>
      </w:r>
    </w:p>
  </w:footnote>
  <w:footnote w:id="361">
    <w:p w14:paraId="2C58B36F"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hAnsi="Palatino Linotype"/>
          <w:color w:val="000000" w:themeColor="text1"/>
        </w:rPr>
        <w:t>AL 6496-G-A Attachment A at p. 33.</w:t>
      </w:r>
    </w:p>
  </w:footnote>
  <w:footnote w:id="362">
    <w:p w14:paraId="61E8705B"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color w:val="000000" w:themeColor="text1"/>
        </w:rPr>
        <w:footnoteRef/>
      </w:r>
      <w:r w:rsidRPr="003B3926">
        <w:rPr>
          <w:rFonts w:ascii="Palatino Linotype" w:hAnsi="Palatino Linotype"/>
          <w:color w:val="000000" w:themeColor="text1"/>
        </w:rPr>
        <w:t xml:space="preserve"> AL 6496-G-A Attachment A at p. 16-17, 21-22, 25-26, 29-31, 34-35, 41-43, 47-49, &amp; 53-54.</w:t>
      </w:r>
    </w:p>
  </w:footnote>
  <w:footnote w:id="363">
    <w:p w14:paraId="2D2B3464"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6495-G-A Attachment A at p. 33.</w:t>
      </w:r>
    </w:p>
  </w:footnote>
  <w:footnote w:id="364">
    <w:p w14:paraId="6D85B84B"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6496-G-A Attachment A at p. 34. </w:t>
      </w:r>
    </w:p>
  </w:footnote>
  <w:footnote w:id="365">
    <w:p w14:paraId="3DFBF887" w14:textId="77777777" w:rsidR="00C05FB0" w:rsidRPr="003B3926" w:rsidRDefault="00C05FB0" w:rsidP="00C05FB0">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6495-G-A Attachment A at </w:t>
      </w:r>
      <w:r w:rsidRPr="003B3926">
        <w:rPr>
          <w:rFonts w:ascii="Palatino Linotype" w:hAnsi="Palatino Linotype"/>
        </w:rPr>
        <w:t>p. 25.</w:t>
      </w:r>
    </w:p>
  </w:footnote>
  <w:footnote w:id="366">
    <w:p w14:paraId="067A2073" w14:textId="77777777" w:rsidR="00C05FB0" w:rsidRDefault="00C05FB0" w:rsidP="00C05FB0">
      <w:pPr>
        <w:pStyle w:val="FootnoteText"/>
      </w:pPr>
      <w:r w:rsidRPr="003B3926">
        <w:rPr>
          <w:rStyle w:val="FootnoteReference"/>
          <w:rFonts w:ascii="Palatino Linotype" w:hAnsi="Palatino Linotype"/>
        </w:rPr>
        <w:footnoteRef/>
      </w:r>
      <w:r w:rsidRPr="003B3926">
        <w:rPr>
          <w:rFonts w:ascii="Palatino Linotype" w:hAnsi="Palatino Linotype"/>
        </w:rPr>
        <w:t xml:space="preserve"> </w:t>
      </w:r>
      <w:hyperlink r:id="rId144" w:history="1">
        <w:r w:rsidRPr="003B3926">
          <w:rPr>
            <w:rStyle w:val="Hyperlink"/>
            <w:rFonts w:ascii="Palatino Linotype" w:hAnsi="Palatino Linotype"/>
          </w:rPr>
          <w:t>CEC’s Proposed FY 2024-2025 Gas RD&amp;D Plan</w:t>
        </w:r>
      </w:hyperlink>
      <w:r w:rsidRPr="003B3926">
        <w:rPr>
          <w:rFonts w:ascii="Palatino Linotype" w:hAnsi="Palatino Linotype"/>
        </w:rPr>
        <w:t xml:space="preserve"> at p. 48.</w:t>
      </w:r>
    </w:p>
  </w:footnote>
  <w:footnote w:id="367">
    <w:p w14:paraId="5D1E82C7" w14:textId="77777777" w:rsidR="001E4CE1" w:rsidRPr="003B3926" w:rsidRDefault="001E4CE1" w:rsidP="001E4CE1">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Upheld in </w:t>
      </w:r>
      <w:hyperlink r:id="rId145" w:history="1">
        <w:r w:rsidRPr="003B3926">
          <w:rPr>
            <w:rStyle w:val="Hyperlink"/>
            <w:rFonts w:ascii="Palatino Linotype" w:hAnsi="Palatino Linotype"/>
          </w:rPr>
          <w:t>D.24-12-074</w:t>
        </w:r>
      </w:hyperlink>
      <w:r w:rsidRPr="003B3926">
        <w:rPr>
          <w:rFonts w:ascii="Palatino Linotype" w:hAnsi="Palatino Linotype"/>
        </w:rPr>
        <w:t xml:space="preserve"> at p. 327-330.</w:t>
      </w:r>
    </w:p>
  </w:footnote>
  <w:footnote w:id="368">
    <w:p w14:paraId="768C04D9" w14:textId="77777777" w:rsidR="001E4CE1" w:rsidRPr="003B3926" w:rsidRDefault="001E4CE1" w:rsidP="001E4CE1">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AL 6645-G </w:t>
      </w:r>
      <w:r w:rsidRPr="003B3926">
        <w:rPr>
          <w:rFonts w:ascii="Palatino Linotype" w:hAnsi="Palatino Linotype"/>
        </w:rPr>
        <w:t>at p. 7.</w:t>
      </w:r>
    </w:p>
  </w:footnote>
  <w:footnote w:id="369">
    <w:p w14:paraId="74A302FF" w14:textId="77777777" w:rsidR="001E4CE1" w:rsidRPr="00C57F55" w:rsidRDefault="001E4CE1" w:rsidP="001E4CE1">
      <w:pPr>
        <w:pStyle w:val="FootnoteText"/>
        <w:rPr>
          <w:rFonts w:ascii="Palatino Linotype" w:hAnsi="Palatino Linotype"/>
        </w:rPr>
      </w:pPr>
      <w:r w:rsidRPr="003B3926">
        <w:rPr>
          <w:rStyle w:val="FootnoteReference"/>
          <w:rFonts w:ascii="Palatino Linotype" w:hAnsi="Palatino Linotype"/>
        </w:rPr>
        <w:footnoteRef/>
      </w:r>
      <w:r w:rsidRPr="003B3926">
        <w:rPr>
          <w:rFonts w:ascii="Palatino Linotype" w:hAnsi="Palatino Linotype"/>
        </w:rPr>
        <w:t xml:space="preserve"> </w:t>
      </w:r>
      <w:r w:rsidRPr="003B3926">
        <w:rPr>
          <w:rFonts w:ascii="Palatino Linotype" w:eastAsia="Palatino Linotype" w:hAnsi="Palatino Linotype" w:cs="Palatino Linotype"/>
        </w:rPr>
        <w:t xml:space="preserve">AL 6645-G </w:t>
      </w:r>
      <w:r w:rsidRPr="003B3926">
        <w:rPr>
          <w:rFonts w:ascii="Palatino Linotype" w:eastAsia="Palatino Linotype" w:hAnsi="Palatino Linotype" w:cs="Palatino Linotype"/>
        </w:rPr>
        <w:t>at p. 8.</w:t>
      </w:r>
    </w:p>
  </w:footnote>
  <w:footnote w:id="370">
    <w:p w14:paraId="2CB6EEBE" w14:textId="77777777" w:rsidR="001E4CE1" w:rsidRDefault="001E4CE1" w:rsidP="001E4CE1">
      <w:pPr>
        <w:pStyle w:val="FootnoteText"/>
      </w:pPr>
      <w:r w:rsidRPr="00C57F55">
        <w:rPr>
          <w:rStyle w:val="FootnoteReference"/>
          <w:rFonts w:ascii="Palatino Linotype" w:hAnsi="Palatino Linotype"/>
        </w:rPr>
        <w:footnoteRef/>
      </w:r>
      <w:r w:rsidRPr="00C57F55">
        <w:rPr>
          <w:rFonts w:ascii="Palatino Linotype" w:hAnsi="Palatino Linotype"/>
        </w:rPr>
        <w:t xml:space="preserve"> </w:t>
      </w:r>
      <w:r w:rsidRPr="00C57F55">
        <w:rPr>
          <w:rFonts w:ascii="Palatino Linotype" w:eastAsia="Palatino Linotype" w:hAnsi="Palatino Linotype" w:cs="Palatino Linotype"/>
        </w:rPr>
        <w:t xml:space="preserve">AL 6645-G </w:t>
      </w:r>
      <w:r w:rsidRPr="00C57F55">
        <w:rPr>
          <w:rFonts w:ascii="Palatino Linotype" w:eastAsia="Palatino Linotype" w:hAnsi="Palatino Linotype" w:cs="Palatino Linotype"/>
        </w:rPr>
        <w:t>at p. 8</w:t>
      </w:r>
      <w:r w:rsidRPr="00C57F55">
        <w:rPr>
          <w:rFonts w:ascii="Palatino Linotype" w:hAnsi="Palatino Linotype"/>
        </w:rPr>
        <w:t>.</w:t>
      </w:r>
    </w:p>
  </w:footnote>
  <w:footnote w:id="371">
    <w:p w14:paraId="00F1BD7A" w14:textId="77777777" w:rsidR="001E4CE1" w:rsidRDefault="001E4CE1" w:rsidP="001E4CE1">
      <w:pPr>
        <w:pStyle w:val="FootnoteText"/>
      </w:pPr>
      <w:r w:rsidRPr="62246B0C">
        <w:rPr>
          <w:rStyle w:val="FootnoteReference"/>
        </w:rPr>
        <w:footnoteRef/>
      </w:r>
      <w:r w:rsidRPr="6D92BD94">
        <w:rPr>
          <w:rFonts w:ascii="Palatino Linotype" w:eastAsia="Palatino Linotype" w:hAnsi="Palatino Linotype" w:cs="Palatino Linotype"/>
        </w:rPr>
        <w:t xml:space="preserve"> AL 6645-G Attachment A</w:t>
      </w:r>
      <w:r>
        <w:rPr>
          <w:rFonts w:ascii="Palatino Linotype" w:eastAsia="Palatino Linotype" w:hAnsi="Palatino Linotype" w:cs="Palatino Linotype"/>
        </w:rPr>
        <w:t xml:space="preserve"> </w:t>
      </w:r>
      <w:r w:rsidRPr="6D92BD94">
        <w:rPr>
          <w:rFonts w:ascii="Palatino Linotype" w:eastAsia="Palatino Linotype" w:hAnsi="Palatino Linotype" w:cs="Palatino Linotype"/>
        </w:rPr>
        <w:t>at p. 94-113.</w:t>
      </w:r>
    </w:p>
  </w:footnote>
  <w:footnote w:id="372">
    <w:p w14:paraId="54FEAB9D" w14:textId="77777777" w:rsidR="001E4CE1" w:rsidRDefault="001E4CE1" w:rsidP="001E4CE1">
      <w:pPr>
        <w:pStyle w:val="FootnoteText"/>
      </w:pPr>
      <w:r>
        <w:rPr>
          <w:rStyle w:val="FootnoteReference"/>
        </w:rPr>
        <w:footnoteRef/>
      </w:r>
      <w:r>
        <w:t xml:space="preserve"> </w:t>
      </w:r>
      <w:r w:rsidRPr="00BD6587">
        <w:rPr>
          <w:rFonts w:ascii="Palatino Linotype" w:hAnsi="Palatino Linotype"/>
        </w:rPr>
        <w:t xml:space="preserve">Upheld in </w:t>
      </w:r>
      <w:hyperlink r:id="rId146" w:history="1">
        <w:r w:rsidRPr="00C73E2D">
          <w:rPr>
            <w:rStyle w:val="Hyperlink"/>
            <w:rFonts w:ascii="Palatino Linotype" w:hAnsi="Palatino Linotype"/>
          </w:rPr>
          <w:t>D.24-12-074</w:t>
        </w:r>
      </w:hyperlink>
      <w:r w:rsidRPr="00C73E2D">
        <w:rPr>
          <w:rFonts w:ascii="Palatino Linotype" w:hAnsi="Palatino Linotype"/>
        </w:rPr>
        <w:t xml:space="preserve"> at </w:t>
      </w:r>
      <w:r>
        <w:rPr>
          <w:rFonts w:ascii="Palatino Linotype" w:hAnsi="Palatino Linotype"/>
        </w:rPr>
        <w:t>p. 327-330.</w:t>
      </w:r>
    </w:p>
  </w:footnote>
  <w:footnote w:id="373">
    <w:p w14:paraId="490A8C03" w14:textId="77777777" w:rsidR="001E4CE1" w:rsidRPr="003C1D92" w:rsidRDefault="001E4CE1" w:rsidP="001E4CE1">
      <w:pPr>
        <w:pStyle w:val="FootnoteText"/>
        <w:rPr>
          <w:rFonts w:ascii="Palatino Linotype" w:hAnsi="Palatino Linotype"/>
        </w:rPr>
      </w:pPr>
      <w:r w:rsidRPr="003C1D92">
        <w:rPr>
          <w:rStyle w:val="FootnoteReference"/>
          <w:rFonts w:ascii="Palatino Linotype" w:hAnsi="Palatino Linotype"/>
        </w:rPr>
        <w:footnoteRef/>
      </w:r>
      <w:r w:rsidRPr="003C1D92">
        <w:rPr>
          <w:rFonts w:ascii="Palatino Linotype" w:hAnsi="Palatino Linotype"/>
        </w:rPr>
        <w:t xml:space="preserve"> </w:t>
      </w:r>
      <w:hyperlink r:id="rId147" w:history="1">
        <w:r w:rsidRPr="00367F4E">
          <w:rPr>
            <w:rStyle w:val="Hyperlink"/>
            <w:rFonts w:ascii="Palatino Linotype" w:hAnsi="Palatino Linotype"/>
          </w:rPr>
          <w:t>SoCalGas 2025 Annual Gas RD&amp;D Report</w:t>
        </w:r>
      </w:hyperlink>
      <w:r>
        <w:rPr>
          <w:rFonts w:ascii="Palatino Linotype" w:hAnsi="Palatino Linotype"/>
        </w:rPr>
        <w:t>.</w:t>
      </w:r>
    </w:p>
  </w:footnote>
  <w:footnote w:id="374">
    <w:p w14:paraId="34AA3C90" w14:textId="77777777" w:rsidR="001E4CE1" w:rsidRDefault="001E4CE1" w:rsidP="001E4CE1">
      <w:pPr>
        <w:pStyle w:val="FootnoteText"/>
      </w:pPr>
      <w:r w:rsidRPr="20C9FF4C">
        <w:rPr>
          <w:rStyle w:val="FootnoteReference"/>
        </w:rPr>
        <w:footnoteRef/>
      </w:r>
      <w:r>
        <w:t xml:space="preserve"> </w:t>
      </w:r>
      <w:hyperlink r:id="rId148" w:history="1">
        <w:r w:rsidRPr="00F00414">
          <w:rPr>
            <w:rStyle w:val="Hyperlink"/>
            <w:rFonts w:ascii="Palatino Linotype" w:hAnsi="Palatino Linotype"/>
          </w:rPr>
          <w:t>SoCalGas 2025 Annual Gas RD&amp;D Report</w:t>
        </w:r>
      </w:hyperlink>
      <w:r>
        <w:t xml:space="preserve"> </w:t>
      </w:r>
      <w:r w:rsidRPr="002A5B02">
        <w:rPr>
          <w:rFonts w:ascii="Palatino Linotype" w:eastAsia="Palatino Linotype" w:hAnsi="Palatino Linotype" w:cs="Palatino Linotype"/>
        </w:rPr>
        <w:t xml:space="preserve">at </w:t>
      </w:r>
      <w:r w:rsidRPr="002A5B02">
        <w:rPr>
          <w:rFonts w:ascii="Palatino Linotype" w:eastAsia="Palatino Linotype" w:hAnsi="Palatino Linotype" w:cs="Palatino Linotype"/>
        </w:rPr>
        <w:t>p. 7.</w:t>
      </w:r>
    </w:p>
  </w:footnote>
  <w:footnote w:id="375">
    <w:p w14:paraId="01E22241" w14:textId="77777777" w:rsidR="001E4CE1" w:rsidRDefault="001E4CE1" w:rsidP="001E4CE1">
      <w:pPr>
        <w:pStyle w:val="FootnoteText"/>
      </w:pPr>
      <w:r w:rsidRPr="20C9FF4C">
        <w:rPr>
          <w:rStyle w:val="FootnoteReference"/>
        </w:rPr>
        <w:footnoteRef/>
      </w:r>
      <w:r>
        <w:t xml:space="preserve"> </w:t>
      </w:r>
      <w:hyperlink r:id="rId149" w:history="1">
        <w:r w:rsidRPr="00F00414">
          <w:rPr>
            <w:rStyle w:val="Hyperlink"/>
            <w:rFonts w:ascii="Palatino Linotype" w:hAnsi="Palatino Linotype"/>
          </w:rPr>
          <w:t>SoCalGas 2025 Annual Gas RD&amp;D Report</w:t>
        </w:r>
      </w:hyperlink>
      <w:r>
        <w:t xml:space="preserve"> </w:t>
      </w:r>
      <w:r w:rsidRPr="002A5B02">
        <w:rPr>
          <w:rFonts w:ascii="Palatino Linotype" w:eastAsia="Palatino Linotype" w:hAnsi="Palatino Linotype" w:cs="Palatino Linotype"/>
        </w:rPr>
        <w:t>at p</w:t>
      </w:r>
      <w:r w:rsidRPr="002A5B02">
        <w:rPr>
          <w:rFonts w:ascii="Palatino Linotype" w:eastAsia="Palatino Linotype" w:hAnsi="Palatino Linotype" w:cs="Palatino Linotype"/>
        </w:rPr>
        <w:t>. 9.</w:t>
      </w:r>
    </w:p>
  </w:footnote>
  <w:footnote w:id="376">
    <w:p w14:paraId="5B48C518" w14:textId="77777777" w:rsidR="001E4CE1" w:rsidRDefault="001E4CE1" w:rsidP="001E4CE1">
      <w:pPr>
        <w:pStyle w:val="FootnoteText"/>
      </w:pPr>
      <w:r w:rsidRPr="20C9FF4C">
        <w:rPr>
          <w:rStyle w:val="FootnoteReference"/>
        </w:rPr>
        <w:footnoteRef/>
      </w:r>
      <w:r>
        <w:t xml:space="preserve"> </w:t>
      </w:r>
      <w:hyperlink r:id="rId150" w:history="1">
        <w:r w:rsidRPr="00F00414">
          <w:rPr>
            <w:rStyle w:val="Hyperlink"/>
            <w:rFonts w:ascii="Palatino Linotype" w:hAnsi="Palatino Linotype"/>
          </w:rPr>
          <w:t>SoCalGas 2025 Annual Gas RD&amp;D Report</w:t>
        </w:r>
      </w:hyperlink>
      <w:r>
        <w:t xml:space="preserve"> </w:t>
      </w:r>
      <w:r w:rsidRPr="002A5B02">
        <w:rPr>
          <w:rFonts w:ascii="Palatino Linotype" w:eastAsia="Palatino Linotype" w:hAnsi="Palatino Linotype" w:cs="Palatino Linotype"/>
        </w:rPr>
        <w:t>at p. 13-14.</w:t>
      </w:r>
    </w:p>
  </w:footnote>
  <w:footnote w:id="377">
    <w:p w14:paraId="11BE0D61" w14:textId="77777777" w:rsidR="001E4CE1" w:rsidRDefault="001E4CE1" w:rsidP="001E4CE1">
      <w:pPr>
        <w:pStyle w:val="FootnoteText"/>
      </w:pPr>
      <w:r w:rsidRPr="20C9FF4C">
        <w:rPr>
          <w:rStyle w:val="FootnoteReference"/>
        </w:rPr>
        <w:footnoteRef/>
      </w:r>
      <w:r>
        <w:t xml:space="preserve"> </w:t>
      </w:r>
      <w:hyperlink r:id="rId151" w:history="1">
        <w:r w:rsidRPr="00F00414">
          <w:rPr>
            <w:rStyle w:val="Hyperlink"/>
            <w:rFonts w:ascii="Palatino Linotype" w:hAnsi="Palatino Linotype"/>
          </w:rPr>
          <w:t>SoCalGas 2025 Annual Gas RD&amp;D Report</w:t>
        </w:r>
      </w:hyperlink>
      <w:r>
        <w:t xml:space="preserve"> </w:t>
      </w:r>
      <w:r w:rsidRPr="002A5B02">
        <w:rPr>
          <w:rFonts w:ascii="Palatino Linotype" w:eastAsia="Palatino Linotype" w:hAnsi="Palatino Linotype" w:cs="Palatino Linotype"/>
        </w:rPr>
        <w:t xml:space="preserve">at </w:t>
      </w:r>
      <w:r w:rsidRPr="002A5B02">
        <w:rPr>
          <w:rFonts w:ascii="Palatino Linotype" w:eastAsia="Palatino Linotype" w:hAnsi="Palatino Linotype" w:cs="Palatino Linotype"/>
        </w:rPr>
        <w:t>p. 13.</w:t>
      </w:r>
    </w:p>
  </w:footnote>
  <w:footnote w:id="378">
    <w:p w14:paraId="4313FCAF" w14:textId="77777777" w:rsidR="001E4CE1" w:rsidRDefault="001E4CE1" w:rsidP="001E4CE1">
      <w:pPr>
        <w:pStyle w:val="FootnoteText"/>
      </w:pPr>
      <w:r w:rsidRPr="20C9FF4C">
        <w:rPr>
          <w:rStyle w:val="FootnoteReference"/>
        </w:rPr>
        <w:footnoteRef/>
      </w:r>
      <w:r>
        <w:t xml:space="preserve"> </w:t>
      </w:r>
      <w:hyperlink r:id="rId152">
        <w:r w:rsidRPr="22AA1D89">
          <w:rPr>
            <w:rStyle w:val="Hyperlink"/>
            <w:rFonts w:ascii="Palatino Linotype" w:hAnsi="Palatino Linotype"/>
          </w:rPr>
          <w:t>SoCalGas 2025 Annual Gas RD&amp;D Report</w:t>
        </w:r>
      </w:hyperlink>
      <w:r>
        <w:t xml:space="preserve"> </w:t>
      </w:r>
      <w:r w:rsidRPr="22AA1D89">
        <w:rPr>
          <w:rFonts w:ascii="Palatino Linotype" w:eastAsia="Palatino Linotype" w:hAnsi="Palatino Linotype" w:cs="Palatino Linotype"/>
        </w:rPr>
        <w:t xml:space="preserve">at </w:t>
      </w:r>
      <w:r w:rsidRPr="22AA1D89">
        <w:rPr>
          <w:rFonts w:ascii="Palatino Linotype" w:eastAsia="Palatino Linotype" w:hAnsi="Palatino Linotype" w:cs="Palatino Linotype"/>
        </w:rPr>
        <w:t>p. 13.</w:t>
      </w:r>
    </w:p>
  </w:footnote>
  <w:footnote w:id="379">
    <w:p w14:paraId="70D1931F" w14:textId="77777777" w:rsidR="001E4CE1" w:rsidRDefault="001E4CE1" w:rsidP="001E4CE1">
      <w:pPr>
        <w:pStyle w:val="FootnoteText"/>
      </w:pPr>
      <w:r w:rsidRPr="20C9FF4C">
        <w:rPr>
          <w:rStyle w:val="FootnoteReference"/>
        </w:rPr>
        <w:footnoteRef/>
      </w:r>
      <w:r>
        <w:t xml:space="preserve"> </w:t>
      </w:r>
      <w:hyperlink r:id="rId153" w:history="1">
        <w:r w:rsidRPr="00F00414">
          <w:rPr>
            <w:rStyle w:val="Hyperlink"/>
            <w:rFonts w:ascii="Palatino Linotype" w:hAnsi="Palatino Linotype"/>
          </w:rPr>
          <w:t>SoCalGas 2025 Annual Gas RD&amp;D Report</w:t>
        </w:r>
      </w:hyperlink>
      <w:r>
        <w:t xml:space="preserve"> </w:t>
      </w:r>
      <w:r w:rsidRPr="002A5B02">
        <w:rPr>
          <w:rFonts w:ascii="Palatino Linotype" w:eastAsia="Palatino Linotype" w:hAnsi="Palatino Linotype" w:cs="Palatino Linotype"/>
        </w:rPr>
        <w:t>at p. 6-9.</w:t>
      </w:r>
    </w:p>
  </w:footnote>
  <w:footnote w:id="380">
    <w:p w14:paraId="33060C64" w14:textId="77777777" w:rsidR="001E4CE1" w:rsidRDefault="001E4CE1" w:rsidP="001E4CE1">
      <w:pPr>
        <w:pStyle w:val="FootnoteText"/>
      </w:pPr>
      <w:r>
        <w:rPr>
          <w:rStyle w:val="FootnoteReference"/>
        </w:rPr>
        <w:footnoteRef/>
      </w:r>
      <w:r>
        <w:t xml:space="preserve"> </w:t>
      </w:r>
      <w:r w:rsidRPr="00BD6587">
        <w:rPr>
          <w:rFonts w:ascii="Palatino Linotype" w:hAnsi="Palatino Linotype"/>
        </w:rPr>
        <w:t xml:space="preserve">Upheld in </w:t>
      </w:r>
      <w:hyperlink r:id="rId154" w:history="1">
        <w:r w:rsidRPr="00C73E2D">
          <w:rPr>
            <w:rStyle w:val="Hyperlink"/>
            <w:rFonts w:ascii="Palatino Linotype" w:hAnsi="Palatino Linotype"/>
          </w:rPr>
          <w:t>D.24-12-074</w:t>
        </w:r>
      </w:hyperlink>
      <w:r w:rsidRPr="00C73E2D">
        <w:rPr>
          <w:rFonts w:ascii="Palatino Linotype" w:hAnsi="Palatino Linotype"/>
        </w:rPr>
        <w:t xml:space="preserve"> at </w:t>
      </w:r>
      <w:r>
        <w:rPr>
          <w:rFonts w:ascii="Palatino Linotype" w:hAnsi="Palatino Linotype"/>
        </w:rPr>
        <w:t>p. 327-330.</w:t>
      </w:r>
    </w:p>
  </w:footnote>
  <w:footnote w:id="381">
    <w:p w14:paraId="0A16232F" w14:textId="77777777" w:rsidR="001E4CE1" w:rsidRPr="00367F4E" w:rsidRDefault="001E4CE1" w:rsidP="001E4CE1">
      <w:pPr>
        <w:pStyle w:val="FootnoteText"/>
        <w:rPr>
          <w:rFonts w:ascii="Palatino Linotype" w:hAnsi="Palatino Linotype"/>
        </w:rPr>
      </w:pPr>
      <w:r w:rsidRPr="00367F4E">
        <w:rPr>
          <w:rStyle w:val="FootnoteReference"/>
          <w:rFonts w:ascii="Palatino Linotype" w:hAnsi="Palatino Linotype"/>
        </w:rPr>
        <w:footnoteRef/>
      </w:r>
      <w:r w:rsidRPr="00367F4E">
        <w:rPr>
          <w:rFonts w:ascii="Palatino Linotype" w:hAnsi="Palatino Linotype"/>
        </w:rPr>
        <w:t xml:space="preserve"> </w:t>
      </w:r>
      <w:hyperlink r:id="rId155" w:history="1">
        <w:r w:rsidRPr="00367F4E">
          <w:rPr>
            <w:rStyle w:val="Hyperlink"/>
            <w:rFonts w:ascii="Palatino Linotype" w:hAnsi="Palatino Linotype"/>
          </w:rPr>
          <w:t>D.24-12-074</w:t>
        </w:r>
      </w:hyperlink>
      <w:r w:rsidRPr="00367F4E">
        <w:rPr>
          <w:rFonts w:ascii="Palatino Linotype" w:hAnsi="Palatino Linotype"/>
        </w:rPr>
        <w:t xml:space="preserve"> at p. 21-24, 327-330, 895, &amp; 901; FOF 110; &amp; COL 305. See Resolution G-3624 </w:t>
      </w:r>
      <w:r w:rsidRPr="00367F4E">
        <w:rPr>
          <w:rFonts w:ascii="Palatino Linotype" w:hAnsi="Palatino Linotype"/>
        </w:rPr>
        <w:t xml:space="preserve">at p. 4-5. </w:t>
      </w:r>
    </w:p>
  </w:footnote>
  <w:footnote w:id="382">
    <w:p w14:paraId="0E508729" w14:textId="77777777" w:rsidR="001E4CE1" w:rsidRPr="00367F4E" w:rsidRDefault="001E4CE1" w:rsidP="001E4CE1">
      <w:pPr>
        <w:pStyle w:val="FootnoteText"/>
        <w:rPr>
          <w:rFonts w:ascii="Palatino Linotype" w:hAnsi="Palatino Linotype"/>
        </w:rPr>
      </w:pPr>
      <w:r w:rsidRPr="00367F4E">
        <w:rPr>
          <w:rStyle w:val="FootnoteReference"/>
          <w:rFonts w:ascii="Palatino Linotype" w:hAnsi="Palatino Linotype"/>
        </w:rPr>
        <w:footnoteRef/>
      </w:r>
      <w:r w:rsidRPr="00367F4E">
        <w:rPr>
          <w:rFonts w:ascii="Palatino Linotype" w:eastAsia="Palatino Linotype" w:hAnsi="Palatino Linotype" w:cs="Palatino Linotype"/>
        </w:rPr>
        <w:t xml:space="preserve"> AL 6645-G at p. 6.</w:t>
      </w:r>
    </w:p>
  </w:footnote>
  <w:footnote w:id="383">
    <w:p w14:paraId="425DF581" w14:textId="77777777" w:rsidR="001E4CE1" w:rsidRPr="00367F4E" w:rsidRDefault="001E4CE1" w:rsidP="001E4CE1">
      <w:pPr>
        <w:pStyle w:val="FootnoteText"/>
        <w:rPr>
          <w:rFonts w:ascii="Palatino Linotype" w:hAnsi="Palatino Linotype"/>
        </w:rPr>
      </w:pPr>
      <w:r w:rsidRPr="00367F4E">
        <w:rPr>
          <w:rStyle w:val="FootnoteReference"/>
          <w:rFonts w:ascii="Palatino Linotype" w:hAnsi="Palatino Linotype"/>
        </w:rPr>
        <w:footnoteRef/>
      </w:r>
      <w:r w:rsidRPr="00367F4E">
        <w:rPr>
          <w:rFonts w:ascii="Palatino Linotype" w:hAnsi="Palatino Linotype"/>
        </w:rPr>
        <w:t xml:space="preserve"> </w:t>
      </w:r>
      <w:r w:rsidRPr="00367F4E">
        <w:rPr>
          <w:rFonts w:ascii="Palatino Linotype" w:eastAsia="Aptos" w:hAnsi="Palatino Linotype" w:cs="Aptos"/>
        </w:rPr>
        <w:t>AL 6645-G Attachment A at p. 21, 24-25, 30-31, 36-37, 40-41, 45-46, 55-57, 62-63, and 68-70.</w:t>
      </w:r>
    </w:p>
  </w:footnote>
  <w:footnote w:id="384">
    <w:p w14:paraId="29A025E3" w14:textId="77777777" w:rsidR="001E4CE1" w:rsidRDefault="001E4CE1" w:rsidP="001E4CE1">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6645-G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64.</w:t>
      </w:r>
    </w:p>
  </w:footnote>
  <w:footnote w:id="385">
    <w:p w14:paraId="7515B586" w14:textId="77777777" w:rsidR="001E4CE1" w:rsidRPr="00367F4E" w:rsidRDefault="001E4CE1" w:rsidP="001E4CE1">
      <w:pPr>
        <w:pStyle w:val="FootnoteText"/>
        <w:rPr>
          <w:rFonts w:ascii="Palatino Linotype" w:hAnsi="Palatino Linotype"/>
        </w:rPr>
      </w:pPr>
      <w:r w:rsidRPr="00367F4E">
        <w:rPr>
          <w:rStyle w:val="FootnoteReference"/>
          <w:rFonts w:ascii="Palatino Linotype" w:hAnsi="Palatino Linotype"/>
        </w:rPr>
        <w:footnoteRef/>
      </w:r>
      <w:r w:rsidRPr="00367F4E">
        <w:rPr>
          <w:rFonts w:ascii="Palatino Linotype" w:hAnsi="Palatino Linotype"/>
        </w:rPr>
        <w:t xml:space="preserve"> AL 6645-G Attachment A at p. 152.</w:t>
      </w:r>
    </w:p>
  </w:footnote>
  <w:footnote w:id="386">
    <w:p w14:paraId="5CE1BFB4" w14:textId="77777777" w:rsidR="001E4CE1" w:rsidRDefault="001E4CE1" w:rsidP="001E4CE1">
      <w:pPr>
        <w:pStyle w:val="FootnoteText"/>
        <w:rPr>
          <w:rFonts w:ascii="Palatino Linotype" w:hAnsi="Palatino Linotype"/>
        </w:rPr>
      </w:pPr>
      <w:r w:rsidRPr="719B3D22">
        <w:rPr>
          <w:rStyle w:val="FootnoteReference"/>
        </w:rPr>
        <w:footnoteRef/>
      </w:r>
      <w:r>
        <w:t xml:space="preserve"> </w:t>
      </w:r>
      <w:r w:rsidRPr="719B3D22">
        <w:rPr>
          <w:rFonts w:ascii="Palatino Linotype" w:hAnsi="Palatino Linotype"/>
        </w:rPr>
        <w:t>AL 6645-G at p</w:t>
      </w:r>
      <w:r w:rsidRPr="719B3D22">
        <w:rPr>
          <w:rFonts w:ascii="Palatino Linotype" w:hAnsi="Palatino Linotype"/>
        </w:rPr>
        <w:t>. 5 Attachment A at p. 23.</w:t>
      </w:r>
    </w:p>
  </w:footnote>
  <w:footnote w:id="387">
    <w:p w14:paraId="5B843721" w14:textId="77777777" w:rsidR="001E4CE1" w:rsidRDefault="001E4CE1" w:rsidP="001E4CE1">
      <w:pPr>
        <w:pStyle w:val="FootnoteText"/>
        <w:rPr>
          <w:rFonts w:ascii="Palatino Linotype" w:hAnsi="Palatino Linotype"/>
        </w:rPr>
      </w:pPr>
      <w:r w:rsidRPr="719B3D22">
        <w:rPr>
          <w:rStyle w:val="FootnoteReference"/>
        </w:rPr>
        <w:footnoteRef/>
      </w:r>
      <w:r>
        <w:t xml:space="preserve"> </w:t>
      </w:r>
      <w:r w:rsidRPr="719B3D22">
        <w:rPr>
          <w:rFonts w:ascii="Palatino Linotype" w:hAnsi="Palatino Linotype"/>
        </w:rPr>
        <w:t>AL 6645-G at p. 5 &amp; Attachment A at p. 54.</w:t>
      </w:r>
    </w:p>
  </w:footnote>
  <w:footnote w:id="388">
    <w:p w14:paraId="7A43C58D" w14:textId="77777777" w:rsidR="001E4CE1" w:rsidRDefault="001E4CE1" w:rsidP="001E4CE1">
      <w:pPr>
        <w:pStyle w:val="FootnoteText"/>
      </w:pPr>
      <w:r w:rsidRPr="20C9FF4C">
        <w:rPr>
          <w:rStyle w:val="FootnoteReference"/>
        </w:rPr>
        <w:footnoteRef/>
      </w:r>
      <w:r>
        <w:t xml:space="preserve"> </w:t>
      </w:r>
      <w:r w:rsidRPr="002A5B02">
        <w:rPr>
          <w:rFonts w:ascii="Palatino Linotype" w:eastAsia="Palatino Linotype" w:hAnsi="Palatino Linotype" w:cs="Palatino Linotype"/>
        </w:rPr>
        <w:t>AL 6645-G Attachment A at Appendix 2: Project Selection Process</w:t>
      </w:r>
      <w:r w:rsidRPr="56CE8599">
        <w:rPr>
          <w:rFonts w:ascii="Palatino Linotype" w:eastAsia="Palatino Linotype" w:hAnsi="Palatino Linotype" w:cs="Palatino Linotype"/>
        </w:rPr>
        <w:t xml:space="preserve"> at p. 94-113.</w:t>
      </w:r>
    </w:p>
  </w:footnote>
  <w:footnote w:id="389">
    <w:p w14:paraId="14FEA6E4" w14:textId="77777777" w:rsidR="001E4CE1" w:rsidRDefault="001E4CE1" w:rsidP="001E4CE1">
      <w:pPr>
        <w:pStyle w:val="FootnoteText"/>
      </w:pPr>
      <w:r w:rsidRPr="20C9FF4C">
        <w:rPr>
          <w:rStyle w:val="FootnoteReference"/>
        </w:rPr>
        <w:footnoteRef/>
      </w:r>
      <w:r>
        <w:t xml:space="preserve"> </w:t>
      </w:r>
      <w:r w:rsidRPr="002A5B02">
        <w:rPr>
          <w:rFonts w:ascii="Palatino Linotype" w:eastAsia="Palatino Linotype" w:hAnsi="Palatino Linotype" w:cs="Palatino Linotype"/>
        </w:rPr>
        <w:t>AL 6645-G Attachment A at Appendix 2: Project Selection Process at p. 94-113.</w:t>
      </w:r>
    </w:p>
  </w:footnote>
  <w:footnote w:id="390">
    <w:p w14:paraId="08552544" w14:textId="77777777" w:rsidR="001E4CE1" w:rsidRDefault="001E4CE1" w:rsidP="001E4CE1">
      <w:pPr>
        <w:pStyle w:val="FootnoteText"/>
      </w:pPr>
      <w:r w:rsidRPr="20C9FF4C">
        <w:rPr>
          <w:rStyle w:val="FootnoteReference"/>
        </w:rPr>
        <w:footnoteRef/>
      </w:r>
      <w:r>
        <w:t xml:space="preserve"> </w:t>
      </w:r>
      <w:r w:rsidRPr="002A5B02">
        <w:rPr>
          <w:rFonts w:ascii="Palatino Linotype" w:eastAsia="Palatino Linotype" w:hAnsi="Palatino Linotype" w:cs="Palatino Linotype"/>
        </w:rPr>
        <w:t xml:space="preserve">AL 6645-G Attachment A at </w:t>
      </w:r>
      <w:r>
        <w:rPr>
          <w:rFonts w:ascii="Palatino Linotype" w:eastAsia="Palatino Linotype" w:hAnsi="Palatino Linotype" w:cs="Palatino Linotype"/>
        </w:rPr>
        <w:t xml:space="preserve">p. </w:t>
      </w:r>
      <w:r w:rsidRPr="002A5B02">
        <w:rPr>
          <w:rFonts w:ascii="Palatino Linotype" w:eastAsia="Palatino Linotype" w:hAnsi="Palatino Linotype" w:cs="Palatino Linotype"/>
        </w:rPr>
        <w:t>18-19, 29,</w:t>
      </w:r>
      <w:r>
        <w:rPr>
          <w:rFonts w:ascii="Palatino Linotype" w:eastAsia="Palatino Linotype" w:hAnsi="Palatino Linotype" w:cs="Palatino Linotype"/>
        </w:rPr>
        <w:t xml:space="preserve"> </w:t>
      </w:r>
      <w:r w:rsidRPr="002A5B02">
        <w:rPr>
          <w:rFonts w:ascii="Palatino Linotype" w:eastAsia="Palatino Linotype" w:hAnsi="Palatino Linotype" w:cs="Palatino Linotype"/>
        </w:rPr>
        <w:t>35,</w:t>
      </w:r>
      <w:r>
        <w:rPr>
          <w:rFonts w:ascii="Palatino Linotype" w:eastAsia="Palatino Linotype" w:hAnsi="Palatino Linotype" w:cs="Palatino Linotype"/>
        </w:rPr>
        <w:t xml:space="preserve"> </w:t>
      </w:r>
      <w:r w:rsidRPr="002A5B02">
        <w:rPr>
          <w:rFonts w:ascii="Palatino Linotype" w:eastAsia="Palatino Linotype" w:hAnsi="Palatino Linotype" w:cs="Palatino Linotype"/>
        </w:rPr>
        <w:t>44,</w:t>
      </w:r>
      <w:r>
        <w:rPr>
          <w:rFonts w:ascii="Palatino Linotype" w:eastAsia="Palatino Linotype" w:hAnsi="Palatino Linotype" w:cs="Palatino Linotype"/>
        </w:rPr>
        <w:t xml:space="preserve"> </w:t>
      </w:r>
      <w:r w:rsidRPr="002A5B02">
        <w:rPr>
          <w:rFonts w:ascii="Palatino Linotype" w:eastAsia="Palatino Linotype" w:hAnsi="Palatino Linotype" w:cs="Palatino Linotype"/>
        </w:rPr>
        <w:t>49,</w:t>
      </w:r>
      <w:r>
        <w:rPr>
          <w:rFonts w:ascii="Palatino Linotype" w:eastAsia="Palatino Linotype" w:hAnsi="Palatino Linotype" w:cs="Palatino Linotype"/>
        </w:rPr>
        <w:t xml:space="preserve"> </w:t>
      </w:r>
      <w:r w:rsidRPr="002A5B02">
        <w:rPr>
          <w:rFonts w:ascii="Palatino Linotype" w:eastAsia="Palatino Linotype" w:hAnsi="Palatino Linotype" w:cs="Palatino Linotype"/>
        </w:rPr>
        <w:t>60,</w:t>
      </w:r>
      <w:r>
        <w:rPr>
          <w:rFonts w:ascii="Palatino Linotype" w:eastAsia="Palatino Linotype" w:hAnsi="Palatino Linotype" w:cs="Palatino Linotype"/>
        </w:rPr>
        <w:t xml:space="preserve"> </w:t>
      </w:r>
      <w:r w:rsidRPr="002A5B02">
        <w:rPr>
          <w:rFonts w:ascii="Palatino Linotype" w:eastAsia="Palatino Linotype" w:hAnsi="Palatino Linotype" w:cs="Palatino Linotype"/>
        </w:rPr>
        <w:t>67</w:t>
      </w:r>
      <w:r>
        <w:rPr>
          <w:rFonts w:ascii="Palatino Linotype" w:eastAsia="Palatino Linotype" w:hAnsi="Palatino Linotype" w:cs="Palatino Linotype"/>
        </w:rPr>
        <w:t>,</w:t>
      </w:r>
      <w:r w:rsidRPr="002A5B02">
        <w:rPr>
          <w:rFonts w:ascii="Palatino Linotype" w:eastAsia="Palatino Linotype" w:hAnsi="Palatino Linotype" w:cs="Palatino Linotype"/>
        </w:rPr>
        <w:t xml:space="preserve"> &amp; 74.</w:t>
      </w:r>
    </w:p>
  </w:footnote>
  <w:footnote w:id="391">
    <w:p w14:paraId="45834A2A" w14:textId="77777777" w:rsidR="001E4CE1" w:rsidRDefault="001E4CE1" w:rsidP="001E4CE1">
      <w:pPr>
        <w:pStyle w:val="FootnoteText"/>
        <w:rPr>
          <w:rFonts w:ascii="Aptos" w:eastAsia="Aptos" w:hAnsi="Aptos" w:cs="Aptos"/>
        </w:rPr>
      </w:pPr>
      <w:r w:rsidRPr="20C9FF4C">
        <w:rPr>
          <w:rStyle w:val="FootnoteReference"/>
        </w:rPr>
        <w:footnoteRef/>
      </w:r>
      <w:r>
        <w:t xml:space="preserve"> </w:t>
      </w:r>
      <w:r w:rsidRPr="20C9FF4C">
        <w:rPr>
          <w:rFonts w:ascii="Palatino Linotype" w:eastAsia="Palatino Linotype" w:hAnsi="Palatino Linotype" w:cs="Palatino Linotype"/>
        </w:rPr>
        <w:t xml:space="preserve">AL 6645-G Attachment A, Appendix 4 at </w:t>
      </w:r>
      <w:r>
        <w:rPr>
          <w:rFonts w:ascii="Palatino Linotype" w:eastAsia="Palatino Linotype" w:hAnsi="Palatino Linotype" w:cs="Palatino Linotype"/>
        </w:rPr>
        <w:t xml:space="preserve">p. </w:t>
      </w:r>
      <w:r w:rsidRPr="20C9FF4C">
        <w:rPr>
          <w:rFonts w:ascii="Palatino Linotype" w:eastAsia="Palatino Linotype" w:hAnsi="Palatino Linotype" w:cs="Palatino Linotype"/>
        </w:rPr>
        <w:t>125-139.</w:t>
      </w:r>
    </w:p>
  </w:footnote>
  <w:footnote w:id="392">
    <w:p w14:paraId="58C10A64" w14:textId="77777777" w:rsidR="001E4CE1" w:rsidRDefault="001E4CE1" w:rsidP="001E4CE1">
      <w:pPr>
        <w:pStyle w:val="FootnoteText"/>
      </w:pPr>
      <w:r>
        <w:rPr>
          <w:rStyle w:val="FootnoteReference"/>
        </w:rPr>
        <w:footnoteRef/>
      </w:r>
      <w:r>
        <w:t xml:space="preserve"> </w:t>
      </w:r>
      <w:r w:rsidRPr="00916E2A">
        <w:rPr>
          <w:rFonts w:ascii="Palatino Linotype" w:hAnsi="Palatino Linotype"/>
        </w:rPr>
        <w:t>See Resolution G-</w:t>
      </w:r>
      <w:r w:rsidRPr="00916E2A">
        <w:rPr>
          <w:rFonts w:ascii="Palatino Linotype" w:hAnsi="Palatino Linotype"/>
          <w:color w:val="A6A6A6" w:themeColor="background1" w:themeShade="A6"/>
        </w:rPr>
        <w:t xml:space="preserve">3624 </w:t>
      </w:r>
      <w:r w:rsidRPr="56CE8599">
        <w:rPr>
          <w:rFonts w:ascii="Palatino Linotype" w:hAnsi="Palatino Linotype"/>
        </w:rPr>
        <w:t>at Appendix C: Administrative Budget Cost Categories.</w:t>
      </w:r>
    </w:p>
  </w:footnote>
  <w:footnote w:id="393">
    <w:p w14:paraId="00B89611" w14:textId="77777777" w:rsidR="001E4CE1" w:rsidRDefault="001E4CE1" w:rsidP="001E4CE1">
      <w:pPr>
        <w:pStyle w:val="FootnoteText"/>
        <w:rPr>
          <w:rFonts w:ascii="Aptos" w:eastAsia="Aptos" w:hAnsi="Aptos" w:cs="Aptos"/>
        </w:rPr>
      </w:pPr>
      <w:r w:rsidRPr="20C9FF4C">
        <w:rPr>
          <w:rStyle w:val="FootnoteReference"/>
        </w:rPr>
        <w:footnoteRef/>
      </w:r>
      <w:r>
        <w:t xml:space="preserve"> </w:t>
      </w:r>
      <w:r w:rsidRPr="002A5B02">
        <w:rPr>
          <w:rFonts w:ascii="Palatino Linotype" w:eastAsia="Palatino Linotype" w:hAnsi="Palatino Linotype" w:cs="Palatino Linotype"/>
        </w:rPr>
        <w:t>AL 6645-G at p. 6 &amp; Attachment A at p. 18.</w:t>
      </w:r>
    </w:p>
  </w:footnote>
  <w:footnote w:id="394">
    <w:p w14:paraId="4461C7B1" w14:textId="77777777" w:rsidR="001E4CE1" w:rsidRDefault="001E4CE1" w:rsidP="001E4CE1">
      <w:pPr>
        <w:pStyle w:val="FootnoteText"/>
        <w:rPr>
          <w:rFonts w:ascii="Palatino Linotype" w:hAnsi="Palatino Linotype"/>
        </w:rPr>
      </w:pPr>
      <w:r w:rsidRPr="611F02B0">
        <w:rPr>
          <w:rStyle w:val="FootnoteReference"/>
          <w:rFonts w:ascii="Palatino Linotype" w:hAnsi="Palatino Linotype"/>
        </w:rPr>
        <w:footnoteRef/>
      </w:r>
      <w:r w:rsidRPr="611F02B0">
        <w:rPr>
          <w:rFonts w:ascii="Palatino Linotype" w:hAnsi="Palatino Linotype"/>
        </w:rPr>
        <w:t xml:space="preserve"> AL </w:t>
      </w:r>
      <w:r w:rsidRPr="17023CC2">
        <w:rPr>
          <w:rFonts w:ascii="Palatino Linotype" w:hAnsi="Palatino Linotype"/>
        </w:rPr>
        <w:t>6645</w:t>
      </w:r>
      <w:r w:rsidRPr="611F02B0">
        <w:rPr>
          <w:rFonts w:ascii="Palatino Linotype" w:hAnsi="Palatino Linotype"/>
        </w:rPr>
        <w:t xml:space="preserve">-G Attachment A at p. </w:t>
      </w:r>
      <w:r w:rsidRPr="17023CC2">
        <w:rPr>
          <w:rFonts w:ascii="Palatino Linotype" w:hAnsi="Palatino Linotype"/>
        </w:rPr>
        <w:t>18</w:t>
      </w:r>
      <w:r w:rsidRPr="611F02B0">
        <w:rPr>
          <w:rFonts w:ascii="Palatino Linotype" w:hAnsi="Palatino Linotype"/>
        </w:rPr>
        <w:t>.</w:t>
      </w:r>
    </w:p>
  </w:footnote>
  <w:footnote w:id="395">
    <w:p w14:paraId="7636B002" w14:textId="77777777" w:rsidR="001E4CE1" w:rsidRDefault="001E4CE1" w:rsidP="001E4CE1">
      <w:pPr>
        <w:pStyle w:val="FootnoteText"/>
        <w:rPr>
          <w:rFonts w:ascii="Palatino Linotype" w:eastAsia="Palatino Linotype" w:hAnsi="Palatino Linotype" w:cs="Palatino Linotype"/>
        </w:rPr>
      </w:pPr>
      <w:r w:rsidRPr="20E060DE">
        <w:rPr>
          <w:rStyle w:val="FootnoteReference"/>
        </w:rPr>
        <w:footnoteRef/>
      </w:r>
      <w:r>
        <w:t xml:space="preserve"> </w:t>
      </w:r>
      <w:r w:rsidRPr="6D92BD94">
        <w:rPr>
          <w:rFonts w:ascii="Palatino Linotype" w:eastAsia="Palatino Linotype" w:hAnsi="Palatino Linotype" w:cs="Palatino Linotype"/>
        </w:rPr>
        <w:t>AL 6645-G Attachment A</w:t>
      </w:r>
      <w:r w:rsidRPr="6EF973F1">
        <w:rPr>
          <w:rFonts w:ascii="Palatino Linotype" w:eastAsia="Palatino Linotype" w:hAnsi="Palatino Linotype" w:cs="Palatino Linotype"/>
          <w:color w:val="000000" w:themeColor="text1"/>
        </w:rPr>
        <w:t xml:space="preserve"> at Appendix 8: Program Administration Categorization.</w:t>
      </w:r>
    </w:p>
  </w:footnote>
  <w:footnote w:id="396">
    <w:p w14:paraId="2B0B38CF" w14:textId="77777777" w:rsidR="001E4CE1" w:rsidRDefault="001E4CE1" w:rsidP="001E4CE1">
      <w:pPr>
        <w:pStyle w:val="FootnoteText"/>
      </w:pPr>
      <w:r w:rsidRPr="22AA1D89">
        <w:rPr>
          <w:rStyle w:val="FootnoteReference"/>
        </w:rPr>
        <w:footnoteRef/>
      </w:r>
      <w:r>
        <w:t xml:space="preserve"> </w:t>
      </w:r>
      <w:r w:rsidRPr="22AA1D89">
        <w:rPr>
          <w:rFonts w:ascii="Palatino Linotype" w:eastAsia="Palatino Linotype" w:hAnsi="Palatino Linotype" w:cs="Palatino Linotype"/>
        </w:rPr>
        <w:t>AL 6645-G Attachment A at p. 178-179.</w:t>
      </w:r>
    </w:p>
  </w:footnote>
  <w:footnote w:id="397">
    <w:p w14:paraId="688F2F3E" w14:textId="77777777" w:rsidR="001E4CE1" w:rsidRDefault="001E4CE1" w:rsidP="001E4CE1">
      <w:pPr>
        <w:pStyle w:val="FootnoteText"/>
        <w:rPr>
          <w:rStyle w:val="FootnoteReference"/>
        </w:rPr>
      </w:pPr>
      <w:r w:rsidRPr="20C9FF4C">
        <w:rPr>
          <w:rStyle w:val="FootnoteReference"/>
        </w:rPr>
        <w:footnoteRef/>
      </w:r>
      <w:r w:rsidRPr="002A5B02">
        <w:rPr>
          <w:rFonts w:ascii="Palatino Linotype" w:eastAsia="Palatino Linotype" w:hAnsi="Palatino Linotype" w:cs="Palatino Linotype"/>
        </w:rPr>
        <w:t xml:space="preserve"> </w:t>
      </w:r>
      <w:r w:rsidRPr="00BB37FC">
        <w:rPr>
          <w:rFonts w:ascii="Palatino Linotype" w:hAnsi="Palatino Linotype"/>
        </w:rPr>
        <w:t>AL 6645-G Attachment A at 20-21.</w:t>
      </w:r>
    </w:p>
  </w:footnote>
  <w:footnote w:id="398">
    <w:p w14:paraId="581459C1" w14:textId="77777777" w:rsidR="001E4CE1" w:rsidRDefault="001E4CE1" w:rsidP="001E4CE1">
      <w:pPr>
        <w:pStyle w:val="FootnoteText"/>
        <w:rPr>
          <w:rFonts w:ascii="Aptos" w:eastAsia="Aptos" w:hAnsi="Aptos" w:cs="Aptos"/>
        </w:rPr>
      </w:pPr>
      <w:r w:rsidRPr="20C9FF4C">
        <w:rPr>
          <w:rStyle w:val="FootnoteReference"/>
        </w:rPr>
        <w:footnoteRef/>
      </w:r>
      <w:r>
        <w:t xml:space="preserve"> </w:t>
      </w:r>
      <w:r w:rsidRPr="002A5B02">
        <w:rPr>
          <w:rFonts w:ascii="Palatino Linotype" w:eastAsia="Palatino Linotype" w:hAnsi="Palatino Linotype" w:cs="Palatino Linotype"/>
        </w:rPr>
        <w:t>AL 6645-G Attachment A at p. 79-80</w:t>
      </w:r>
      <w:r>
        <w:rPr>
          <w:rFonts w:ascii="Palatino Linotype" w:eastAsia="Palatino Linotype" w:hAnsi="Palatino Linotype" w:cs="Palatino Linotype"/>
        </w:rPr>
        <w:t xml:space="preserve"> &amp; </w:t>
      </w:r>
      <w:r w:rsidRPr="002A5B02">
        <w:rPr>
          <w:rFonts w:ascii="Palatino Linotype" w:eastAsia="Palatino Linotype" w:hAnsi="Palatino Linotype" w:cs="Palatino Linotype"/>
        </w:rPr>
        <w:t>110-111.</w:t>
      </w:r>
    </w:p>
  </w:footnote>
  <w:footnote w:id="399">
    <w:p w14:paraId="1FC42119" w14:textId="77777777" w:rsidR="001E4CE1" w:rsidRDefault="001E4CE1" w:rsidP="001E4CE1">
      <w:pPr>
        <w:pStyle w:val="FootnoteText"/>
      </w:pPr>
      <w:r w:rsidRPr="010380C4">
        <w:rPr>
          <w:rStyle w:val="FootnoteReference"/>
        </w:rPr>
        <w:footnoteRef/>
      </w:r>
      <w:r>
        <w:t xml:space="preserve"> </w:t>
      </w:r>
      <w:r w:rsidRPr="6D92BD94">
        <w:rPr>
          <w:rFonts w:ascii="Palatino Linotype" w:eastAsia="Palatino Linotype" w:hAnsi="Palatino Linotype" w:cs="Palatino Linotype"/>
        </w:rPr>
        <w:t>AL 6645-G Attachment A at p. 90.</w:t>
      </w:r>
    </w:p>
  </w:footnote>
  <w:footnote w:id="400">
    <w:p w14:paraId="423689B5" w14:textId="77777777" w:rsidR="001E4CE1" w:rsidRDefault="001E4CE1" w:rsidP="001E4CE1">
      <w:pPr>
        <w:pStyle w:val="FootnoteText"/>
        <w:rPr>
          <w:rFonts w:ascii="Aptos" w:eastAsia="Aptos" w:hAnsi="Aptos" w:cs="Aptos"/>
        </w:rPr>
      </w:pPr>
      <w:r w:rsidRPr="20C9FF4C">
        <w:rPr>
          <w:rStyle w:val="FootnoteReference"/>
        </w:rPr>
        <w:footnoteRef/>
      </w:r>
      <w:r>
        <w:t xml:space="preserve"> </w:t>
      </w:r>
      <w:r w:rsidRPr="002A5B02">
        <w:rPr>
          <w:rFonts w:ascii="Palatino Linotype" w:eastAsia="Palatino Linotype" w:hAnsi="Palatino Linotype" w:cs="Palatino Linotype"/>
        </w:rPr>
        <w:t>AL 6645-G Attachment A at p. 179.</w:t>
      </w:r>
    </w:p>
  </w:footnote>
  <w:footnote w:id="401">
    <w:p w14:paraId="414DC57D" w14:textId="77777777" w:rsidR="001E4CE1" w:rsidRDefault="001E4CE1" w:rsidP="001E4CE1">
      <w:pPr>
        <w:pStyle w:val="FootnoteText"/>
        <w:rPr>
          <w:rFonts w:ascii="Palatino Linotype" w:eastAsia="Palatino Linotype" w:hAnsi="Palatino Linotype" w:cs="Palatino Linotype"/>
        </w:rPr>
      </w:pPr>
      <w:r w:rsidRPr="719B3D22">
        <w:rPr>
          <w:rStyle w:val="FootnoteReference"/>
        </w:rPr>
        <w:footnoteRef/>
      </w:r>
      <w:r>
        <w:t xml:space="preserve"> </w:t>
      </w:r>
      <w:r w:rsidRPr="719B3D22">
        <w:rPr>
          <w:rFonts w:ascii="Palatino Linotype" w:eastAsia="Palatino Linotype" w:hAnsi="Palatino Linotype" w:cs="Palatino Linotype"/>
        </w:rPr>
        <w:t>AL 6645-G Attachment A at p. 94-97.</w:t>
      </w:r>
    </w:p>
  </w:footnote>
  <w:footnote w:id="402">
    <w:p w14:paraId="5F9E12FE" w14:textId="77777777" w:rsidR="001E4CE1" w:rsidRDefault="001E4CE1" w:rsidP="001E4CE1">
      <w:pPr>
        <w:pStyle w:val="FootnoteText"/>
      </w:pPr>
      <w:r>
        <w:rPr>
          <w:rStyle w:val="FootnoteReference"/>
        </w:rPr>
        <w:footnoteRef/>
      </w:r>
      <w:r>
        <w:t xml:space="preserve"> </w:t>
      </w:r>
      <w:r w:rsidRPr="719B3D22">
        <w:rPr>
          <w:rFonts w:ascii="Palatino Linotype" w:eastAsia="Aptos" w:hAnsi="Palatino Linotype" w:cs="Aptos"/>
        </w:rPr>
        <w:t>AL 6645-</w:t>
      </w:r>
      <w:r w:rsidRPr="719B3D22">
        <w:rPr>
          <w:rFonts w:ascii="Palatino Linotype" w:eastAsia="Palatino Linotype" w:hAnsi="Palatino Linotype" w:cs="Palatino Linotype"/>
        </w:rPr>
        <w:t>G Attachment A at p.</w:t>
      </w:r>
      <w:r>
        <w:rPr>
          <w:rFonts w:ascii="Palatino Linotype" w:eastAsia="Palatino Linotype" w:hAnsi="Palatino Linotype" w:cs="Palatino Linotype"/>
        </w:rPr>
        <w:t xml:space="preserve"> 95.</w:t>
      </w:r>
    </w:p>
  </w:footnote>
  <w:footnote w:id="403">
    <w:p w14:paraId="4E4B7828" w14:textId="77777777" w:rsidR="001E4CE1" w:rsidRDefault="001E4CE1" w:rsidP="001E4CE1">
      <w:pPr>
        <w:pStyle w:val="FootnoteText"/>
        <w:rPr>
          <w:rFonts w:ascii="Palatino Linotype" w:hAnsi="Palatino Linotype"/>
        </w:rPr>
      </w:pPr>
      <w:r w:rsidRPr="719B3D22">
        <w:rPr>
          <w:rStyle w:val="FootnoteReference"/>
        </w:rPr>
        <w:footnoteRef/>
      </w:r>
      <w:r>
        <w:t xml:space="preserve"> </w:t>
      </w:r>
      <w:r w:rsidRPr="719B3D22">
        <w:rPr>
          <w:rFonts w:ascii="Palatino Linotype" w:eastAsia="Aptos" w:hAnsi="Palatino Linotype" w:cs="Aptos"/>
        </w:rPr>
        <w:t>AL 6645-</w:t>
      </w:r>
      <w:r w:rsidRPr="719B3D22">
        <w:rPr>
          <w:rFonts w:ascii="Palatino Linotype" w:eastAsia="Palatino Linotype" w:hAnsi="Palatino Linotype" w:cs="Palatino Linotype"/>
        </w:rPr>
        <w:t>G Attachment A at p.</w:t>
      </w:r>
      <w:r>
        <w:rPr>
          <w:rFonts w:ascii="Palatino Linotype" w:eastAsia="Palatino Linotype" w:hAnsi="Palatino Linotype" w:cs="Palatino Linotype"/>
        </w:rPr>
        <w:t xml:space="preserve"> 96-</w:t>
      </w:r>
      <w:r w:rsidRPr="719B3D22">
        <w:rPr>
          <w:rFonts w:ascii="Palatino Linotype" w:eastAsia="Palatino Linotype" w:hAnsi="Palatino Linotype" w:cs="Palatino Linotype"/>
        </w:rPr>
        <w:t>97.</w:t>
      </w:r>
    </w:p>
  </w:footnote>
  <w:footnote w:id="404">
    <w:p w14:paraId="404D8739" w14:textId="77777777" w:rsidR="001E4CE1" w:rsidRDefault="001E4CE1" w:rsidP="001E4CE1">
      <w:pPr>
        <w:pStyle w:val="FootnoteText"/>
      </w:pPr>
      <w:r w:rsidRPr="3B2B23AF">
        <w:rPr>
          <w:rStyle w:val="FootnoteReference"/>
          <w:rFonts w:ascii="Palatino Linotype" w:hAnsi="Palatino Linotype"/>
        </w:rPr>
        <w:footnoteRef/>
      </w:r>
      <w:r w:rsidRPr="3B2B23AF">
        <w:rPr>
          <w:rFonts w:ascii="Palatino Linotype" w:hAnsi="Palatino Linotype"/>
        </w:rPr>
        <w:t xml:space="preserve"> AL 6645-G Attachment A at p. 62.</w:t>
      </w:r>
      <w:r>
        <w:t xml:space="preserve"> </w:t>
      </w:r>
    </w:p>
  </w:footnote>
  <w:footnote w:id="405">
    <w:p w14:paraId="794976BC" w14:textId="77777777" w:rsidR="001E4CE1" w:rsidRDefault="001E4CE1" w:rsidP="001E4CE1">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6645-G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56.</w:t>
      </w:r>
    </w:p>
  </w:footnote>
  <w:footnote w:id="406">
    <w:p w14:paraId="125D131E" w14:textId="77777777" w:rsidR="001E4CE1" w:rsidRDefault="001E4CE1" w:rsidP="001E4CE1">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6645-G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46.</w:t>
      </w:r>
    </w:p>
  </w:footnote>
  <w:footnote w:id="407">
    <w:p w14:paraId="17B33374" w14:textId="77777777" w:rsidR="001E4CE1" w:rsidRDefault="001E4CE1" w:rsidP="001E4CE1">
      <w:pPr>
        <w:pStyle w:val="FootnoteText"/>
      </w:pPr>
      <w:r w:rsidRPr="20C9FF4C">
        <w:rPr>
          <w:rStyle w:val="FootnoteReference"/>
        </w:rPr>
        <w:footnoteRef/>
      </w:r>
      <w:r>
        <w:t xml:space="preserve"> </w:t>
      </w:r>
      <w:r w:rsidRPr="002A5B02">
        <w:rPr>
          <w:rFonts w:ascii="Palatino Linotype" w:eastAsia="Palatino Linotype" w:hAnsi="Palatino Linotype" w:cs="Palatino Linotype"/>
        </w:rPr>
        <w:t>AL 6645-G Attachment A at p. 180-181.</w:t>
      </w:r>
    </w:p>
  </w:footnote>
  <w:footnote w:id="408">
    <w:p w14:paraId="50C99C8A" w14:textId="77777777" w:rsidR="001E4CE1" w:rsidRDefault="001E4CE1" w:rsidP="001E4CE1">
      <w:pPr>
        <w:pStyle w:val="FootnoteText"/>
        <w:rPr>
          <w:rFonts w:ascii="Aptos" w:eastAsia="Aptos" w:hAnsi="Aptos" w:cs="Aptos"/>
        </w:rPr>
      </w:pPr>
      <w:r w:rsidRPr="20C9FF4C">
        <w:rPr>
          <w:rStyle w:val="FootnoteReference"/>
        </w:rPr>
        <w:footnoteRef/>
      </w:r>
      <w:r>
        <w:t xml:space="preserve"> </w:t>
      </w:r>
      <w:r w:rsidRPr="002A5B02">
        <w:rPr>
          <w:rFonts w:ascii="Palatino Linotype" w:eastAsia="Palatino Linotype" w:hAnsi="Palatino Linotype" w:cs="Palatino Linotype"/>
        </w:rPr>
        <w:t>AL 6645-G Attachment A at p. 162-163.</w:t>
      </w:r>
    </w:p>
  </w:footnote>
  <w:footnote w:id="409">
    <w:p w14:paraId="61874B33" w14:textId="77777777" w:rsidR="001E4CE1" w:rsidRPr="00BB37FC" w:rsidRDefault="001E4CE1" w:rsidP="001E4CE1">
      <w:pPr>
        <w:pStyle w:val="FootnoteText"/>
        <w:rPr>
          <w:rFonts w:ascii="Aptos" w:eastAsia="Aptos" w:hAnsi="Aptos" w:cs="Aptos"/>
        </w:rPr>
      </w:pPr>
      <w:r w:rsidRPr="20C9FF4C">
        <w:rPr>
          <w:rStyle w:val="FootnoteReference"/>
        </w:rPr>
        <w:footnoteRef/>
      </w:r>
      <w:r>
        <w:t xml:space="preserve"> </w:t>
      </w:r>
      <w:r w:rsidRPr="002A5B02">
        <w:rPr>
          <w:rFonts w:ascii="Palatino Linotype" w:eastAsia="Palatino Linotype" w:hAnsi="Palatino Linotype" w:cs="Palatino Linotype"/>
        </w:rPr>
        <w:t xml:space="preserve">AL 6645-G Attachment A at </w:t>
      </w:r>
      <w:r>
        <w:rPr>
          <w:rFonts w:ascii="Palatino Linotype" w:eastAsia="Palatino Linotype" w:hAnsi="Palatino Linotype" w:cs="Palatino Linotype"/>
        </w:rPr>
        <w:t xml:space="preserve">p. </w:t>
      </w:r>
      <w:r w:rsidRPr="002A5B02">
        <w:rPr>
          <w:rFonts w:ascii="Palatino Linotype" w:eastAsia="Palatino Linotype" w:hAnsi="Palatino Linotype" w:cs="Palatino Linotype"/>
        </w:rPr>
        <w:t>153.</w:t>
      </w:r>
    </w:p>
  </w:footnote>
  <w:footnote w:id="410">
    <w:p w14:paraId="1E5CC10A" w14:textId="77777777" w:rsidR="001E4CE1" w:rsidRPr="00154659" w:rsidRDefault="001E4CE1" w:rsidP="001E4CE1">
      <w:pPr>
        <w:spacing w:after="0" w:line="240" w:lineRule="auto"/>
        <w:rPr>
          <w:rFonts w:ascii="Palatino Linotype" w:eastAsia="Aptos" w:hAnsi="Palatino Linotype" w:cs="Aptos"/>
          <w:sz w:val="20"/>
          <w:szCs w:val="20"/>
        </w:rPr>
      </w:pPr>
      <w:r w:rsidRPr="00154659">
        <w:rPr>
          <w:rStyle w:val="FootnoteReference"/>
          <w:rFonts w:ascii="Palatino Linotype" w:hAnsi="Palatino Linotype"/>
          <w:sz w:val="20"/>
          <w:szCs w:val="20"/>
        </w:rPr>
        <w:footnoteRef/>
      </w:r>
      <w:r w:rsidRPr="00154659">
        <w:rPr>
          <w:rFonts w:ascii="Palatino Linotype" w:hAnsi="Palatino Linotype"/>
          <w:sz w:val="20"/>
          <w:szCs w:val="20"/>
        </w:rPr>
        <w:t xml:space="preserve"> </w:t>
      </w:r>
      <w:r w:rsidRPr="00154659">
        <w:rPr>
          <w:rFonts w:ascii="Palatino Linotype" w:eastAsia="Palatino Linotype" w:hAnsi="Palatino Linotype" w:cs="Palatino Linotype"/>
          <w:sz w:val="20"/>
          <w:szCs w:val="20"/>
        </w:rPr>
        <w:t>AL 6645-G Attachment A at Appendix 2: Project Selection Process at p. 94-112.</w:t>
      </w:r>
    </w:p>
  </w:footnote>
  <w:footnote w:id="411">
    <w:p w14:paraId="67666A7B"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eastAsia="Palatino Linotype" w:hAnsi="Palatino Linotype" w:cs="Palatino Linotype"/>
        </w:rPr>
        <w:t xml:space="preserve"> AL 6645-G Attachment A at p. 103-104</w:t>
      </w:r>
      <w:r>
        <w:rPr>
          <w:rFonts w:ascii="Palatino Linotype" w:eastAsia="Palatino Linotype" w:hAnsi="Palatino Linotype" w:cs="Palatino Linotype"/>
        </w:rPr>
        <w:t xml:space="preserve"> &amp; </w:t>
      </w:r>
      <w:r w:rsidRPr="009F4BD7">
        <w:rPr>
          <w:rFonts w:ascii="Palatino Linotype" w:eastAsia="Palatino Linotype" w:hAnsi="Palatino Linotype" w:cs="Palatino Linotype"/>
          <w:color w:val="000000" w:themeColor="text1"/>
        </w:rPr>
        <w:t>108-110</w:t>
      </w:r>
      <w:r w:rsidRPr="00154659">
        <w:rPr>
          <w:rFonts w:ascii="Palatino Linotype" w:eastAsia="Palatino Linotype" w:hAnsi="Palatino Linotype" w:cs="Palatino Linotype"/>
        </w:rPr>
        <w:t>.</w:t>
      </w:r>
    </w:p>
  </w:footnote>
  <w:footnote w:id="412">
    <w:p w14:paraId="5F0FE652" w14:textId="77777777" w:rsidR="001E4CE1" w:rsidRDefault="001E4CE1" w:rsidP="001E4CE1">
      <w:pPr>
        <w:pStyle w:val="FootnoteText"/>
        <w:rPr>
          <w:rFonts w:ascii="Palatino Linotype" w:eastAsia="Palatino Linotype" w:hAnsi="Palatino Linotype" w:cs="Palatino Linotype"/>
        </w:rPr>
      </w:pPr>
      <w:r w:rsidRPr="3755C271">
        <w:rPr>
          <w:rStyle w:val="FootnoteReference"/>
          <w:rFonts w:ascii="Palatino Linotype" w:eastAsia="Palatino Linotype" w:hAnsi="Palatino Linotype" w:cs="Palatino Linotype"/>
        </w:rPr>
        <w:footnoteRef/>
      </w:r>
      <w:r w:rsidRPr="3755C271">
        <w:rPr>
          <w:rFonts w:ascii="Palatino Linotype" w:eastAsia="Palatino Linotype" w:hAnsi="Palatino Linotype" w:cs="Palatino Linotype"/>
        </w:rPr>
        <w:t xml:space="preserve"> AL 6645-G Attachment A at p. 106.</w:t>
      </w:r>
    </w:p>
  </w:footnote>
  <w:footnote w:id="413">
    <w:p w14:paraId="0003B860"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w:t>
      </w:r>
      <w:r w:rsidRPr="00154659">
        <w:rPr>
          <w:rFonts w:ascii="Palatino Linotype" w:eastAsia="Palatino Linotype" w:hAnsi="Palatino Linotype" w:cs="Palatino Linotype"/>
        </w:rPr>
        <w:t>AL 6645-G Attachment A at p. 77-79.</w:t>
      </w:r>
    </w:p>
  </w:footnote>
  <w:footnote w:id="414">
    <w:p w14:paraId="29C4F386" w14:textId="77777777" w:rsidR="001E4CE1" w:rsidRPr="00154659" w:rsidRDefault="001E4CE1" w:rsidP="001E4CE1">
      <w:pPr>
        <w:pStyle w:val="FootnoteText"/>
        <w:rPr>
          <w:rFonts w:ascii="Palatino Linotype" w:eastAsia="Palatino Linotype" w:hAnsi="Palatino Linotype" w:cs="Palatino Linotype"/>
        </w:rPr>
      </w:pPr>
      <w:r w:rsidRPr="00154659">
        <w:rPr>
          <w:rStyle w:val="FootnoteReference"/>
          <w:rFonts w:ascii="Palatino Linotype" w:hAnsi="Palatino Linotype"/>
        </w:rPr>
        <w:footnoteRef/>
      </w:r>
      <w:r w:rsidRPr="00154659">
        <w:rPr>
          <w:rFonts w:ascii="Palatino Linotype" w:eastAsia="Palatino Linotype" w:hAnsi="Palatino Linotype" w:cs="Palatino Linotype"/>
        </w:rPr>
        <w:t xml:space="preserve"> AL 6645-G Attachment A at p. 94-110.</w:t>
      </w:r>
    </w:p>
  </w:footnote>
  <w:footnote w:id="415">
    <w:p w14:paraId="03BF1B73"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w:t>
      </w:r>
      <w:r w:rsidRPr="00154659">
        <w:rPr>
          <w:rFonts w:ascii="Palatino Linotype" w:eastAsia="Palatino Linotype" w:hAnsi="Palatino Linotype" w:cs="Palatino Linotype"/>
        </w:rPr>
        <w:t>AL 6645-G Attachment A at p. 114-126.</w:t>
      </w:r>
    </w:p>
  </w:footnote>
  <w:footnote w:id="416">
    <w:p w14:paraId="558CBBD1" w14:textId="77777777" w:rsidR="001E4CE1" w:rsidRDefault="001E4CE1" w:rsidP="001E4CE1">
      <w:pPr>
        <w:pStyle w:val="FootnoteText"/>
        <w:rPr>
          <w:rFonts w:ascii="Palatino Linotype" w:eastAsia="Palatino Linotype" w:hAnsi="Palatino Linotype" w:cs="Palatino Linotype"/>
        </w:rPr>
      </w:pPr>
      <w:r w:rsidRPr="6E2C1C21">
        <w:rPr>
          <w:rStyle w:val="FootnoteReference"/>
          <w:rFonts w:ascii="Palatino Linotype" w:eastAsia="Palatino Linotype" w:hAnsi="Palatino Linotype" w:cs="Palatino Linotype"/>
        </w:rPr>
        <w:footnoteRef/>
      </w:r>
      <w:r w:rsidRPr="6E2C1C21">
        <w:rPr>
          <w:rFonts w:ascii="Palatino Linotype" w:eastAsia="Palatino Linotype" w:hAnsi="Palatino Linotype" w:cs="Palatino Linotype"/>
        </w:rPr>
        <w:t xml:space="preserve"> </w:t>
      </w:r>
      <w:r w:rsidRPr="00154659">
        <w:rPr>
          <w:rFonts w:ascii="Palatino Linotype" w:eastAsia="Palatino Linotype" w:hAnsi="Palatino Linotype" w:cs="Palatino Linotype"/>
        </w:rPr>
        <w:t xml:space="preserve">AL 6645-G Attachment A at p. </w:t>
      </w:r>
      <w:r w:rsidRPr="5B35D4DF">
        <w:rPr>
          <w:rFonts w:ascii="Palatino Linotype" w:eastAsia="Palatino Linotype" w:hAnsi="Palatino Linotype" w:cs="Palatino Linotype"/>
        </w:rPr>
        <w:t>94</w:t>
      </w:r>
      <w:r w:rsidRPr="6E2C1C21">
        <w:rPr>
          <w:rFonts w:ascii="Palatino Linotype" w:eastAsia="Palatino Linotype" w:hAnsi="Palatino Linotype" w:cs="Palatino Linotype"/>
        </w:rPr>
        <w:t>-126.</w:t>
      </w:r>
    </w:p>
  </w:footnote>
  <w:footnote w:id="417">
    <w:p w14:paraId="130E297E"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w:t>
      </w:r>
      <w:r w:rsidRPr="00154659">
        <w:rPr>
          <w:rFonts w:ascii="Palatino Linotype" w:eastAsia="Palatino Linotype" w:hAnsi="Palatino Linotype" w:cs="Palatino Linotype"/>
        </w:rPr>
        <w:t>AL 6645-G Attachment A at p. 140-151.</w:t>
      </w:r>
    </w:p>
  </w:footnote>
  <w:footnote w:id="418">
    <w:p w14:paraId="215A796D"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w:t>
      </w:r>
      <w:r w:rsidRPr="00154659">
        <w:rPr>
          <w:rFonts w:ascii="Palatino Linotype" w:eastAsia="Palatino Linotype" w:hAnsi="Palatino Linotype" w:cs="Palatino Linotype"/>
        </w:rPr>
        <w:t>AL 6645-G Attachment A at p. 164-165.</w:t>
      </w:r>
    </w:p>
  </w:footnote>
  <w:footnote w:id="419">
    <w:p w14:paraId="26F11C59"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AL 6645-G Attachment A at p. 106.</w:t>
      </w:r>
    </w:p>
  </w:footnote>
  <w:footnote w:id="420">
    <w:p w14:paraId="0AD93C55"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AL 6645-G Attachment A </w:t>
      </w:r>
      <w:r w:rsidRPr="00154659">
        <w:rPr>
          <w:rFonts w:ascii="Palatino Linotype" w:hAnsi="Palatino Linotype"/>
        </w:rPr>
        <w:t>at p.106.</w:t>
      </w:r>
    </w:p>
  </w:footnote>
  <w:footnote w:id="421">
    <w:p w14:paraId="4AEC2C9F" w14:textId="77777777" w:rsidR="001E4CE1" w:rsidRPr="00BB37FC" w:rsidRDefault="001E4CE1" w:rsidP="001E4CE1">
      <w:pPr>
        <w:pStyle w:val="FootnoteText"/>
        <w:rPr>
          <w:rFonts w:ascii="Palatino Linotype" w:hAnsi="Palatino Linotype"/>
        </w:rPr>
      </w:pPr>
      <w:r w:rsidRPr="00BB37FC">
        <w:rPr>
          <w:rStyle w:val="FootnoteReference"/>
          <w:rFonts w:ascii="Palatino Linotype" w:hAnsi="Palatino Linotype"/>
        </w:rPr>
        <w:footnoteRef/>
      </w:r>
      <w:r w:rsidRPr="00BB37FC">
        <w:rPr>
          <w:rFonts w:ascii="Palatino Linotype" w:hAnsi="Palatino Linotype"/>
        </w:rPr>
        <w:t xml:space="preserve"> See Resolution G-</w:t>
      </w:r>
      <w:r w:rsidRPr="00BB37FC">
        <w:rPr>
          <w:rFonts w:ascii="Palatino Linotype" w:hAnsi="Palatino Linotype"/>
          <w:color w:val="A6A6A6" w:themeColor="background1" w:themeShade="A6"/>
        </w:rPr>
        <w:t>3624</w:t>
      </w:r>
      <w:r w:rsidRPr="56CE8599">
        <w:rPr>
          <w:rFonts w:ascii="Palatino Linotype" w:hAnsi="Palatino Linotype"/>
        </w:rPr>
        <w:t xml:space="preserve"> at Appendix F: EPIC Foundational Principles for the Development of a Uniform Impact Analysis Framework.</w:t>
      </w:r>
    </w:p>
  </w:footnote>
  <w:footnote w:id="422">
    <w:p w14:paraId="61789BE3" w14:textId="77777777" w:rsidR="001E4CE1" w:rsidRDefault="001E4CE1" w:rsidP="001E4CE1">
      <w:pPr>
        <w:pStyle w:val="FootnoteText"/>
        <w:rPr>
          <w:rFonts w:ascii="Palatino Linotype" w:hAnsi="Palatino Linotype"/>
        </w:rPr>
      </w:pPr>
      <w:r w:rsidRPr="1055E0EA">
        <w:rPr>
          <w:rStyle w:val="FootnoteReference"/>
          <w:rFonts w:ascii="Palatino Linotype" w:hAnsi="Palatino Linotype"/>
        </w:rPr>
        <w:footnoteRef/>
      </w:r>
      <w:r w:rsidRPr="1055E0EA">
        <w:rPr>
          <w:rFonts w:ascii="Palatino Linotype" w:hAnsi="Palatino Linotype"/>
        </w:rPr>
        <w:t xml:space="preserve"> </w:t>
      </w:r>
      <w:r w:rsidRPr="1055E0EA">
        <w:rPr>
          <w:rFonts w:ascii="Palatino Linotype" w:eastAsia="Palatino Linotype" w:hAnsi="Palatino Linotype" w:cs="Palatino Linotype"/>
        </w:rPr>
        <w:t>AL 6645-G Attachment A, Section 6 at p. 81-89.</w:t>
      </w:r>
    </w:p>
  </w:footnote>
  <w:footnote w:id="423">
    <w:p w14:paraId="6B014248" w14:textId="77777777" w:rsidR="001E4CE1" w:rsidRPr="002A5B02" w:rsidRDefault="001E4CE1" w:rsidP="001E4CE1">
      <w:pPr>
        <w:pStyle w:val="FootnoteText"/>
        <w:rPr>
          <w:rFonts w:ascii="Palatino Linotype" w:eastAsia="Palatino Linotype" w:hAnsi="Palatino Linotype" w:cs="Palatino Linotype"/>
        </w:rPr>
      </w:pPr>
      <w:r w:rsidRPr="20C9FF4C">
        <w:rPr>
          <w:rStyle w:val="FootnoteReference"/>
        </w:rPr>
        <w:footnoteRef/>
      </w:r>
      <w:r>
        <w:t xml:space="preserve"> </w:t>
      </w:r>
      <w:r w:rsidRPr="002A5B02">
        <w:rPr>
          <w:rFonts w:ascii="Palatino Linotype" w:eastAsia="Palatino Linotype" w:hAnsi="Palatino Linotype" w:cs="Palatino Linotype"/>
        </w:rPr>
        <w:t>AL 6645-G Attachment A at p. 20-21, 24-25, 30-31, 36-37, 40-41, 45-46, 55-57, 62-63, and 68-70.</w:t>
      </w:r>
    </w:p>
  </w:footnote>
  <w:footnote w:id="424">
    <w:p w14:paraId="2A58B6CC" w14:textId="77777777" w:rsidR="001E4CE1" w:rsidRDefault="001E4CE1" w:rsidP="001E4CE1">
      <w:pPr>
        <w:pStyle w:val="FootnoteText"/>
      </w:pPr>
      <w:r w:rsidRPr="2DC9DEEB">
        <w:rPr>
          <w:rStyle w:val="FootnoteReference"/>
        </w:rPr>
        <w:footnoteRef/>
      </w:r>
      <w:r>
        <w:t xml:space="preserve"> </w:t>
      </w:r>
      <w:r w:rsidRPr="2DC9DEEB">
        <w:rPr>
          <w:rFonts w:ascii="Palatino Linotype" w:eastAsia="Palatino Linotype" w:hAnsi="Palatino Linotype" w:cs="Palatino Linotype"/>
        </w:rPr>
        <w:t xml:space="preserve">AL 6645-G Attachment A </w:t>
      </w:r>
      <w:r w:rsidRPr="2DC9DEEB">
        <w:rPr>
          <w:rFonts w:ascii="Palatino Linotype" w:eastAsia="Palatino Linotype" w:hAnsi="Palatino Linotype" w:cs="Palatino Linotype"/>
        </w:rPr>
        <w:t>at p. 24.</w:t>
      </w:r>
    </w:p>
  </w:footnote>
  <w:footnote w:id="425">
    <w:p w14:paraId="286986A7" w14:textId="77777777" w:rsidR="001E4CE1" w:rsidRDefault="001E4CE1" w:rsidP="001E4CE1">
      <w:pPr>
        <w:pStyle w:val="FootnoteText"/>
      </w:pPr>
      <w:r w:rsidRPr="2DC9DEEB">
        <w:rPr>
          <w:rStyle w:val="FootnoteReference"/>
        </w:rPr>
        <w:footnoteRef/>
      </w:r>
      <w:r>
        <w:t xml:space="preserve"> </w:t>
      </w:r>
      <w:r w:rsidRPr="2DC9DEEB">
        <w:rPr>
          <w:rFonts w:ascii="Palatino Linotype" w:eastAsia="Palatino Linotype" w:hAnsi="Palatino Linotype" w:cs="Palatino Linotype"/>
        </w:rPr>
        <w:t>AL 6645-G Attachment A at p. 30.</w:t>
      </w:r>
    </w:p>
  </w:footnote>
  <w:footnote w:id="426">
    <w:p w14:paraId="735F86A3" w14:textId="77777777" w:rsidR="001E4CE1" w:rsidRDefault="001E4CE1" w:rsidP="001E4CE1">
      <w:pPr>
        <w:pStyle w:val="FootnoteText"/>
      </w:pPr>
      <w:r w:rsidRPr="2DC9DEEB">
        <w:rPr>
          <w:rStyle w:val="FootnoteReference"/>
        </w:rPr>
        <w:footnoteRef/>
      </w:r>
      <w:r>
        <w:t xml:space="preserve"> </w:t>
      </w:r>
      <w:r w:rsidRPr="6D92BD94">
        <w:rPr>
          <w:rFonts w:ascii="Palatino Linotype" w:eastAsia="Palatino Linotype" w:hAnsi="Palatino Linotype" w:cs="Palatino Linotype"/>
        </w:rPr>
        <w:t>AL 6645-G Attachment A at p. 36.</w:t>
      </w:r>
    </w:p>
  </w:footnote>
  <w:footnote w:id="427">
    <w:p w14:paraId="32BD107B" w14:textId="77777777" w:rsidR="001E4CE1" w:rsidRDefault="001E4CE1" w:rsidP="001E4CE1">
      <w:pPr>
        <w:pStyle w:val="FootnoteText"/>
      </w:pPr>
      <w:r w:rsidRPr="2DC9DEEB">
        <w:rPr>
          <w:rStyle w:val="FootnoteReference"/>
        </w:rPr>
        <w:footnoteRef/>
      </w:r>
      <w:r w:rsidRPr="2DC9DEEB">
        <w:rPr>
          <w:rFonts w:ascii="Palatino Linotype" w:eastAsia="Palatino Linotype" w:hAnsi="Palatino Linotype" w:cs="Palatino Linotype"/>
        </w:rPr>
        <w:t xml:space="preserve"> AL 6645-G Attachment A at p. 40.</w:t>
      </w:r>
    </w:p>
  </w:footnote>
  <w:footnote w:id="428">
    <w:p w14:paraId="1A2DFC81" w14:textId="77777777" w:rsidR="001E4CE1" w:rsidRDefault="001E4CE1" w:rsidP="001E4CE1">
      <w:pPr>
        <w:pStyle w:val="FootnoteText"/>
      </w:pPr>
      <w:r w:rsidRPr="2DC9DEEB">
        <w:rPr>
          <w:rStyle w:val="FootnoteReference"/>
        </w:rPr>
        <w:footnoteRef/>
      </w:r>
      <w:r>
        <w:t xml:space="preserve"> </w:t>
      </w:r>
      <w:r w:rsidRPr="2DC9DEEB">
        <w:rPr>
          <w:rFonts w:ascii="Palatino Linotype" w:eastAsia="Palatino Linotype" w:hAnsi="Palatino Linotype" w:cs="Palatino Linotype"/>
        </w:rPr>
        <w:t>AL 6645-G Attachment A at p. 45-46.</w:t>
      </w:r>
    </w:p>
  </w:footnote>
  <w:footnote w:id="429">
    <w:p w14:paraId="713C8EB7" w14:textId="77777777" w:rsidR="001E4CE1" w:rsidRDefault="001E4CE1" w:rsidP="001E4CE1">
      <w:pPr>
        <w:pStyle w:val="FootnoteText"/>
      </w:pPr>
      <w:r w:rsidRPr="2DC9DEEB">
        <w:rPr>
          <w:rStyle w:val="FootnoteReference"/>
        </w:rPr>
        <w:footnoteRef/>
      </w:r>
      <w:r>
        <w:t xml:space="preserve"> </w:t>
      </w:r>
      <w:r w:rsidRPr="2DC9DEEB">
        <w:rPr>
          <w:rFonts w:ascii="Palatino Linotype" w:eastAsia="Palatino Linotype" w:hAnsi="Palatino Linotype" w:cs="Palatino Linotype"/>
        </w:rPr>
        <w:t>AL 6645-G Attachment A at p. 55-56.</w:t>
      </w:r>
    </w:p>
  </w:footnote>
  <w:footnote w:id="430">
    <w:p w14:paraId="3B3C08FA" w14:textId="77777777" w:rsidR="001E4CE1" w:rsidRDefault="001E4CE1" w:rsidP="001E4CE1">
      <w:pPr>
        <w:pStyle w:val="FootnoteText"/>
      </w:pPr>
      <w:r w:rsidRPr="2DC9DEEB">
        <w:rPr>
          <w:rStyle w:val="FootnoteReference"/>
        </w:rPr>
        <w:footnoteRef/>
      </w:r>
      <w:r>
        <w:t xml:space="preserve"> </w:t>
      </w:r>
      <w:r w:rsidRPr="2DC9DEEB">
        <w:rPr>
          <w:rFonts w:ascii="Palatino Linotype" w:eastAsia="Palatino Linotype" w:hAnsi="Palatino Linotype" w:cs="Palatino Linotype"/>
        </w:rPr>
        <w:t>AL 6645-G Attachment A at p. 62.</w:t>
      </w:r>
    </w:p>
  </w:footnote>
  <w:footnote w:id="431">
    <w:p w14:paraId="09313A76" w14:textId="77777777" w:rsidR="001E4CE1" w:rsidRDefault="001E4CE1" w:rsidP="001E4CE1">
      <w:pPr>
        <w:pStyle w:val="FootnoteText"/>
      </w:pPr>
      <w:r w:rsidRPr="22AA1D89">
        <w:rPr>
          <w:rStyle w:val="FootnoteReference"/>
        </w:rPr>
        <w:footnoteRef/>
      </w:r>
      <w:r>
        <w:t xml:space="preserve"> </w:t>
      </w:r>
      <w:r w:rsidRPr="22AA1D89">
        <w:rPr>
          <w:rFonts w:ascii="Palatino Linotype" w:eastAsia="Palatino Linotype" w:hAnsi="Palatino Linotype" w:cs="Palatino Linotype"/>
        </w:rPr>
        <w:t xml:space="preserve">AL 6645-G Attachment A </w:t>
      </w:r>
      <w:r w:rsidRPr="22AA1D89">
        <w:rPr>
          <w:rFonts w:ascii="Palatino Linotype" w:eastAsia="Palatino Linotype" w:hAnsi="Palatino Linotype" w:cs="Palatino Linotype"/>
        </w:rPr>
        <w:t>at p. 69.</w:t>
      </w:r>
    </w:p>
  </w:footnote>
  <w:footnote w:id="432">
    <w:p w14:paraId="409C79F6" w14:textId="77777777" w:rsidR="001E4CE1" w:rsidRDefault="001E4CE1" w:rsidP="001E4CE1">
      <w:pPr>
        <w:pStyle w:val="FootnoteText"/>
      </w:pPr>
      <w:r>
        <w:rPr>
          <w:rStyle w:val="FootnoteReference"/>
        </w:rPr>
        <w:footnoteRef/>
      </w:r>
      <w:r>
        <w:t xml:space="preserve"> </w:t>
      </w:r>
      <w:hyperlink r:id="rId156" w:history="1">
        <w:r w:rsidRPr="00F83725">
          <w:rPr>
            <w:rStyle w:val="Hyperlink"/>
            <w:rFonts w:ascii="Palatino Linotype" w:hAnsi="Palatino Linotype"/>
            <w:bCs/>
          </w:rPr>
          <w:t>Resolution G-3601</w:t>
        </w:r>
      </w:hyperlink>
      <w:r w:rsidRPr="0091298D">
        <w:rPr>
          <w:rFonts w:ascii="Palatino Linotype" w:hAnsi="Palatino Linotype"/>
          <w:bCs/>
          <w:color w:val="000000" w:themeColor="text1"/>
        </w:rPr>
        <w:t xml:space="preserve"> (2023) at p. 18</w:t>
      </w:r>
      <w:r>
        <w:rPr>
          <w:rFonts w:ascii="Palatino Linotype" w:hAnsi="Palatino Linotype"/>
          <w:bCs/>
          <w:color w:val="000000" w:themeColor="text1"/>
        </w:rPr>
        <w:t>.</w:t>
      </w:r>
    </w:p>
  </w:footnote>
  <w:footnote w:id="433">
    <w:p w14:paraId="4DFFBBF1" w14:textId="77777777" w:rsidR="001E4CE1" w:rsidRPr="00E419EB" w:rsidRDefault="001E4CE1" w:rsidP="001E4CE1">
      <w:pPr>
        <w:pStyle w:val="FootnoteText"/>
        <w:rPr>
          <w:rFonts w:ascii="Palatino Linotype" w:hAnsi="Palatino Linotype"/>
        </w:rPr>
      </w:pPr>
      <w:r w:rsidRPr="00E419EB">
        <w:rPr>
          <w:rStyle w:val="FootnoteReference"/>
          <w:rFonts w:ascii="Palatino Linotype" w:hAnsi="Palatino Linotype"/>
        </w:rPr>
        <w:footnoteRef/>
      </w:r>
      <w:r w:rsidRPr="00E419EB">
        <w:rPr>
          <w:rFonts w:ascii="Palatino Linotype" w:hAnsi="Palatino Linotype"/>
        </w:rPr>
        <w:t xml:space="preserve"> </w:t>
      </w:r>
      <w:r w:rsidRPr="00E419EB">
        <w:rPr>
          <w:rFonts w:ascii="Palatino Linotype" w:eastAsia="Aptos" w:hAnsi="Palatino Linotype" w:cs="Aptos"/>
        </w:rPr>
        <w:t>A</w:t>
      </w:r>
      <w:r w:rsidRPr="00E419EB">
        <w:rPr>
          <w:rFonts w:ascii="Palatino Linotype" w:eastAsia="Palatino Linotype" w:hAnsi="Palatino Linotype" w:cs="Palatino Linotype"/>
        </w:rPr>
        <w:t>L 6645-G Attachment A at p. 163-164.</w:t>
      </w:r>
    </w:p>
  </w:footnote>
  <w:footnote w:id="434">
    <w:p w14:paraId="66D9E3C4" w14:textId="77777777" w:rsidR="001E4CE1" w:rsidRDefault="001E4CE1" w:rsidP="001E4CE1">
      <w:pPr>
        <w:pStyle w:val="FootnoteText"/>
      </w:pPr>
      <w:r w:rsidRPr="56CE8599">
        <w:rPr>
          <w:rStyle w:val="FootnoteReference"/>
        </w:rPr>
        <w:footnoteRef/>
      </w:r>
      <w:r>
        <w:t xml:space="preserve"> </w:t>
      </w:r>
      <w:r w:rsidRPr="56CE8599">
        <w:rPr>
          <w:rFonts w:ascii="Palatino Linotype" w:eastAsia="Palatino Linotype" w:hAnsi="Palatino Linotype" w:cs="Palatino Linotype"/>
        </w:rPr>
        <w:t>AL</w:t>
      </w:r>
      <w:r w:rsidRPr="00D02D11">
        <w:rPr>
          <w:rFonts w:ascii="Palatino Linotype" w:eastAsia="Palatino Linotype" w:hAnsi="Palatino Linotype" w:cs="Palatino Linotype"/>
        </w:rPr>
        <w:t xml:space="preserve"> 6645-G Attachment A at p. 104-106.</w:t>
      </w:r>
    </w:p>
  </w:footnote>
  <w:footnote w:id="435">
    <w:p w14:paraId="5003C087" w14:textId="77777777" w:rsidR="001E4CE1" w:rsidRDefault="001E4CE1" w:rsidP="001E4CE1">
      <w:pPr>
        <w:pStyle w:val="FootnoteText"/>
        <w:rPr>
          <w:rFonts w:ascii="Palatino Linotype" w:hAnsi="Palatino Linotype"/>
        </w:rPr>
      </w:pPr>
      <w:r w:rsidRPr="69E62372">
        <w:rPr>
          <w:rStyle w:val="FootnoteReference"/>
          <w:rFonts w:ascii="Palatino Linotype" w:hAnsi="Palatino Linotype"/>
        </w:rPr>
        <w:footnoteRef/>
      </w:r>
      <w:r w:rsidRPr="69E62372">
        <w:rPr>
          <w:rFonts w:ascii="Palatino Linotype" w:hAnsi="Palatino Linotype"/>
        </w:rPr>
        <w:t xml:space="preserve"> AL 6645-G Attachment A at p. 163-164.</w:t>
      </w:r>
    </w:p>
  </w:footnote>
  <w:footnote w:id="436">
    <w:p w14:paraId="3AFDCB38" w14:textId="77777777" w:rsidR="001E4CE1" w:rsidRPr="00652881" w:rsidRDefault="001E4CE1" w:rsidP="001E4CE1">
      <w:pPr>
        <w:pStyle w:val="FootnoteText"/>
        <w:rPr>
          <w:rFonts w:ascii="Palatino Linotype" w:hAnsi="Palatino Linotype"/>
        </w:rPr>
      </w:pPr>
      <w:r w:rsidRPr="00652881">
        <w:rPr>
          <w:rStyle w:val="FootnoteReference"/>
          <w:rFonts w:ascii="Palatino Linotype" w:hAnsi="Palatino Linotype"/>
        </w:rPr>
        <w:footnoteRef/>
      </w:r>
      <w:r w:rsidRPr="00652881">
        <w:rPr>
          <w:rFonts w:ascii="Palatino Linotype" w:hAnsi="Palatino Linotype"/>
        </w:rPr>
        <w:t xml:space="preserve"> </w:t>
      </w:r>
      <w:hyperlink r:id="rId157" w:history="1">
        <w:r w:rsidRPr="00652881">
          <w:rPr>
            <w:rStyle w:val="Hyperlink"/>
            <w:rFonts w:ascii="Palatino Linotype" w:hAnsi="Palatino Linotype"/>
          </w:rPr>
          <w:t>R.22-12-011</w:t>
        </w:r>
      </w:hyperlink>
      <w:r w:rsidRPr="00652881">
        <w:rPr>
          <w:rFonts w:ascii="Palatino Linotype" w:hAnsi="Palatino Linotype"/>
        </w:rPr>
        <w:t>.</w:t>
      </w:r>
    </w:p>
  </w:footnote>
  <w:footnote w:id="437">
    <w:p w14:paraId="3569E475"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w:t>
      </w:r>
      <w:r w:rsidRPr="00154659">
        <w:rPr>
          <w:rFonts w:ascii="Palatino Linotype" w:eastAsia="Palatino Linotype" w:hAnsi="Palatino Linotype" w:cs="Palatino Linotype"/>
        </w:rPr>
        <w:t xml:space="preserve">AL 6645-G </w:t>
      </w:r>
      <w:r w:rsidRPr="00154659">
        <w:rPr>
          <w:rFonts w:ascii="Palatino Linotype" w:eastAsia="Palatino Linotype" w:hAnsi="Palatino Linotype" w:cs="Palatino Linotype"/>
        </w:rPr>
        <w:t>at p. 5 &amp; 11.</w:t>
      </w:r>
    </w:p>
  </w:footnote>
  <w:footnote w:id="438">
    <w:p w14:paraId="3A6E306D" w14:textId="77777777" w:rsidR="001E4CE1" w:rsidRDefault="001E4CE1" w:rsidP="001E4CE1">
      <w:pPr>
        <w:pStyle w:val="FootnoteText"/>
        <w:rPr>
          <w:rFonts w:ascii="Palatino Linotype" w:eastAsia="Palatino Linotype" w:hAnsi="Palatino Linotype" w:cs="Palatino Linotype"/>
        </w:rPr>
      </w:pPr>
      <w:r w:rsidRPr="56CE8599">
        <w:rPr>
          <w:rStyle w:val="FootnoteReference"/>
        </w:rPr>
        <w:footnoteRef/>
      </w:r>
      <w:r>
        <w:t xml:space="preserve"> </w:t>
      </w:r>
      <w:r w:rsidRPr="56CE8599">
        <w:rPr>
          <w:rFonts w:ascii="Palatino Linotype" w:eastAsia="Palatino Linotype" w:hAnsi="Palatino Linotype" w:cs="Palatino Linotype"/>
        </w:rPr>
        <w:t xml:space="preserve">AL 6645-G Attachment A </w:t>
      </w:r>
      <w:r w:rsidRPr="56CE8599">
        <w:rPr>
          <w:rFonts w:ascii="Palatino Linotype" w:eastAsia="Palatino Linotype" w:hAnsi="Palatino Linotype" w:cs="Palatino Linotype"/>
        </w:rPr>
        <w:t>at p. 103.</w:t>
      </w:r>
    </w:p>
    <w:p w14:paraId="304489DC" w14:textId="77777777" w:rsidR="001E4CE1" w:rsidRDefault="001E4CE1" w:rsidP="001E4CE1">
      <w:pPr>
        <w:pStyle w:val="FootnoteText"/>
      </w:pPr>
    </w:p>
  </w:footnote>
  <w:footnote w:id="439">
    <w:p w14:paraId="5069829B"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w:t>
      </w:r>
      <w:r w:rsidRPr="00154659">
        <w:rPr>
          <w:rFonts w:ascii="Palatino Linotype" w:eastAsia="Aptos" w:hAnsi="Palatino Linotype" w:cs="Aptos"/>
        </w:rPr>
        <w:t>AL</w:t>
      </w:r>
      <w:r w:rsidRPr="00154659">
        <w:rPr>
          <w:rFonts w:ascii="Palatino Linotype" w:eastAsia="Palatino Linotype" w:hAnsi="Palatino Linotype" w:cs="Palatino Linotype"/>
        </w:rPr>
        <w:t xml:space="preserve"> 6645-G Attachment A at Appendix 2: Project Selection Process</w:t>
      </w:r>
      <w:r>
        <w:rPr>
          <w:rFonts w:ascii="Palatino Linotype" w:eastAsia="Palatino Linotype" w:hAnsi="Palatino Linotype" w:cs="Palatino Linotype"/>
        </w:rPr>
        <w:t xml:space="preserve"> </w:t>
      </w:r>
      <w:r w:rsidRPr="00154659">
        <w:rPr>
          <w:rFonts w:ascii="Palatino Linotype" w:eastAsia="Palatino Linotype" w:hAnsi="Palatino Linotype" w:cs="Palatino Linotype"/>
        </w:rPr>
        <w:t>at p. 94-113.</w:t>
      </w:r>
    </w:p>
  </w:footnote>
  <w:footnote w:id="440">
    <w:p w14:paraId="7AC44B4C" w14:textId="77777777" w:rsidR="001E4CE1" w:rsidRPr="00154659" w:rsidRDefault="001E4CE1" w:rsidP="001E4CE1">
      <w:pPr>
        <w:pStyle w:val="FootnoteText"/>
        <w:rPr>
          <w:rFonts w:ascii="Palatino Linotype" w:hAnsi="Palatino Linotype"/>
        </w:rPr>
      </w:pPr>
      <w:r w:rsidRPr="00154659">
        <w:rPr>
          <w:rStyle w:val="FootnoteReference"/>
          <w:rFonts w:ascii="Palatino Linotype" w:hAnsi="Palatino Linotype"/>
        </w:rPr>
        <w:footnoteRef/>
      </w:r>
      <w:r w:rsidRPr="00154659">
        <w:rPr>
          <w:rFonts w:ascii="Palatino Linotype" w:hAnsi="Palatino Linotype"/>
        </w:rPr>
        <w:t xml:space="preserve"> </w:t>
      </w:r>
      <w:r w:rsidRPr="00154659">
        <w:rPr>
          <w:rFonts w:ascii="Palatino Linotype" w:eastAsia="Palatino Linotype" w:hAnsi="Palatino Linotype" w:cs="Palatino Linotype"/>
        </w:rPr>
        <w:t xml:space="preserve">AL 6645-G Attachment A at p. 104. </w:t>
      </w:r>
    </w:p>
  </w:footnote>
  <w:footnote w:id="441">
    <w:p w14:paraId="57899E64" w14:textId="77777777" w:rsidR="001E4CE1" w:rsidRPr="00BB37FC" w:rsidRDefault="001E4CE1" w:rsidP="001E4CE1">
      <w:pPr>
        <w:pStyle w:val="FootnoteText"/>
        <w:rPr>
          <w:rFonts w:ascii="Palatino Linotype" w:hAnsi="Palatino Linotype"/>
        </w:rPr>
      </w:pPr>
      <w:r w:rsidRPr="00BB37FC">
        <w:rPr>
          <w:rStyle w:val="FootnoteReference"/>
          <w:rFonts w:ascii="Palatino Linotype" w:hAnsi="Palatino Linotype"/>
        </w:rPr>
        <w:footnoteRef/>
      </w:r>
      <w:r w:rsidRPr="00BB37FC">
        <w:rPr>
          <w:rFonts w:ascii="Palatino Linotype" w:hAnsi="Palatino Linotype"/>
        </w:rPr>
        <w:t xml:space="preserve"> </w:t>
      </w:r>
      <w:r w:rsidRPr="00BB37FC">
        <w:rPr>
          <w:rFonts w:ascii="Palatino Linotype" w:eastAsia="Aptos" w:hAnsi="Palatino Linotype" w:cs="Aptos"/>
        </w:rPr>
        <w:t>A</w:t>
      </w:r>
      <w:r w:rsidRPr="00BB37FC">
        <w:rPr>
          <w:rFonts w:ascii="Palatino Linotype" w:eastAsia="Palatino Linotype" w:hAnsi="Palatino Linotype" w:cs="Palatino Linotype"/>
        </w:rPr>
        <w:t>L 6645-G at p. 11</w:t>
      </w:r>
      <w:r w:rsidRPr="56CE8599">
        <w:rPr>
          <w:rFonts w:ascii="Palatino Linotype" w:eastAsia="Palatino Linotype" w:hAnsi="Palatino Linotype" w:cs="Palatino Linotype"/>
        </w:rPr>
        <w:t xml:space="preserve"> &amp; Attachment A at p. 163.</w:t>
      </w:r>
    </w:p>
  </w:footnote>
  <w:footnote w:id="442">
    <w:p w14:paraId="558E3EDD" w14:textId="77777777" w:rsidR="001E4CE1" w:rsidRPr="00BB37FC" w:rsidRDefault="001E4CE1" w:rsidP="001E4CE1">
      <w:pPr>
        <w:pStyle w:val="FootnoteText"/>
        <w:rPr>
          <w:rFonts w:ascii="Palatino Linotype" w:hAnsi="Palatino Linotype"/>
        </w:rPr>
      </w:pPr>
      <w:r w:rsidRPr="00BB37FC">
        <w:rPr>
          <w:rStyle w:val="FootnoteReference"/>
          <w:rFonts w:ascii="Palatino Linotype" w:hAnsi="Palatino Linotype"/>
        </w:rPr>
        <w:footnoteRef/>
      </w:r>
      <w:r w:rsidRPr="00BB37FC">
        <w:rPr>
          <w:rFonts w:ascii="Palatino Linotype" w:hAnsi="Palatino Linotype"/>
        </w:rPr>
        <w:t xml:space="preserve"> </w:t>
      </w:r>
      <w:r w:rsidRPr="00BB37FC">
        <w:rPr>
          <w:rFonts w:ascii="Palatino Linotype" w:eastAsia="Aptos" w:hAnsi="Palatino Linotype" w:cs="Aptos"/>
        </w:rPr>
        <w:t xml:space="preserve">AL </w:t>
      </w:r>
      <w:r w:rsidRPr="00BB37FC">
        <w:rPr>
          <w:rFonts w:ascii="Palatino Linotype" w:eastAsia="Palatino Linotype" w:hAnsi="Palatino Linotype" w:cs="Palatino Linotype"/>
        </w:rPr>
        <w:t>6645-G Attachment A at p. 19.</w:t>
      </w:r>
    </w:p>
  </w:footnote>
  <w:footnote w:id="443">
    <w:p w14:paraId="4D0E8AA3" w14:textId="77777777" w:rsidR="001E4CE1" w:rsidRPr="00BB37FC" w:rsidRDefault="001E4CE1" w:rsidP="001E4CE1">
      <w:pPr>
        <w:pStyle w:val="FootnoteText"/>
        <w:rPr>
          <w:rFonts w:ascii="Palatino Linotype" w:hAnsi="Palatino Linotype"/>
        </w:rPr>
      </w:pPr>
      <w:r w:rsidRPr="00BB37FC">
        <w:rPr>
          <w:rStyle w:val="FootnoteReference"/>
          <w:rFonts w:ascii="Palatino Linotype" w:hAnsi="Palatino Linotype"/>
        </w:rPr>
        <w:footnoteRef/>
      </w:r>
      <w:r w:rsidRPr="00BB37FC">
        <w:rPr>
          <w:rFonts w:ascii="Palatino Linotype" w:hAnsi="Palatino Linotype"/>
        </w:rPr>
        <w:t xml:space="preserve"> </w:t>
      </w:r>
      <w:r w:rsidRPr="00BB37FC">
        <w:rPr>
          <w:rFonts w:ascii="Palatino Linotype" w:eastAsia="Palatino Linotype" w:hAnsi="Palatino Linotype" w:cs="Palatino Linotype"/>
        </w:rPr>
        <w:t>AL 6645-G Attachment A at p. 107.</w:t>
      </w:r>
    </w:p>
  </w:footnote>
  <w:footnote w:id="444">
    <w:p w14:paraId="41E96DB3" w14:textId="77777777" w:rsidR="001E4CE1" w:rsidRDefault="001E4CE1" w:rsidP="001E4CE1">
      <w:pPr>
        <w:pStyle w:val="FootnoteText"/>
      </w:pPr>
      <w:r w:rsidRPr="00BB37FC">
        <w:rPr>
          <w:rStyle w:val="FootnoteReference"/>
          <w:rFonts w:ascii="Palatino Linotype" w:hAnsi="Palatino Linotype"/>
        </w:rPr>
        <w:footnoteRef/>
      </w:r>
      <w:r w:rsidRPr="00BB37FC">
        <w:rPr>
          <w:rFonts w:ascii="Palatino Linotype" w:hAnsi="Palatino Linotype"/>
        </w:rPr>
        <w:t xml:space="preserve"> </w:t>
      </w:r>
      <w:r w:rsidRPr="00BB37FC">
        <w:rPr>
          <w:rFonts w:ascii="Palatino Linotype" w:eastAsia="Aptos" w:hAnsi="Palatino Linotype" w:cs="Aptos"/>
        </w:rPr>
        <w:t>A</w:t>
      </w:r>
      <w:r w:rsidRPr="00BB37FC">
        <w:rPr>
          <w:rFonts w:ascii="Palatino Linotype" w:eastAsia="Palatino Linotype" w:hAnsi="Palatino Linotype" w:cs="Palatino Linotype"/>
        </w:rPr>
        <w:t>L 6645-G Attachment A at p. 106-107.</w:t>
      </w:r>
    </w:p>
  </w:footnote>
  <w:footnote w:id="445">
    <w:p w14:paraId="332247BE" w14:textId="77777777" w:rsidR="001E4CE1" w:rsidRDefault="001E4CE1" w:rsidP="001E4CE1">
      <w:pPr>
        <w:pStyle w:val="FootnoteText"/>
      </w:pPr>
      <w:r w:rsidRPr="18DBD8F7">
        <w:rPr>
          <w:rStyle w:val="FootnoteReference"/>
        </w:rPr>
        <w:footnoteRef/>
      </w:r>
      <w:r>
        <w:t xml:space="preserve"> </w:t>
      </w:r>
      <w:r w:rsidRPr="18DBD8F7">
        <w:rPr>
          <w:rFonts w:ascii="Palatino Linotype" w:eastAsia="Palatino Linotype" w:hAnsi="Palatino Linotype" w:cs="Palatino Linotype"/>
        </w:rPr>
        <w:t xml:space="preserve">AL 6645-G Attachment A </w:t>
      </w:r>
      <w:r w:rsidRPr="18DBD8F7">
        <w:rPr>
          <w:rFonts w:ascii="Palatino Linotype" w:eastAsia="Palatino Linotype" w:hAnsi="Palatino Linotype" w:cs="Palatino Linotype"/>
        </w:rPr>
        <w:t>at p. 24.</w:t>
      </w:r>
    </w:p>
  </w:footnote>
  <w:footnote w:id="446">
    <w:p w14:paraId="45270416" w14:textId="77777777" w:rsidR="001E4CE1" w:rsidRDefault="001E4CE1" w:rsidP="001E4CE1">
      <w:pPr>
        <w:pStyle w:val="FootnoteText"/>
      </w:pPr>
      <w:r w:rsidRPr="7C3B8195">
        <w:rPr>
          <w:rStyle w:val="FootnoteReference"/>
        </w:rPr>
        <w:footnoteRef/>
      </w:r>
      <w:r>
        <w:t xml:space="preserve"> </w:t>
      </w:r>
      <w:r w:rsidRPr="28F27534">
        <w:rPr>
          <w:rFonts w:ascii="Palatino Linotype" w:eastAsia="Palatino Linotype" w:hAnsi="Palatino Linotype" w:cs="Palatino Linotype"/>
        </w:rPr>
        <w:t>AL 6645-G Attachment A at p. 95.</w:t>
      </w:r>
    </w:p>
  </w:footnote>
  <w:footnote w:id="447">
    <w:p w14:paraId="04D4A573" w14:textId="77777777" w:rsidR="001E4CE1" w:rsidRPr="00BB37FC" w:rsidRDefault="001E4CE1" w:rsidP="001E4CE1">
      <w:pPr>
        <w:pStyle w:val="FootnoteText"/>
        <w:rPr>
          <w:rFonts w:ascii="Palatino Linotype" w:eastAsia="Palatino Linotype" w:hAnsi="Palatino Linotype" w:cs="Palatino Linotype"/>
        </w:rPr>
      </w:pPr>
      <w:r w:rsidRPr="36C42D52">
        <w:rPr>
          <w:rStyle w:val="FootnoteReference"/>
        </w:rPr>
        <w:footnoteRef/>
      </w:r>
      <w:r>
        <w:t xml:space="preserve"> </w:t>
      </w:r>
      <w:r w:rsidRPr="00BB37FC">
        <w:rPr>
          <w:rFonts w:ascii="Palatino Linotype" w:eastAsia="Palatino Linotype" w:hAnsi="Palatino Linotype" w:cs="Palatino Linotype"/>
        </w:rPr>
        <w:t>AL 6645-G Attachment A at p. 95-96.</w:t>
      </w:r>
    </w:p>
  </w:footnote>
  <w:footnote w:id="448">
    <w:p w14:paraId="6CDBDE01" w14:textId="77777777" w:rsidR="001E4CE1" w:rsidRDefault="001E4CE1" w:rsidP="001E4CE1">
      <w:pPr>
        <w:pStyle w:val="FootnoteText"/>
      </w:pPr>
      <w:r>
        <w:rPr>
          <w:rStyle w:val="FootnoteReference"/>
        </w:rPr>
        <w:footnoteRef/>
      </w:r>
      <w:r>
        <w:t xml:space="preserve"> </w:t>
      </w:r>
      <w:r w:rsidRPr="00BB37FC">
        <w:rPr>
          <w:rFonts w:ascii="Palatino Linotype" w:hAnsi="Palatino Linotype"/>
        </w:rPr>
        <w:t>AL 6645-G Attachment A at p</w:t>
      </w:r>
      <w:r w:rsidRPr="00E4075A">
        <w:rPr>
          <w:rFonts w:ascii="Palatino Linotype" w:hAnsi="Palatino Linotype"/>
        </w:rPr>
        <w:t>. 27-</w:t>
      </w:r>
      <w:r>
        <w:rPr>
          <w:rFonts w:ascii="Palatino Linotype" w:hAnsi="Palatino Linotype"/>
        </w:rPr>
        <w:t xml:space="preserve">28, 33-34, 38, 42-43, 48, 58-59, 65-66, &amp; 72-73. </w:t>
      </w:r>
    </w:p>
  </w:footnote>
  <w:footnote w:id="449">
    <w:p w14:paraId="0D7F99F2" w14:textId="77777777" w:rsidR="002A6629" w:rsidRDefault="002A6629" w:rsidP="002A6629">
      <w:pPr>
        <w:pStyle w:val="FootnoteText"/>
      </w:pPr>
      <w:r w:rsidRPr="5CB1C368">
        <w:rPr>
          <w:rStyle w:val="FootnoteReference"/>
        </w:rPr>
        <w:footnoteRef/>
      </w:r>
      <w:r>
        <w:t xml:space="preserve"> </w:t>
      </w:r>
      <w:r w:rsidRPr="5CB1C368">
        <w:rPr>
          <w:rFonts w:ascii="Palatino Linotype" w:hAnsi="Palatino Linotype"/>
        </w:rPr>
        <w:t xml:space="preserve">Upheld in </w:t>
      </w:r>
      <w:hyperlink r:id="rId158">
        <w:r w:rsidRPr="5CB1C368">
          <w:rPr>
            <w:rStyle w:val="Hyperlink"/>
            <w:rFonts w:ascii="Palatino Linotype" w:hAnsi="Palatino Linotype"/>
          </w:rPr>
          <w:t>D.24-12-074</w:t>
        </w:r>
      </w:hyperlink>
      <w:r w:rsidRPr="5CB1C368">
        <w:rPr>
          <w:rFonts w:ascii="Palatino Linotype" w:hAnsi="Palatino Linotype"/>
        </w:rPr>
        <w:t xml:space="preserve"> at p. 327-330.</w:t>
      </w:r>
    </w:p>
  </w:footnote>
  <w:footnote w:id="450">
    <w:p w14:paraId="73419707"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AL 6646-G at p. 7.</w:t>
      </w:r>
    </w:p>
  </w:footnote>
  <w:footnote w:id="451">
    <w:p w14:paraId="364BD7A3"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w:t>
      </w:r>
      <w:r w:rsidRPr="5CB1C368">
        <w:rPr>
          <w:rFonts w:ascii="Palatino Linotype" w:eastAsia="Palatino Linotype" w:hAnsi="Palatino Linotype" w:cs="Palatino Linotype"/>
        </w:rPr>
        <w:t xml:space="preserve">AL 6646-G </w:t>
      </w:r>
      <w:r w:rsidRPr="5CB1C368">
        <w:rPr>
          <w:rFonts w:ascii="Palatino Linotype" w:eastAsia="Palatino Linotype" w:hAnsi="Palatino Linotype" w:cs="Palatino Linotype"/>
        </w:rPr>
        <w:t>at p. 8.</w:t>
      </w:r>
    </w:p>
  </w:footnote>
  <w:footnote w:id="452">
    <w:p w14:paraId="169C57DE" w14:textId="77777777" w:rsidR="002A6629" w:rsidRPr="002C36C2" w:rsidRDefault="002A6629" w:rsidP="002A6629">
      <w:pPr>
        <w:pStyle w:val="FootnoteText"/>
        <w:rPr>
          <w:rFonts w:ascii="Palatino Linotype" w:hAnsi="Palatino Linotype"/>
        </w:rPr>
      </w:pPr>
      <w:r w:rsidRPr="002C36C2">
        <w:rPr>
          <w:rStyle w:val="FootnoteReference"/>
          <w:rFonts w:ascii="Palatino Linotype" w:hAnsi="Palatino Linotype"/>
        </w:rPr>
        <w:footnoteRef/>
      </w:r>
      <w:r w:rsidRPr="002C36C2">
        <w:rPr>
          <w:rFonts w:ascii="Palatino Linotype" w:hAnsi="Palatino Linotype"/>
        </w:rPr>
        <w:t xml:space="preserve"> </w:t>
      </w:r>
      <w:r w:rsidRPr="002C36C2">
        <w:rPr>
          <w:rFonts w:ascii="Palatino Linotype" w:eastAsia="Palatino Linotype" w:hAnsi="Palatino Linotype" w:cs="Palatino Linotype"/>
        </w:rPr>
        <w:t xml:space="preserve">AL 6646-G </w:t>
      </w:r>
      <w:r w:rsidRPr="002C36C2">
        <w:rPr>
          <w:rFonts w:ascii="Palatino Linotype" w:eastAsia="Palatino Linotype" w:hAnsi="Palatino Linotype" w:cs="Palatino Linotype"/>
        </w:rPr>
        <w:t>at p. 8</w:t>
      </w:r>
      <w:r w:rsidRPr="002C36C2">
        <w:rPr>
          <w:rFonts w:ascii="Palatino Linotype" w:hAnsi="Palatino Linotype"/>
        </w:rPr>
        <w:t>.</w:t>
      </w:r>
    </w:p>
  </w:footnote>
  <w:footnote w:id="453">
    <w:p w14:paraId="06E3965A" w14:textId="77777777" w:rsidR="002A6629" w:rsidRPr="002C36C2" w:rsidRDefault="002A6629" w:rsidP="002A6629">
      <w:pPr>
        <w:pStyle w:val="FootnoteText"/>
        <w:rPr>
          <w:rFonts w:ascii="Palatino Linotype" w:hAnsi="Palatino Linotype"/>
        </w:rPr>
      </w:pPr>
      <w:r w:rsidRPr="002C36C2">
        <w:rPr>
          <w:rStyle w:val="FootnoteReference"/>
          <w:rFonts w:ascii="Palatino Linotype" w:hAnsi="Palatino Linotype"/>
        </w:rPr>
        <w:footnoteRef/>
      </w:r>
      <w:r w:rsidRPr="002C36C2">
        <w:rPr>
          <w:rFonts w:ascii="Palatino Linotype" w:hAnsi="Palatino Linotype"/>
        </w:rPr>
        <w:t xml:space="preserve"> </w:t>
      </w:r>
      <w:r w:rsidRPr="002C36C2">
        <w:rPr>
          <w:rFonts w:ascii="Palatino Linotype" w:eastAsia="Palatino Linotype" w:hAnsi="Palatino Linotype" w:cs="Palatino Linotype"/>
        </w:rPr>
        <w:t>AL 6646-G Attachment A at p. 94-113.</w:t>
      </w:r>
    </w:p>
  </w:footnote>
  <w:footnote w:id="454">
    <w:p w14:paraId="640B9EBC" w14:textId="77777777" w:rsidR="002A6629" w:rsidRPr="002C36C2" w:rsidRDefault="002A6629" w:rsidP="002A6629">
      <w:pPr>
        <w:pStyle w:val="FootnoteText"/>
        <w:rPr>
          <w:rFonts w:ascii="Palatino Linotype" w:hAnsi="Palatino Linotype"/>
        </w:rPr>
      </w:pPr>
      <w:r w:rsidRPr="002C36C2">
        <w:rPr>
          <w:rStyle w:val="FootnoteReference"/>
          <w:rFonts w:ascii="Palatino Linotype" w:hAnsi="Palatino Linotype"/>
        </w:rPr>
        <w:footnoteRef/>
      </w:r>
      <w:r w:rsidRPr="002C36C2">
        <w:rPr>
          <w:rFonts w:ascii="Palatino Linotype" w:hAnsi="Palatino Linotype"/>
        </w:rPr>
        <w:t xml:space="preserve"> Upheld in </w:t>
      </w:r>
      <w:hyperlink r:id="rId159">
        <w:r w:rsidRPr="002C36C2">
          <w:rPr>
            <w:rStyle w:val="Hyperlink"/>
            <w:rFonts w:ascii="Palatino Linotype" w:hAnsi="Palatino Linotype"/>
          </w:rPr>
          <w:t>D.24-12-074</w:t>
        </w:r>
      </w:hyperlink>
      <w:r w:rsidRPr="002C36C2">
        <w:rPr>
          <w:rFonts w:ascii="Palatino Linotype" w:hAnsi="Palatino Linotype"/>
        </w:rPr>
        <w:t xml:space="preserve"> at p. 327-330.</w:t>
      </w:r>
    </w:p>
  </w:footnote>
  <w:footnote w:id="455">
    <w:p w14:paraId="2CD57A4D" w14:textId="77777777" w:rsidR="002A6629" w:rsidRDefault="002A6629" w:rsidP="002A6629">
      <w:pPr>
        <w:pStyle w:val="FootnoteText"/>
      </w:pPr>
      <w:r w:rsidRPr="002C36C2">
        <w:rPr>
          <w:rStyle w:val="FootnoteReference"/>
          <w:rFonts w:ascii="Palatino Linotype" w:hAnsi="Palatino Linotype"/>
        </w:rPr>
        <w:footnoteRef/>
      </w:r>
      <w:r w:rsidRPr="002C36C2">
        <w:rPr>
          <w:rFonts w:ascii="Palatino Linotype" w:hAnsi="Palatino Linotype"/>
        </w:rPr>
        <w:t xml:space="preserve"> Upheld in </w:t>
      </w:r>
      <w:hyperlink r:id="rId160">
        <w:r w:rsidRPr="002C36C2">
          <w:rPr>
            <w:rStyle w:val="Hyperlink"/>
            <w:rFonts w:ascii="Palatino Linotype" w:hAnsi="Palatino Linotype"/>
          </w:rPr>
          <w:t>D.24-12-074</w:t>
        </w:r>
      </w:hyperlink>
      <w:r w:rsidRPr="002C36C2">
        <w:rPr>
          <w:rFonts w:ascii="Palatino Linotype" w:hAnsi="Palatino Linotype"/>
        </w:rPr>
        <w:t xml:space="preserve"> at p. 327-330.</w:t>
      </w:r>
    </w:p>
  </w:footnote>
  <w:footnote w:id="456">
    <w:p w14:paraId="14C193F2" w14:textId="77777777" w:rsidR="002A6629" w:rsidRDefault="002A6629" w:rsidP="002A6629">
      <w:pPr>
        <w:pStyle w:val="FootnoteText"/>
      </w:pPr>
      <w:r w:rsidRPr="5CB1C368">
        <w:rPr>
          <w:rStyle w:val="FootnoteReference"/>
        </w:rPr>
        <w:footnoteRef/>
      </w:r>
      <w:r>
        <w:t xml:space="preserve"> </w:t>
      </w:r>
      <w:hyperlink r:id="rId161" w:history="1">
        <w:r w:rsidRPr="00C73E2D">
          <w:rPr>
            <w:rStyle w:val="Hyperlink"/>
            <w:rFonts w:ascii="Palatino Linotype" w:hAnsi="Palatino Linotype"/>
          </w:rPr>
          <w:t>D.24-12-074</w:t>
        </w:r>
      </w:hyperlink>
      <w:r w:rsidRPr="00C73E2D">
        <w:rPr>
          <w:rFonts w:ascii="Palatino Linotype" w:hAnsi="Palatino Linotype"/>
        </w:rPr>
        <w:t xml:space="preserve"> at </w:t>
      </w:r>
      <w:r>
        <w:rPr>
          <w:rFonts w:ascii="Palatino Linotype" w:hAnsi="Palatino Linotype"/>
        </w:rPr>
        <w:t xml:space="preserve">p. 21-24, 327-330, 895, &amp; 901; FOF 110; &amp; COL 305. See Resolution G-3624 </w:t>
      </w:r>
      <w:r>
        <w:rPr>
          <w:rFonts w:ascii="Palatino Linotype" w:hAnsi="Palatino Linotype"/>
        </w:rPr>
        <w:t>at p. 4-5.</w:t>
      </w:r>
    </w:p>
  </w:footnote>
  <w:footnote w:id="457">
    <w:p w14:paraId="615578B0" w14:textId="77777777" w:rsidR="002A6629" w:rsidRDefault="002A6629" w:rsidP="002A6629">
      <w:pPr>
        <w:pStyle w:val="FootnoteText"/>
      </w:pPr>
      <w:r w:rsidRPr="5CB1C368">
        <w:rPr>
          <w:rStyle w:val="FootnoteReference"/>
        </w:rPr>
        <w:footnoteRef/>
      </w:r>
      <w:r w:rsidRPr="5CB1C368">
        <w:rPr>
          <w:rFonts w:ascii="Palatino Linotype" w:eastAsia="Palatino Linotype" w:hAnsi="Palatino Linotype" w:cs="Palatino Linotype"/>
        </w:rPr>
        <w:t xml:space="preserve"> AL 6646-G </w:t>
      </w:r>
      <w:r w:rsidRPr="5CB1C368">
        <w:rPr>
          <w:rFonts w:ascii="Palatino Linotype" w:eastAsia="Palatino Linotype" w:hAnsi="Palatino Linotype" w:cs="Palatino Linotype"/>
        </w:rPr>
        <w:t>at p. 6.</w:t>
      </w:r>
    </w:p>
  </w:footnote>
  <w:footnote w:id="458">
    <w:p w14:paraId="2703E69C"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w:t>
      </w:r>
      <w:r w:rsidRPr="5CB1C368">
        <w:rPr>
          <w:rFonts w:ascii="Palatino Linotype" w:eastAsia="Aptos" w:hAnsi="Palatino Linotype" w:cs="Aptos"/>
        </w:rPr>
        <w:t xml:space="preserve">AL 6646-G Attachment A at p. 21, 24-25, 30-31, 36-37, 40-41, 45-46, 55-57, 62-63, </w:t>
      </w:r>
      <w:r>
        <w:rPr>
          <w:rFonts w:ascii="Palatino Linotype" w:eastAsia="Aptos" w:hAnsi="Palatino Linotype" w:cs="Aptos"/>
        </w:rPr>
        <w:t>&amp;</w:t>
      </w:r>
      <w:r w:rsidRPr="5CB1C368">
        <w:rPr>
          <w:rFonts w:ascii="Palatino Linotype" w:eastAsia="Aptos" w:hAnsi="Palatino Linotype" w:cs="Aptos"/>
        </w:rPr>
        <w:t xml:space="preserve"> 68-70.</w:t>
      </w:r>
    </w:p>
  </w:footnote>
  <w:footnote w:id="459">
    <w:p w14:paraId="5BB2AD03" w14:textId="77777777" w:rsidR="002A6629" w:rsidRDefault="002A6629" w:rsidP="002A6629">
      <w:pPr>
        <w:pStyle w:val="FootnoteText"/>
      </w:pPr>
      <w:r>
        <w:rPr>
          <w:rStyle w:val="FootnoteReference"/>
        </w:rPr>
        <w:footnoteRef/>
      </w:r>
      <w:r>
        <w:t xml:space="preserve"> </w:t>
      </w:r>
      <w:r w:rsidRPr="008B779A">
        <w:rPr>
          <w:rFonts w:ascii="Palatino Linotype" w:hAnsi="Palatino Linotype"/>
          <w:color w:val="000000" w:themeColor="text1"/>
        </w:rPr>
        <w:t xml:space="preserve">AL </w:t>
      </w:r>
      <w:r>
        <w:rPr>
          <w:rFonts w:ascii="Palatino Linotype" w:hAnsi="Palatino Linotype"/>
          <w:color w:val="000000" w:themeColor="text1"/>
        </w:rPr>
        <w:t>6646-G</w:t>
      </w:r>
      <w:r w:rsidRPr="008B779A">
        <w:rPr>
          <w:rFonts w:ascii="Palatino Linotype" w:hAnsi="Palatino Linotype"/>
          <w:color w:val="000000" w:themeColor="text1"/>
        </w:rPr>
        <w:t xml:space="preserve"> </w:t>
      </w:r>
      <w:r w:rsidRPr="008B779A">
        <w:rPr>
          <w:rFonts w:ascii="Palatino Linotype" w:hAnsi="Palatino Linotype"/>
          <w:bCs/>
          <w:color w:val="000000" w:themeColor="text1"/>
        </w:rPr>
        <w:t>Attachment A at p.</w:t>
      </w:r>
      <w:r>
        <w:rPr>
          <w:rFonts w:ascii="Palatino Linotype" w:hAnsi="Palatino Linotype"/>
          <w:bCs/>
          <w:color w:val="000000" w:themeColor="text1"/>
        </w:rPr>
        <w:t xml:space="preserve"> 62.</w:t>
      </w:r>
    </w:p>
  </w:footnote>
  <w:footnote w:id="460">
    <w:p w14:paraId="70A42AB9" w14:textId="77777777" w:rsidR="002A6629" w:rsidRDefault="002A6629" w:rsidP="002A6629">
      <w:pPr>
        <w:pStyle w:val="FootnoteText"/>
      </w:pPr>
      <w:r>
        <w:rPr>
          <w:rStyle w:val="FootnoteReference"/>
        </w:rPr>
        <w:footnoteRef/>
      </w:r>
      <w:r>
        <w:t xml:space="preserve"> </w:t>
      </w:r>
      <w:r w:rsidRPr="003B2C79">
        <w:rPr>
          <w:rFonts w:ascii="Palatino Linotype" w:eastAsia="Aptos" w:hAnsi="Palatino Linotype" w:cs="Aptos"/>
        </w:rPr>
        <w:t>AL 6646-</w:t>
      </w:r>
      <w:r w:rsidRPr="003B2C79">
        <w:rPr>
          <w:rFonts w:ascii="Palatino Linotype" w:eastAsia="Palatino Linotype" w:hAnsi="Palatino Linotype" w:cs="Palatino Linotype"/>
        </w:rPr>
        <w:t>G Attachment A at p. 47.</w:t>
      </w:r>
    </w:p>
  </w:footnote>
  <w:footnote w:id="461">
    <w:p w14:paraId="3D97CBBF" w14:textId="77777777" w:rsidR="00F728D5" w:rsidRPr="00504106" w:rsidRDefault="00F728D5" w:rsidP="00F728D5">
      <w:pPr>
        <w:pStyle w:val="FootnoteText"/>
        <w:rPr>
          <w:rFonts w:ascii="Palatino Linotype" w:hAnsi="Palatino Linotype"/>
        </w:rPr>
      </w:pPr>
      <w:r w:rsidRPr="00504106">
        <w:rPr>
          <w:rStyle w:val="FootnoteReference"/>
          <w:rFonts w:ascii="Palatino Linotype" w:hAnsi="Palatino Linotype"/>
        </w:rPr>
        <w:footnoteRef/>
      </w:r>
      <w:r w:rsidRPr="00504106">
        <w:rPr>
          <w:rFonts w:ascii="Palatino Linotype" w:hAnsi="Palatino Linotype"/>
        </w:rPr>
        <w:t xml:space="preserve"> </w:t>
      </w:r>
      <w:r>
        <w:rPr>
          <w:rFonts w:ascii="Palatino Linotype" w:hAnsi="Palatino Linotype"/>
        </w:rPr>
        <w:t xml:space="preserve">See also: </w:t>
      </w:r>
      <w:hyperlink r:id="rId162" w:tgtFrame="_blank" w:history="1">
        <w:r w:rsidRPr="00670F74">
          <w:rPr>
            <w:rStyle w:val="Hyperlink"/>
            <w:rFonts w:ascii="Palatino Linotype" w:hAnsi="Palatino Linotype"/>
          </w:rPr>
          <w:t>Resolution G-3618</w:t>
        </w:r>
      </w:hyperlink>
      <w:r w:rsidRPr="00670F74">
        <w:rPr>
          <w:rFonts w:ascii="Palatino Linotype" w:hAnsi="Palatino Linotype"/>
        </w:rPr>
        <w:t xml:space="preserve"> (2026)</w:t>
      </w:r>
      <w:r>
        <w:rPr>
          <w:rFonts w:ascii="Palatino Linotype" w:hAnsi="Palatino Linotype"/>
        </w:rPr>
        <w:t xml:space="preserve"> at</w:t>
      </w:r>
      <w:r w:rsidRPr="00670F74">
        <w:rPr>
          <w:rFonts w:ascii="Palatino Linotype" w:hAnsi="Palatino Linotype"/>
        </w:rPr>
        <w:t xml:space="preserve"> p. 16 &amp; 18</w:t>
      </w:r>
      <w:r>
        <w:rPr>
          <w:rFonts w:ascii="Palatino Linotype" w:hAnsi="Palatino Linotype"/>
        </w:rPr>
        <w:t xml:space="preserve">; </w:t>
      </w:r>
      <w:hyperlink r:id="rId163" w:tgtFrame="_blank" w:history="1">
        <w:r w:rsidRPr="00ED6A2D">
          <w:rPr>
            <w:rStyle w:val="Hyperlink"/>
            <w:rFonts w:ascii="Palatino Linotype" w:hAnsi="Palatino Linotype"/>
          </w:rPr>
          <w:t>Resolution G-3623</w:t>
        </w:r>
      </w:hyperlink>
      <w:r w:rsidRPr="00ED6A2D">
        <w:rPr>
          <w:rFonts w:ascii="Palatino Linotype" w:hAnsi="Palatino Linotype"/>
        </w:rPr>
        <w:t xml:space="preserve"> (2026)</w:t>
      </w:r>
      <w:r>
        <w:rPr>
          <w:rFonts w:ascii="Palatino Linotype" w:hAnsi="Palatino Linotype"/>
        </w:rPr>
        <w:t xml:space="preserve"> </w:t>
      </w:r>
      <w:r w:rsidRPr="00ED6A2D">
        <w:rPr>
          <w:rFonts w:ascii="Palatino Linotype" w:hAnsi="Palatino Linotype"/>
        </w:rPr>
        <w:t>at p. 28 &amp; FOF 3b.</w:t>
      </w:r>
    </w:p>
  </w:footnote>
  <w:footnote w:id="462">
    <w:p w14:paraId="0547B5F9" w14:textId="77777777" w:rsidR="002A6629" w:rsidRPr="00B87DCC" w:rsidRDefault="002A6629" w:rsidP="002A6629">
      <w:pPr>
        <w:pStyle w:val="FootnoteText"/>
        <w:rPr>
          <w:rFonts w:ascii="Palatino Linotype" w:hAnsi="Palatino Linotype"/>
        </w:rPr>
      </w:pPr>
      <w:r w:rsidRPr="00B87DCC">
        <w:rPr>
          <w:rStyle w:val="FootnoteReference"/>
          <w:rFonts w:ascii="Palatino Linotype" w:hAnsi="Palatino Linotype"/>
        </w:rPr>
        <w:footnoteRef/>
      </w:r>
      <w:r w:rsidRPr="00B87DCC">
        <w:rPr>
          <w:rFonts w:ascii="Palatino Linotype" w:hAnsi="Palatino Linotype"/>
        </w:rPr>
        <w:t xml:space="preserve"> AL 6646-G Attachment A at p. </w:t>
      </w:r>
      <w:r w:rsidRPr="719B3D22">
        <w:rPr>
          <w:rFonts w:ascii="Palatino Linotype" w:hAnsi="Palatino Linotype"/>
        </w:rPr>
        <w:t>1</w:t>
      </w:r>
      <w:r>
        <w:rPr>
          <w:rFonts w:ascii="Palatino Linotype" w:hAnsi="Palatino Linotype"/>
        </w:rPr>
        <w:t>43</w:t>
      </w:r>
      <w:r w:rsidRPr="00B87DCC">
        <w:rPr>
          <w:rFonts w:ascii="Palatino Linotype" w:hAnsi="Palatino Linotype"/>
        </w:rPr>
        <w:t>.</w:t>
      </w:r>
    </w:p>
  </w:footnote>
  <w:footnote w:id="463">
    <w:p w14:paraId="2B1CB38D" w14:textId="77777777" w:rsidR="002A6629" w:rsidRDefault="002A6629" w:rsidP="002A6629">
      <w:pPr>
        <w:pStyle w:val="FootnoteText"/>
      </w:pPr>
      <w:r w:rsidRPr="5CB1C368">
        <w:rPr>
          <w:rStyle w:val="FootnoteReference"/>
        </w:rPr>
        <w:footnoteRef/>
      </w:r>
      <w:r>
        <w:t xml:space="preserve"> </w:t>
      </w:r>
      <w:r w:rsidRPr="6D92BD94">
        <w:rPr>
          <w:rFonts w:ascii="Palatino Linotype" w:eastAsia="Palatino Linotype" w:hAnsi="Palatino Linotype" w:cs="Palatino Linotype"/>
        </w:rPr>
        <w:t>AL 6646-G at p</w:t>
      </w:r>
      <w:r w:rsidRPr="6D92BD94">
        <w:rPr>
          <w:rFonts w:ascii="Palatino Linotype" w:eastAsia="Palatino Linotype" w:hAnsi="Palatino Linotype" w:cs="Palatino Linotype"/>
        </w:rPr>
        <w:t>. 5 &amp; Attachment A at p. 22.</w:t>
      </w:r>
    </w:p>
  </w:footnote>
  <w:footnote w:id="464">
    <w:p w14:paraId="0720F481" w14:textId="77777777" w:rsidR="002A6629" w:rsidRDefault="002A6629" w:rsidP="002A6629">
      <w:pPr>
        <w:pStyle w:val="FootnoteText"/>
      </w:pPr>
      <w:r w:rsidRPr="5CB1C368">
        <w:rPr>
          <w:rStyle w:val="FootnoteReference"/>
        </w:rPr>
        <w:footnoteRef/>
      </w:r>
      <w:r>
        <w:t xml:space="preserve"> </w:t>
      </w:r>
      <w:r w:rsidRPr="6D92BD94">
        <w:rPr>
          <w:rFonts w:ascii="Palatino Linotype" w:eastAsia="Palatino Linotype" w:hAnsi="Palatino Linotype" w:cs="Palatino Linotype"/>
        </w:rPr>
        <w:t>AL 6646-G at p, 5.</w:t>
      </w:r>
      <w:r w:rsidRPr="719B3D22">
        <w:rPr>
          <w:rFonts w:ascii="Palatino Linotype" w:eastAsia="Palatino Linotype" w:hAnsi="Palatino Linotype" w:cs="Palatino Linotype"/>
        </w:rPr>
        <w:t xml:space="preserve"> &amp; Attachment A at p. 54.</w:t>
      </w:r>
    </w:p>
  </w:footnote>
  <w:footnote w:id="465">
    <w:p w14:paraId="1650A8E5" w14:textId="77777777" w:rsidR="002A6629" w:rsidRDefault="002A6629" w:rsidP="002A6629">
      <w:pPr>
        <w:pStyle w:val="FootnoteText"/>
        <w:rPr>
          <w:rFonts w:ascii="Palatino Linotype" w:eastAsia="Palatino Linotype" w:hAnsi="Palatino Linotype" w:cs="Palatino Linotype"/>
        </w:rPr>
      </w:pPr>
      <w:r w:rsidRPr="5CB1C368">
        <w:rPr>
          <w:rStyle w:val="FootnoteReference"/>
        </w:rPr>
        <w:footnoteRef/>
      </w:r>
      <w:r>
        <w:t xml:space="preserve"> </w:t>
      </w:r>
      <w:r w:rsidRPr="5CB1C368">
        <w:rPr>
          <w:rFonts w:ascii="Palatino Linotype" w:eastAsia="Palatino Linotype" w:hAnsi="Palatino Linotype" w:cs="Palatino Linotype"/>
        </w:rPr>
        <w:t>AL 6646-G Attachment A at Appendix 2: Project Selection Process at p</w:t>
      </w:r>
      <w:r w:rsidRPr="5CB1C368">
        <w:rPr>
          <w:rFonts w:ascii="Palatino Linotype" w:eastAsia="Palatino Linotype" w:hAnsi="Palatino Linotype" w:cs="Palatino Linotype"/>
        </w:rPr>
        <w:t>. 93.</w:t>
      </w:r>
    </w:p>
  </w:footnote>
  <w:footnote w:id="466">
    <w:p w14:paraId="2F6C1D3A" w14:textId="77777777" w:rsidR="002A6629" w:rsidRDefault="002A6629" w:rsidP="002A6629">
      <w:pPr>
        <w:pStyle w:val="FootnoteText"/>
      </w:pPr>
      <w:r w:rsidRPr="5CB1C368">
        <w:rPr>
          <w:rStyle w:val="FootnoteReference"/>
        </w:rPr>
        <w:footnoteRef/>
      </w:r>
      <w:r>
        <w:t xml:space="preserve"> </w:t>
      </w:r>
      <w:r w:rsidRPr="5CB1C368">
        <w:rPr>
          <w:rFonts w:ascii="Palatino Linotype" w:eastAsia="Palatino Linotype" w:hAnsi="Palatino Linotype" w:cs="Palatino Linotype"/>
        </w:rPr>
        <w:t>AL 664</w:t>
      </w:r>
      <w:r w:rsidRPr="6D92BD94">
        <w:rPr>
          <w:rFonts w:ascii="Palatino Linotype" w:eastAsia="Palatino Linotype" w:hAnsi="Palatino Linotype" w:cs="Palatino Linotype"/>
        </w:rPr>
        <w:t>6-G Attachment A at Appendix 2: Project Selection Process at p. 93-111.</w:t>
      </w:r>
    </w:p>
  </w:footnote>
  <w:footnote w:id="467">
    <w:p w14:paraId="61AA1136" w14:textId="77777777" w:rsidR="002A6629" w:rsidRDefault="002A6629" w:rsidP="002A6629">
      <w:pPr>
        <w:pStyle w:val="FootnoteText"/>
      </w:pPr>
      <w:r w:rsidRPr="5CB1C368">
        <w:rPr>
          <w:rStyle w:val="FootnoteReference"/>
        </w:rPr>
        <w:footnoteRef/>
      </w:r>
      <w:r>
        <w:t xml:space="preserve"> </w:t>
      </w:r>
      <w:r w:rsidRPr="5CB1C368">
        <w:rPr>
          <w:rFonts w:ascii="Palatino Linotype" w:eastAsia="Palatino Linotype" w:hAnsi="Palatino Linotype" w:cs="Palatino Linotype"/>
        </w:rPr>
        <w:t>AL 6646-G Attachment A at p. 18-19, 28, 34, 38, 43, 48, 59, 66, &amp; 73.</w:t>
      </w:r>
    </w:p>
  </w:footnote>
  <w:footnote w:id="468">
    <w:p w14:paraId="546327F9" w14:textId="77777777" w:rsidR="002A6629" w:rsidRDefault="002A6629" w:rsidP="002A6629">
      <w:pPr>
        <w:pStyle w:val="FootnoteText"/>
        <w:rPr>
          <w:rFonts w:ascii="Palatino Linotype" w:eastAsia="Palatino Linotype" w:hAnsi="Palatino Linotype" w:cs="Palatino Linotype"/>
        </w:rPr>
      </w:pPr>
      <w:r w:rsidRPr="5CB1C368">
        <w:rPr>
          <w:rStyle w:val="FootnoteReference"/>
        </w:rPr>
        <w:footnoteRef/>
      </w:r>
      <w:r>
        <w:t xml:space="preserve"> </w:t>
      </w:r>
      <w:r w:rsidRPr="5CB1C368">
        <w:rPr>
          <w:rFonts w:ascii="Palatino Linotype" w:eastAsia="Palatino Linotype" w:hAnsi="Palatino Linotype" w:cs="Palatino Linotype"/>
        </w:rPr>
        <w:t>AL 6646-G Attachment A, Appendix 4 at p. 126-130.</w:t>
      </w:r>
    </w:p>
  </w:footnote>
  <w:footnote w:id="469">
    <w:p w14:paraId="7B014FC0" w14:textId="77777777" w:rsidR="002A6629" w:rsidRDefault="002A6629" w:rsidP="002A6629">
      <w:pPr>
        <w:pStyle w:val="FootnoteText"/>
      </w:pPr>
      <w:r w:rsidRPr="5CB1C368">
        <w:rPr>
          <w:rStyle w:val="FootnoteReference"/>
        </w:rPr>
        <w:footnoteRef/>
      </w:r>
      <w:r>
        <w:t xml:space="preserve"> </w:t>
      </w:r>
      <w:r w:rsidRPr="5CB1C368">
        <w:rPr>
          <w:rFonts w:ascii="Palatino Linotype" w:hAnsi="Palatino Linotype"/>
        </w:rPr>
        <w:t>See Resolution G</w:t>
      </w:r>
      <w:r w:rsidRPr="005D4815">
        <w:rPr>
          <w:rFonts w:ascii="Palatino Linotype" w:hAnsi="Palatino Linotype"/>
          <w:color w:val="000000" w:themeColor="text1"/>
        </w:rPr>
        <w:t xml:space="preserve">-3624 </w:t>
      </w:r>
      <w:r w:rsidRPr="56CE8599">
        <w:rPr>
          <w:rFonts w:ascii="Palatino Linotype" w:hAnsi="Palatino Linotype"/>
        </w:rPr>
        <w:t>at Appendix C: Administrative Budget Cost Categories.</w:t>
      </w:r>
    </w:p>
  </w:footnote>
  <w:footnote w:id="470">
    <w:p w14:paraId="7C5D5FD9" w14:textId="77777777" w:rsidR="002A6629" w:rsidRDefault="002A6629" w:rsidP="002A6629">
      <w:pPr>
        <w:pStyle w:val="FootnoteText"/>
        <w:rPr>
          <w:rFonts w:ascii="Aptos" w:eastAsia="Aptos" w:hAnsi="Aptos" w:cs="Aptos"/>
        </w:rPr>
      </w:pPr>
      <w:r w:rsidRPr="5CB1C368">
        <w:rPr>
          <w:rStyle w:val="FootnoteReference"/>
        </w:rPr>
        <w:footnoteRef/>
      </w:r>
      <w:r>
        <w:t xml:space="preserve"> </w:t>
      </w:r>
      <w:r w:rsidRPr="5CB1C368">
        <w:rPr>
          <w:rFonts w:ascii="Palatino Linotype" w:eastAsia="Palatino Linotype" w:hAnsi="Palatino Linotype" w:cs="Palatino Linotype"/>
        </w:rPr>
        <w:t>AL 6646-G at p. 6 &amp; Attachment A at p. 17-18.</w:t>
      </w:r>
    </w:p>
  </w:footnote>
  <w:footnote w:id="471">
    <w:p w14:paraId="253305A3"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AL 664</w:t>
      </w:r>
      <w:r w:rsidRPr="6D92BD94">
        <w:rPr>
          <w:rFonts w:ascii="Palatino Linotype" w:hAnsi="Palatino Linotype"/>
        </w:rPr>
        <w:t>6-G Attachment A at p</w:t>
      </w:r>
      <w:r w:rsidRPr="6D92BD94">
        <w:rPr>
          <w:rFonts w:ascii="Palatino Linotype" w:hAnsi="Palatino Linotype"/>
        </w:rPr>
        <w:t>. 20.</w:t>
      </w:r>
    </w:p>
  </w:footnote>
  <w:footnote w:id="472">
    <w:p w14:paraId="316C1728" w14:textId="77777777" w:rsidR="002A6629" w:rsidRDefault="002A6629" w:rsidP="002A6629">
      <w:pPr>
        <w:pStyle w:val="FootnoteText"/>
        <w:rPr>
          <w:rFonts w:ascii="Palatino Linotype" w:eastAsia="Palatino Linotype" w:hAnsi="Palatino Linotype" w:cs="Palatino Linotype"/>
        </w:rPr>
      </w:pPr>
      <w:r w:rsidRPr="56CE8599">
        <w:rPr>
          <w:rStyle w:val="FootnoteReference"/>
        </w:rPr>
        <w:footnoteRef/>
      </w:r>
      <w:r>
        <w:t xml:space="preserve"> </w:t>
      </w:r>
      <w:r w:rsidRPr="56CE8599">
        <w:rPr>
          <w:rFonts w:ascii="Palatino Linotype" w:eastAsia="Palatino Linotype" w:hAnsi="Palatino Linotype" w:cs="Palatino Linotype"/>
        </w:rPr>
        <w:t>AL 6646-G Attachment A</w:t>
      </w:r>
      <w:r w:rsidRPr="56CE8599">
        <w:rPr>
          <w:rFonts w:ascii="Palatino Linotype" w:eastAsia="Palatino Linotype" w:hAnsi="Palatino Linotype" w:cs="Palatino Linotype"/>
          <w:color w:val="0070C0"/>
        </w:rPr>
        <w:t xml:space="preserve"> </w:t>
      </w:r>
      <w:r w:rsidRPr="00FF3C8B">
        <w:rPr>
          <w:rFonts w:ascii="Palatino Linotype" w:eastAsia="Palatino Linotype" w:hAnsi="Palatino Linotype" w:cs="Palatino Linotype"/>
          <w:color w:val="000000" w:themeColor="text1"/>
        </w:rPr>
        <w:t>at</w:t>
      </w:r>
      <w:r w:rsidRPr="56CE8599">
        <w:rPr>
          <w:rFonts w:ascii="Palatino Linotype" w:eastAsia="Palatino Linotype" w:hAnsi="Palatino Linotype" w:cs="Palatino Linotype"/>
          <w:color w:val="0070C0"/>
        </w:rPr>
        <w:t xml:space="preserve"> </w:t>
      </w:r>
      <w:r w:rsidRPr="56CE8599">
        <w:rPr>
          <w:rFonts w:ascii="Palatino Linotype" w:eastAsia="Palatino Linotype" w:hAnsi="Palatino Linotype" w:cs="Palatino Linotype"/>
        </w:rPr>
        <w:t>Appendi</w:t>
      </w:r>
      <w:r w:rsidRPr="00FF3C8B">
        <w:rPr>
          <w:rFonts w:ascii="Palatino Linotype" w:eastAsia="Palatino Linotype" w:hAnsi="Palatino Linotype" w:cs="Palatino Linotype"/>
          <w:color w:val="000000" w:themeColor="text1"/>
        </w:rPr>
        <w:t>x 8: Program Administration Categorization</w:t>
      </w:r>
      <w:r>
        <w:rPr>
          <w:rFonts w:ascii="Palatino Linotype" w:eastAsia="Palatino Linotype" w:hAnsi="Palatino Linotype" w:cs="Palatino Linotype"/>
          <w:color w:val="000000" w:themeColor="text1"/>
        </w:rPr>
        <w:t>.</w:t>
      </w:r>
    </w:p>
  </w:footnote>
  <w:footnote w:id="473">
    <w:p w14:paraId="1AC12450" w14:textId="77777777" w:rsidR="002A6629" w:rsidRPr="00D50B25" w:rsidRDefault="002A6629" w:rsidP="002A6629">
      <w:pPr>
        <w:pStyle w:val="FootnoteText"/>
        <w:rPr>
          <w:rFonts w:ascii="Palatino Linotype" w:hAnsi="Palatino Linotype"/>
        </w:rPr>
      </w:pPr>
      <w:r w:rsidRPr="00D50B25">
        <w:rPr>
          <w:rStyle w:val="FootnoteReference"/>
          <w:rFonts w:ascii="Palatino Linotype" w:hAnsi="Palatino Linotype"/>
        </w:rPr>
        <w:footnoteRef/>
      </w:r>
      <w:r w:rsidRPr="00D50B25">
        <w:rPr>
          <w:rFonts w:ascii="Palatino Linotype" w:hAnsi="Palatino Linotype"/>
        </w:rPr>
        <w:t xml:space="preserve"> </w:t>
      </w:r>
      <w:r w:rsidRPr="00D50B25">
        <w:rPr>
          <w:rFonts w:ascii="Palatino Linotype" w:eastAsia="Palatino Linotype" w:hAnsi="Palatino Linotype" w:cs="Palatino Linotype"/>
        </w:rPr>
        <w:t>AL 6646-G Attachment A at p. 170-171.</w:t>
      </w:r>
    </w:p>
  </w:footnote>
  <w:footnote w:id="474">
    <w:p w14:paraId="7E9ACF2D" w14:textId="77777777" w:rsidR="002A6629" w:rsidRPr="00D50B25" w:rsidRDefault="002A6629" w:rsidP="002A6629">
      <w:pPr>
        <w:pStyle w:val="FootnoteText"/>
        <w:rPr>
          <w:rStyle w:val="FootnoteReference"/>
          <w:rFonts w:ascii="Palatino Linotype" w:hAnsi="Palatino Linotype"/>
        </w:rPr>
      </w:pPr>
      <w:r w:rsidRPr="00D50B25">
        <w:rPr>
          <w:rStyle w:val="FootnoteReference"/>
          <w:rFonts w:ascii="Palatino Linotype" w:hAnsi="Palatino Linotype"/>
        </w:rPr>
        <w:footnoteRef/>
      </w:r>
      <w:r w:rsidRPr="00D50B25">
        <w:rPr>
          <w:rFonts w:ascii="Palatino Linotype" w:eastAsia="Palatino Linotype" w:hAnsi="Palatino Linotype" w:cs="Palatino Linotype"/>
        </w:rPr>
        <w:t xml:space="preserve"> </w:t>
      </w:r>
      <w:r w:rsidRPr="00D50B25">
        <w:rPr>
          <w:rFonts w:ascii="Palatino Linotype" w:hAnsi="Palatino Linotype"/>
        </w:rPr>
        <w:t>AL 6646-G Attachment A at 20-21.</w:t>
      </w:r>
    </w:p>
  </w:footnote>
  <w:footnote w:id="475">
    <w:p w14:paraId="140AE172" w14:textId="77777777" w:rsidR="002A6629" w:rsidRPr="00D50B25" w:rsidRDefault="002A6629" w:rsidP="002A6629">
      <w:pPr>
        <w:pStyle w:val="FootnoteText"/>
        <w:rPr>
          <w:rFonts w:ascii="Palatino Linotype" w:eastAsia="Palatino Linotype" w:hAnsi="Palatino Linotype" w:cs="Palatino Linotype"/>
        </w:rPr>
      </w:pPr>
      <w:r w:rsidRPr="00D50B25">
        <w:rPr>
          <w:rStyle w:val="FootnoteReference"/>
          <w:rFonts w:ascii="Palatino Linotype" w:hAnsi="Palatino Linotype"/>
        </w:rPr>
        <w:footnoteRef/>
      </w:r>
      <w:r w:rsidRPr="00D50B25">
        <w:rPr>
          <w:rFonts w:ascii="Palatino Linotype" w:hAnsi="Palatino Linotype"/>
        </w:rPr>
        <w:t xml:space="preserve"> </w:t>
      </w:r>
      <w:r w:rsidRPr="00D50B25">
        <w:rPr>
          <w:rFonts w:ascii="Palatino Linotype" w:eastAsia="Palatino Linotype" w:hAnsi="Palatino Linotype" w:cs="Palatino Linotype"/>
        </w:rPr>
        <w:t>AL 6646-G Attachment A at p. 110.</w:t>
      </w:r>
    </w:p>
  </w:footnote>
  <w:footnote w:id="476">
    <w:p w14:paraId="00777BB4" w14:textId="77777777" w:rsidR="002A6629" w:rsidRDefault="002A6629" w:rsidP="002A6629">
      <w:pPr>
        <w:pStyle w:val="FootnoteText"/>
      </w:pPr>
      <w:r w:rsidRPr="00D50B25">
        <w:rPr>
          <w:rStyle w:val="FootnoteReference"/>
          <w:rFonts w:ascii="Palatino Linotype" w:hAnsi="Palatino Linotype"/>
        </w:rPr>
        <w:footnoteRef/>
      </w:r>
      <w:r w:rsidRPr="00D50B25">
        <w:rPr>
          <w:rFonts w:ascii="Palatino Linotype" w:hAnsi="Palatino Linotype"/>
        </w:rPr>
        <w:t xml:space="preserve"> </w:t>
      </w:r>
      <w:r w:rsidRPr="00D50B25">
        <w:rPr>
          <w:rFonts w:ascii="Palatino Linotype" w:eastAsia="Palatino Linotype" w:hAnsi="Palatino Linotype" w:cs="Palatino Linotype"/>
        </w:rPr>
        <w:t xml:space="preserve">AL 6646-G Attachment A </w:t>
      </w:r>
      <w:r w:rsidRPr="00D50B25">
        <w:rPr>
          <w:rFonts w:ascii="Palatino Linotype" w:eastAsia="Palatino Linotype" w:hAnsi="Palatino Linotype" w:cs="Palatino Linotype"/>
        </w:rPr>
        <w:t>at p. 89.</w:t>
      </w:r>
    </w:p>
  </w:footnote>
  <w:footnote w:id="477">
    <w:p w14:paraId="02D15F18" w14:textId="77777777" w:rsidR="002A6629" w:rsidRDefault="002A6629" w:rsidP="002A6629">
      <w:pPr>
        <w:pStyle w:val="FootnoteText"/>
        <w:rPr>
          <w:rFonts w:ascii="Aptos" w:eastAsia="Aptos" w:hAnsi="Aptos" w:cs="Aptos"/>
        </w:rPr>
      </w:pPr>
      <w:r w:rsidRPr="5CB1C368">
        <w:rPr>
          <w:rStyle w:val="FootnoteReference"/>
        </w:rPr>
        <w:footnoteRef/>
      </w:r>
      <w:r>
        <w:t xml:space="preserve"> </w:t>
      </w:r>
      <w:r w:rsidRPr="5CB1C368">
        <w:rPr>
          <w:rFonts w:ascii="Palatino Linotype" w:eastAsia="Palatino Linotype" w:hAnsi="Palatino Linotype" w:cs="Palatino Linotype"/>
        </w:rPr>
        <w:t>AL 664</w:t>
      </w:r>
      <w:r w:rsidRPr="6D92BD94">
        <w:rPr>
          <w:rFonts w:ascii="Palatino Linotype" w:eastAsia="Palatino Linotype" w:hAnsi="Palatino Linotype" w:cs="Palatino Linotype"/>
        </w:rPr>
        <w:t>6-G Attachment A at p. 172-174.</w:t>
      </w:r>
    </w:p>
  </w:footnote>
  <w:footnote w:id="478">
    <w:p w14:paraId="3539BFC3" w14:textId="77777777" w:rsidR="002A6629" w:rsidRDefault="002A6629" w:rsidP="002A6629">
      <w:pPr>
        <w:pStyle w:val="FootnoteText"/>
        <w:rPr>
          <w:rFonts w:ascii="Palatino Linotype" w:hAnsi="Palatino Linotype"/>
        </w:rPr>
      </w:pPr>
      <w:r w:rsidRPr="719B3D22">
        <w:rPr>
          <w:rStyle w:val="FootnoteReference"/>
        </w:rPr>
        <w:footnoteRef/>
      </w:r>
      <w:r>
        <w:t xml:space="preserve"> </w:t>
      </w:r>
      <w:r w:rsidRPr="719B3D22">
        <w:rPr>
          <w:rFonts w:ascii="Palatino Linotype" w:eastAsia="Aptos" w:hAnsi="Palatino Linotype" w:cs="Aptos"/>
        </w:rPr>
        <w:t>AL 6646-</w:t>
      </w:r>
      <w:r w:rsidRPr="719B3D22">
        <w:rPr>
          <w:rFonts w:ascii="Palatino Linotype" w:eastAsia="Palatino Linotype" w:hAnsi="Palatino Linotype" w:cs="Palatino Linotype"/>
        </w:rPr>
        <w:t>G Attachment A at p. 93-96.</w:t>
      </w:r>
    </w:p>
  </w:footnote>
  <w:footnote w:id="479">
    <w:p w14:paraId="037E68FB" w14:textId="77777777" w:rsidR="002A6629" w:rsidRDefault="002A6629" w:rsidP="002A6629">
      <w:pPr>
        <w:pStyle w:val="FootnoteText"/>
      </w:pPr>
      <w:r>
        <w:rPr>
          <w:rStyle w:val="FootnoteReference"/>
        </w:rPr>
        <w:footnoteRef/>
      </w:r>
      <w:r>
        <w:t xml:space="preserve"> </w:t>
      </w:r>
      <w:r w:rsidRPr="719B3D22">
        <w:rPr>
          <w:rFonts w:ascii="Palatino Linotype" w:eastAsia="Aptos" w:hAnsi="Palatino Linotype" w:cs="Aptos"/>
        </w:rPr>
        <w:t>AL 6646-</w:t>
      </w:r>
      <w:r w:rsidRPr="719B3D22">
        <w:rPr>
          <w:rFonts w:ascii="Palatino Linotype" w:eastAsia="Palatino Linotype" w:hAnsi="Palatino Linotype" w:cs="Palatino Linotype"/>
        </w:rPr>
        <w:t>G Attachment A at p</w:t>
      </w:r>
      <w:r w:rsidRPr="719B3D22">
        <w:rPr>
          <w:rFonts w:ascii="Palatino Linotype" w:eastAsia="Palatino Linotype" w:hAnsi="Palatino Linotype" w:cs="Palatino Linotype"/>
        </w:rPr>
        <w:t>. 9</w:t>
      </w:r>
      <w:r>
        <w:rPr>
          <w:rFonts w:ascii="Palatino Linotype" w:eastAsia="Palatino Linotype" w:hAnsi="Palatino Linotype" w:cs="Palatino Linotype"/>
        </w:rPr>
        <w:t>4.</w:t>
      </w:r>
    </w:p>
  </w:footnote>
  <w:footnote w:id="480">
    <w:p w14:paraId="238E14CD" w14:textId="77777777" w:rsidR="002A6629" w:rsidRDefault="002A6629" w:rsidP="002A6629">
      <w:pPr>
        <w:pStyle w:val="FootnoteText"/>
        <w:rPr>
          <w:rFonts w:ascii="Palatino Linotype" w:hAnsi="Palatino Linotype"/>
        </w:rPr>
      </w:pPr>
      <w:r w:rsidRPr="719B3D22">
        <w:rPr>
          <w:rStyle w:val="FootnoteReference"/>
        </w:rPr>
        <w:footnoteRef/>
      </w:r>
      <w:r>
        <w:t xml:space="preserve"> </w:t>
      </w:r>
      <w:r w:rsidRPr="719B3D22">
        <w:rPr>
          <w:rFonts w:ascii="Palatino Linotype" w:eastAsia="Aptos" w:hAnsi="Palatino Linotype" w:cs="Aptos"/>
        </w:rPr>
        <w:t>AL 6646-</w:t>
      </w:r>
      <w:r w:rsidRPr="719B3D22">
        <w:rPr>
          <w:rFonts w:ascii="Palatino Linotype" w:eastAsia="Palatino Linotype" w:hAnsi="Palatino Linotype" w:cs="Palatino Linotype"/>
        </w:rPr>
        <w:t>G Attachment A at p. 96.</w:t>
      </w:r>
    </w:p>
  </w:footnote>
  <w:footnote w:id="481">
    <w:p w14:paraId="1CC0D3BB" w14:textId="77777777" w:rsidR="002A6629" w:rsidRDefault="002A6629" w:rsidP="002A6629">
      <w:pPr>
        <w:pStyle w:val="FootnoteText"/>
      </w:pPr>
      <w:r>
        <w:rPr>
          <w:rStyle w:val="FootnoteReference"/>
        </w:rPr>
        <w:footnoteRef/>
      </w:r>
      <w:r>
        <w:t xml:space="preserve"> </w:t>
      </w:r>
      <w:r w:rsidRPr="719B3D22">
        <w:rPr>
          <w:rFonts w:ascii="Palatino Linotype" w:eastAsia="Aptos" w:hAnsi="Palatino Linotype" w:cs="Aptos"/>
        </w:rPr>
        <w:t>AL 6646-</w:t>
      </w:r>
      <w:r w:rsidRPr="719B3D22">
        <w:rPr>
          <w:rFonts w:ascii="Palatino Linotype" w:eastAsia="Palatino Linotype" w:hAnsi="Palatino Linotype" w:cs="Palatino Linotype"/>
        </w:rPr>
        <w:t>G Attachment A at p.</w:t>
      </w:r>
      <w:r>
        <w:rPr>
          <w:rFonts w:ascii="Palatino Linotype" w:eastAsia="Palatino Linotype" w:hAnsi="Palatino Linotype" w:cs="Palatino Linotype"/>
        </w:rPr>
        <w:t xml:space="preserve"> 47.</w:t>
      </w:r>
    </w:p>
  </w:footnote>
  <w:footnote w:id="482">
    <w:p w14:paraId="2C876133" w14:textId="77777777" w:rsidR="002A6629" w:rsidRDefault="002A6629" w:rsidP="002A6629">
      <w:pPr>
        <w:pStyle w:val="FootnoteText"/>
      </w:pPr>
      <w:r>
        <w:rPr>
          <w:rStyle w:val="FootnoteReference"/>
        </w:rPr>
        <w:footnoteRef/>
      </w:r>
      <w:r>
        <w:t xml:space="preserve"> </w:t>
      </w:r>
      <w:r w:rsidRPr="719B3D22">
        <w:rPr>
          <w:rFonts w:ascii="Palatino Linotype" w:eastAsia="Aptos" w:hAnsi="Palatino Linotype" w:cs="Aptos"/>
        </w:rPr>
        <w:t>AL 6646-</w:t>
      </w:r>
      <w:r w:rsidRPr="719B3D22">
        <w:rPr>
          <w:rFonts w:ascii="Palatino Linotype" w:eastAsia="Palatino Linotype" w:hAnsi="Palatino Linotype" w:cs="Palatino Linotype"/>
        </w:rPr>
        <w:t>G Attachment A at p.</w:t>
      </w:r>
      <w:r>
        <w:rPr>
          <w:rFonts w:ascii="Palatino Linotype" w:eastAsia="Palatino Linotype" w:hAnsi="Palatino Linotype" w:cs="Palatino Linotype"/>
        </w:rPr>
        <w:t xml:space="preserve"> 61.</w:t>
      </w:r>
    </w:p>
  </w:footnote>
  <w:footnote w:id="483">
    <w:p w14:paraId="60A89C75" w14:textId="77777777" w:rsidR="002A6629" w:rsidRDefault="002A6629" w:rsidP="002A6629">
      <w:pPr>
        <w:pStyle w:val="FootnoteText"/>
      </w:pPr>
      <w:r w:rsidRPr="350204F7">
        <w:rPr>
          <w:rStyle w:val="FootnoteReference"/>
        </w:rPr>
        <w:footnoteRef/>
      </w:r>
      <w:r w:rsidRPr="350204F7">
        <w:t xml:space="preserve"> </w:t>
      </w:r>
      <w:r w:rsidRPr="350204F7">
        <w:rPr>
          <w:rFonts w:ascii="Palatino Linotype" w:eastAsia="Palatino Linotype" w:hAnsi="Palatino Linotype" w:cs="Palatino Linotype"/>
          <w:color w:val="000000" w:themeColor="text1"/>
        </w:rPr>
        <w:t>AL 6646-G Attachment A at p. 55.</w:t>
      </w:r>
    </w:p>
  </w:footnote>
  <w:footnote w:id="484">
    <w:p w14:paraId="3F871C2B" w14:textId="77777777" w:rsidR="002A6629" w:rsidRDefault="002A6629" w:rsidP="002A6629">
      <w:pPr>
        <w:pStyle w:val="FootnoteText"/>
        <w:rPr>
          <w:rFonts w:ascii="Palatino Linotype" w:eastAsia="Palatino Linotype" w:hAnsi="Palatino Linotype" w:cs="Palatino Linotype"/>
        </w:rPr>
      </w:pPr>
      <w:r w:rsidRPr="350204F7">
        <w:rPr>
          <w:rStyle w:val="FootnoteReference"/>
          <w:rFonts w:ascii="Palatino Linotype" w:eastAsia="Palatino Linotype" w:hAnsi="Palatino Linotype" w:cs="Palatino Linotype"/>
        </w:rPr>
        <w:footnoteRef/>
      </w:r>
      <w:r w:rsidRPr="350204F7">
        <w:rPr>
          <w:rFonts w:ascii="Palatino Linotype" w:eastAsia="Palatino Linotype" w:hAnsi="Palatino Linotype" w:cs="Palatino Linotype"/>
        </w:rPr>
        <w:t xml:space="preserve"> </w:t>
      </w:r>
      <w:r w:rsidRPr="350204F7">
        <w:rPr>
          <w:rFonts w:ascii="Palatino Linotype" w:eastAsia="Palatino Linotype" w:hAnsi="Palatino Linotype" w:cs="Palatino Linotype"/>
          <w:color w:val="000000" w:themeColor="text1"/>
        </w:rPr>
        <w:t>AL 6646-G Attachment A at p. 45.</w:t>
      </w:r>
    </w:p>
  </w:footnote>
  <w:footnote w:id="485">
    <w:p w14:paraId="3D506FBE" w14:textId="77777777" w:rsidR="002A6629" w:rsidRDefault="002A6629" w:rsidP="002A6629">
      <w:pPr>
        <w:pStyle w:val="FootnoteText"/>
      </w:pPr>
      <w:r w:rsidRPr="5CB1C368">
        <w:rPr>
          <w:rStyle w:val="FootnoteReference"/>
        </w:rPr>
        <w:footnoteRef/>
      </w:r>
      <w:r>
        <w:t xml:space="preserve"> </w:t>
      </w:r>
      <w:r w:rsidRPr="5CB1C368">
        <w:rPr>
          <w:rFonts w:ascii="Palatino Linotype" w:eastAsia="Palatino Linotype" w:hAnsi="Palatino Linotype" w:cs="Palatino Linotype"/>
        </w:rPr>
        <w:t>AL 664</w:t>
      </w:r>
      <w:r w:rsidRPr="6D92BD94">
        <w:rPr>
          <w:rFonts w:ascii="Palatino Linotype" w:eastAsia="Palatino Linotype" w:hAnsi="Palatino Linotype" w:cs="Palatino Linotype"/>
        </w:rPr>
        <w:t>6-G Attachment A at p. 172-174.</w:t>
      </w:r>
    </w:p>
  </w:footnote>
  <w:footnote w:id="486">
    <w:p w14:paraId="51DBA8DC" w14:textId="77777777" w:rsidR="002A6629" w:rsidRDefault="002A6629" w:rsidP="002A6629">
      <w:pPr>
        <w:pStyle w:val="FootnoteText"/>
        <w:rPr>
          <w:rFonts w:ascii="Aptos" w:eastAsia="Aptos" w:hAnsi="Aptos" w:cs="Aptos"/>
        </w:rPr>
      </w:pPr>
      <w:r w:rsidRPr="5CB1C368">
        <w:rPr>
          <w:rStyle w:val="FootnoteReference"/>
        </w:rPr>
        <w:footnoteRef/>
      </w:r>
      <w:r>
        <w:t xml:space="preserve"> </w:t>
      </w:r>
      <w:r w:rsidRPr="5CB1C368">
        <w:rPr>
          <w:rFonts w:ascii="Palatino Linotype" w:eastAsia="Palatino Linotype" w:hAnsi="Palatino Linotype" w:cs="Palatino Linotype"/>
        </w:rPr>
        <w:t>AL 664</w:t>
      </w:r>
      <w:r w:rsidRPr="6D92BD94">
        <w:rPr>
          <w:rFonts w:ascii="Palatino Linotype" w:eastAsia="Palatino Linotype" w:hAnsi="Palatino Linotype" w:cs="Palatino Linotype"/>
        </w:rPr>
        <w:t>6-G Attachment A at p. 153-154.</w:t>
      </w:r>
    </w:p>
  </w:footnote>
  <w:footnote w:id="487">
    <w:p w14:paraId="72E9DBC8" w14:textId="77777777" w:rsidR="002A6629" w:rsidRDefault="002A6629" w:rsidP="002A6629">
      <w:pPr>
        <w:pStyle w:val="FootnoteText"/>
        <w:rPr>
          <w:rFonts w:ascii="Aptos" w:eastAsia="Aptos" w:hAnsi="Aptos" w:cs="Aptos"/>
        </w:rPr>
      </w:pPr>
      <w:r w:rsidRPr="5CB1C368">
        <w:rPr>
          <w:rStyle w:val="FootnoteReference"/>
        </w:rPr>
        <w:footnoteRef/>
      </w:r>
      <w:r>
        <w:t xml:space="preserve"> </w:t>
      </w:r>
      <w:r w:rsidRPr="5CB1C368">
        <w:rPr>
          <w:rFonts w:ascii="Palatino Linotype" w:eastAsia="Palatino Linotype" w:hAnsi="Palatino Linotype" w:cs="Palatino Linotype"/>
        </w:rPr>
        <w:t>AL 664</w:t>
      </w:r>
      <w:r w:rsidRPr="6D92BD94">
        <w:rPr>
          <w:rFonts w:ascii="Palatino Linotype" w:eastAsia="Palatino Linotype" w:hAnsi="Palatino Linotype" w:cs="Palatino Linotype"/>
        </w:rPr>
        <w:t>6-G Attachment A at 144.</w:t>
      </w:r>
    </w:p>
  </w:footnote>
  <w:footnote w:id="488">
    <w:p w14:paraId="10A17C06" w14:textId="77777777" w:rsidR="002A6629" w:rsidRPr="008F0523" w:rsidRDefault="002A6629" w:rsidP="002A6629">
      <w:pPr>
        <w:spacing w:after="0" w:line="240" w:lineRule="auto"/>
        <w:rPr>
          <w:rFonts w:ascii="Palatino Linotype" w:eastAsia="Aptos" w:hAnsi="Palatino Linotype" w:cs="Aptos"/>
          <w:sz w:val="20"/>
          <w:szCs w:val="20"/>
        </w:rPr>
      </w:pPr>
      <w:r w:rsidRPr="008F0523">
        <w:rPr>
          <w:rStyle w:val="FootnoteReference"/>
          <w:rFonts w:ascii="Palatino Linotype" w:hAnsi="Palatino Linotype"/>
          <w:sz w:val="20"/>
          <w:szCs w:val="20"/>
        </w:rPr>
        <w:footnoteRef/>
      </w:r>
      <w:r w:rsidRPr="008F0523">
        <w:rPr>
          <w:rFonts w:ascii="Palatino Linotype" w:hAnsi="Palatino Linotype"/>
          <w:sz w:val="20"/>
          <w:szCs w:val="20"/>
        </w:rPr>
        <w:t xml:space="preserve"> </w:t>
      </w:r>
      <w:r w:rsidRPr="008F0523">
        <w:rPr>
          <w:rFonts w:ascii="Palatino Linotype" w:eastAsia="Palatino Linotype" w:hAnsi="Palatino Linotype" w:cs="Palatino Linotype"/>
          <w:sz w:val="20"/>
          <w:szCs w:val="20"/>
        </w:rPr>
        <w:t>AL 6646-G Attachment A at Appendix 2: Project Selection Process at p. 93-112.</w:t>
      </w:r>
    </w:p>
  </w:footnote>
  <w:footnote w:id="489">
    <w:p w14:paraId="1E1FA91B" w14:textId="77777777" w:rsidR="002A6629" w:rsidRPr="008F0523" w:rsidRDefault="002A6629" w:rsidP="002A6629">
      <w:pPr>
        <w:pStyle w:val="FootnoteText"/>
        <w:rPr>
          <w:rFonts w:ascii="Palatino Linotype" w:hAnsi="Palatino Linotype"/>
        </w:rPr>
      </w:pPr>
      <w:r w:rsidRPr="008F0523">
        <w:rPr>
          <w:rStyle w:val="FootnoteReference"/>
          <w:rFonts w:ascii="Palatino Linotype" w:hAnsi="Palatino Linotype"/>
        </w:rPr>
        <w:footnoteRef/>
      </w:r>
      <w:r w:rsidRPr="008F0523">
        <w:rPr>
          <w:rFonts w:ascii="Palatino Linotype" w:hAnsi="Palatino Linotype"/>
        </w:rPr>
        <w:t xml:space="preserve"> </w:t>
      </w:r>
      <w:r w:rsidRPr="008F0523">
        <w:rPr>
          <w:rFonts w:ascii="Palatino Linotype" w:eastAsia="Palatino Linotype" w:hAnsi="Palatino Linotype" w:cs="Palatino Linotype"/>
        </w:rPr>
        <w:t xml:space="preserve">AL 6646-G Attachment A </w:t>
      </w:r>
      <w:r w:rsidRPr="008F0523">
        <w:rPr>
          <w:rFonts w:ascii="Palatino Linotype" w:eastAsia="Palatino Linotype" w:hAnsi="Palatino Linotype" w:cs="Palatino Linotype"/>
        </w:rPr>
        <w:t>at p. 102-103.</w:t>
      </w:r>
    </w:p>
  </w:footnote>
  <w:footnote w:id="490">
    <w:p w14:paraId="3FA729C1" w14:textId="77777777" w:rsidR="002A6629" w:rsidRPr="008F0523" w:rsidRDefault="002A6629" w:rsidP="002A6629">
      <w:pPr>
        <w:pStyle w:val="FootnoteText"/>
        <w:rPr>
          <w:rFonts w:ascii="Palatino Linotype" w:hAnsi="Palatino Linotype"/>
        </w:rPr>
      </w:pPr>
      <w:r w:rsidRPr="008F0523">
        <w:rPr>
          <w:rStyle w:val="FootnoteReference"/>
          <w:rFonts w:ascii="Palatino Linotype" w:hAnsi="Palatino Linotype"/>
        </w:rPr>
        <w:footnoteRef/>
      </w:r>
      <w:r w:rsidRPr="008F0523">
        <w:rPr>
          <w:rFonts w:ascii="Palatino Linotype" w:hAnsi="Palatino Linotype"/>
        </w:rPr>
        <w:t xml:space="preserve"> AL 6646-G Attachment A at p. 105.</w:t>
      </w:r>
    </w:p>
  </w:footnote>
  <w:footnote w:id="491">
    <w:p w14:paraId="0AF9ACC1" w14:textId="77777777" w:rsidR="002A6629" w:rsidRPr="008F0523" w:rsidRDefault="002A6629" w:rsidP="002A6629">
      <w:pPr>
        <w:pStyle w:val="FootnoteText"/>
        <w:rPr>
          <w:rFonts w:ascii="Palatino Linotype" w:hAnsi="Palatino Linotype"/>
        </w:rPr>
      </w:pPr>
      <w:r w:rsidRPr="008F0523">
        <w:rPr>
          <w:rStyle w:val="FootnoteReference"/>
          <w:rFonts w:ascii="Palatino Linotype" w:hAnsi="Palatino Linotype"/>
        </w:rPr>
        <w:footnoteRef/>
      </w:r>
      <w:r w:rsidRPr="008F0523">
        <w:rPr>
          <w:rFonts w:ascii="Palatino Linotype" w:hAnsi="Palatino Linotype"/>
        </w:rPr>
        <w:t xml:space="preserve"> </w:t>
      </w:r>
      <w:r w:rsidRPr="008F0523">
        <w:rPr>
          <w:rFonts w:ascii="Palatino Linotype" w:eastAsia="Palatino Linotype" w:hAnsi="Palatino Linotype" w:cs="Palatino Linotype"/>
        </w:rPr>
        <w:t xml:space="preserve">AL 6646-G Attachment A </w:t>
      </w:r>
      <w:r w:rsidRPr="008F0523">
        <w:rPr>
          <w:rFonts w:ascii="Palatino Linotype" w:eastAsia="Palatino Linotype" w:hAnsi="Palatino Linotype" w:cs="Palatino Linotype"/>
        </w:rPr>
        <w:t>at p. 77-78.</w:t>
      </w:r>
    </w:p>
  </w:footnote>
  <w:footnote w:id="492">
    <w:p w14:paraId="27652136" w14:textId="77777777" w:rsidR="002A6629" w:rsidRPr="00DA1549" w:rsidRDefault="002A6629" w:rsidP="002A6629">
      <w:pPr>
        <w:pStyle w:val="FootnoteText"/>
        <w:rPr>
          <w:rFonts w:ascii="Palatino Linotype" w:eastAsia="Palatino Linotype" w:hAnsi="Palatino Linotype" w:cs="Palatino Linotype"/>
        </w:rPr>
      </w:pPr>
      <w:r w:rsidRPr="008F0523">
        <w:rPr>
          <w:rStyle w:val="FootnoteReference"/>
          <w:rFonts w:ascii="Palatino Linotype" w:hAnsi="Palatino Linotype"/>
        </w:rPr>
        <w:footnoteRef/>
      </w:r>
      <w:r w:rsidRPr="008F0523">
        <w:rPr>
          <w:rFonts w:ascii="Palatino Linotype" w:eastAsia="Palatino Linotype" w:hAnsi="Palatino Linotype" w:cs="Palatino Linotype"/>
        </w:rPr>
        <w:t xml:space="preserve"> AL 6646-G Attachment A at p. 93-109.</w:t>
      </w:r>
    </w:p>
  </w:footnote>
  <w:footnote w:id="493">
    <w:p w14:paraId="6DB7D7D3" w14:textId="77777777" w:rsidR="002A6629" w:rsidRPr="00DA1549" w:rsidRDefault="002A6629" w:rsidP="002A6629">
      <w:pPr>
        <w:pStyle w:val="FootnoteText"/>
        <w:rPr>
          <w:rFonts w:ascii="Palatino Linotype" w:hAnsi="Palatino Linotype"/>
        </w:rPr>
      </w:pPr>
      <w:r w:rsidRPr="00DA1549">
        <w:rPr>
          <w:rStyle w:val="FootnoteReference"/>
          <w:rFonts w:ascii="Palatino Linotype" w:hAnsi="Palatino Linotype"/>
        </w:rPr>
        <w:footnoteRef/>
      </w:r>
      <w:r w:rsidRPr="00DA1549">
        <w:rPr>
          <w:rFonts w:ascii="Palatino Linotype" w:hAnsi="Palatino Linotype"/>
        </w:rPr>
        <w:t xml:space="preserve"> </w:t>
      </w:r>
      <w:r w:rsidRPr="00DA1549">
        <w:rPr>
          <w:rFonts w:ascii="Palatino Linotype" w:eastAsia="Palatino Linotype" w:hAnsi="Palatino Linotype" w:cs="Palatino Linotype"/>
        </w:rPr>
        <w:t xml:space="preserve">AL 6646-G Attachment A </w:t>
      </w:r>
      <w:r w:rsidRPr="00DA1549">
        <w:rPr>
          <w:rFonts w:ascii="Palatino Linotype" w:eastAsia="Palatino Linotype" w:hAnsi="Palatino Linotype" w:cs="Palatino Linotype"/>
        </w:rPr>
        <w:t>at p. 113-125.</w:t>
      </w:r>
    </w:p>
  </w:footnote>
  <w:footnote w:id="494">
    <w:p w14:paraId="40DFB73C" w14:textId="77777777" w:rsidR="002A6629" w:rsidRDefault="002A6629" w:rsidP="002A6629">
      <w:pPr>
        <w:pStyle w:val="FootnoteText"/>
      </w:pPr>
      <w:r>
        <w:rPr>
          <w:rStyle w:val="FootnoteReference"/>
        </w:rPr>
        <w:footnoteRef/>
      </w:r>
      <w:r>
        <w:t xml:space="preserve"> </w:t>
      </w:r>
      <w:r w:rsidRPr="008F0523">
        <w:rPr>
          <w:rFonts w:ascii="Palatino Linotype" w:eastAsia="Palatino Linotype" w:hAnsi="Palatino Linotype" w:cs="Palatino Linotype"/>
          <w:color w:val="242424"/>
        </w:rPr>
        <w:t>AL 6646-G Attachment A at p. 93-125.</w:t>
      </w:r>
    </w:p>
  </w:footnote>
  <w:footnote w:id="495">
    <w:p w14:paraId="61853CC1" w14:textId="77777777" w:rsidR="002A6629" w:rsidRDefault="002A6629" w:rsidP="002A6629">
      <w:pPr>
        <w:pStyle w:val="FootnoteText"/>
        <w:rPr>
          <w:rFonts w:ascii="Palatino Linotype" w:eastAsia="Palatino Linotype" w:hAnsi="Palatino Linotype" w:cs="Palatino Linotype"/>
        </w:rPr>
      </w:pPr>
      <w:r w:rsidRPr="00DA1549">
        <w:rPr>
          <w:rStyle w:val="FootnoteReference"/>
          <w:rFonts w:ascii="Palatino Linotype" w:hAnsi="Palatino Linotype"/>
        </w:rPr>
        <w:footnoteRef/>
      </w:r>
      <w:r w:rsidRPr="00DA1549">
        <w:rPr>
          <w:rFonts w:ascii="Palatino Linotype" w:hAnsi="Palatino Linotype"/>
        </w:rPr>
        <w:t xml:space="preserve"> </w:t>
      </w:r>
      <w:r w:rsidRPr="00DA1549">
        <w:rPr>
          <w:rFonts w:ascii="Palatino Linotype" w:eastAsia="Palatino Linotype" w:hAnsi="Palatino Linotype" w:cs="Palatino Linotype"/>
        </w:rPr>
        <w:t>AL 6646-G Attachment A at p. 131-142.</w:t>
      </w:r>
    </w:p>
  </w:footnote>
  <w:footnote w:id="496">
    <w:p w14:paraId="4F78AEA6" w14:textId="77777777" w:rsidR="002A6629" w:rsidRDefault="002A6629" w:rsidP="002A6629">
      <w:pPr>
        <w:pStyle w:val="FootnoteText"/>
      </w:pPr>
      <w:r w:rsidRPr="5CB1C368">
        <w:rPr>
          <w:rStyle w:val="FootnoteReference"/>
        </w:rPr>
        <w:footnoteRef/>
      </w:r>
      <w:r>
        <w:t xml:space="preserve"> </w:t>
      </w:r>
      <w:r w:rsidRPr="6D92BD94">
        <w:rPr>
          <w:rFonts w:ascii="Palatino Linotype" w:eastAsia="Palatino Linotype" w:hAnsi="Palatino Linotype" w:cs="Palatino Linotype"/>
        </w:rPr>
        <w:t>AL 6646-G Attachment A at p. 143-156.</w:t>
      </w:r>
    </w:p>
  </w:footnote>
  <w:footnote w:id="497">
    <w:p w14:paraId="63D0FDC7"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AL 664</w:t>
      </w:r>
      <w:r w:rsidRPr="6D92BD94">
        <w:rPr>
          <w:rFonts w:ascii="Palatino Linotype" w:hAnsi="Palatino Linotype"/>
        </w:rPr>
        <w:t>6-G Attachment A at p. 105.</w:t>
      </w:r>
    </w:p>
  </w:footnote>
  <w:footnote w:id="498">
    <w:p w14:paraId="63A4B593"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AL 664</w:t>
      </w:r>
      <w:r w:rsidRPr="6D92BD94">
        <w:rPr>
          <w:rFonts w:ascii="Palatino Linotype" w:hAnsi="Palatino Linotype"/>
        </w:rPr>
        <w:t>6-G Attachment A at p.</w:t>
      </w:r>
      <w:r w:rsidRPr="56CE8599">
        <w:rPr>
          <w:rFonts w:ascii="Palatino Linotype" w:hAnsi="Palatino Linotype"/>
        </w:rPr>
        <w:t xml:space="preserve"> 105.</w:t>
      </w:r>
    </w:p>
  </w:footnote>
  <w:footnote w:id="499">
    <w:p w14:paraId="40D6B307"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See Resolution G</w:t>
      </w:r>
      <w:r w:rsidRPr="00035A87">
        <w:rPr>
          <w:rFonts w:ascii="Palatino Linotype" w:hAnsi="Palatino Linotype"/>
          <w:color w:val="000000" w:themeColor="text1"/>
        </w:rPr>
        <w:t xml:space="preserve">-3624 </w:t>
      </w:r>
      <w:r w:rsidRPr="56CE8599">
        <w:rPr>
          <w:rFonts w:ascii="Palatino Linotype" w:hAnsi="Palatino Linotype"/>
        </w:rPr>
        <w:t>at Appendix F: EPIC Foundational Principles for the Development of a Uniform Impact Analysis Framework.</w:t>
      </w:r>
    </w:p>
  </w:footnote>
  <w:footnote w:id="500">
    <w:p w14:paraId="079ED93B" w14:textId="77777777" w:rsidR="002A6629" w:rsidRDefault="002A6629" w:rsidP="002A6629">
      <w:pPr>
        <w:pStyle w:val="FootnoteText"/>
        <w:rPr>
          <w:rFonts w:ascii="Palatino Linotype" w:eastAsia="Palatino Linotype" w:hAnsi="Palatino Linotype" w:cs="Palatino Linotype"/>
        </w:rPr>
      </w:pPr>
      <w:r w:rsidRPr="5CB1C368">
        <w:rPr>
          <w:rStyle w:val="FootnoteReference"/>
          <w:rFonts w:ascii="Palatino Linotype" w:hAnsi="Palatino Linotype"/>
        </w:rPr>
        <w:footnoteRef/>
      </w:r>
      <w:r w:rsidRPr="5CB1C368">
        <w:rPr>
          <w:rFonts w:ascii="Palatino Linotype" w:hAnsi="Palatino Linotype"/>
        </w:rPr>
        <w:t xml:space="preserve"> </w:t>
      </w:r>
      <w:r w:rsidRPr="5CB1C368">
        <w:rPr>
          <w:rFonts w:ascii="Palatino Linotype" w:eastAsia="Palatino Linotype" w:hAnsi="Palatino Linotype" w:cs="Palatino Linotype"/>
        </w:rPr>
        <w:t>AL 664</w:t>
      </w:r>
      <w:r w:rsidRPr="6D92BD94">
        <w:rPr>
          <w:rFonts w:ascii="Palatino Linotype" w:eastAsia="Palatino Linotype" w:hAnsi="Palatino Linotype" w:cs="Palatino Linotype"/>
        </w:rPr>
        <w:t>6-G Attachment A at p. 51.</w:t>
      </w:r>
    </w:p>
  </w:footnote>
  <w:footnote w:id="501">
    <w:p w14:paraId="74005D0F" w14:textId="77777777" w:rsidR="002A6629" w:rsidRDefault="002A6629" w:rsidP="002A6629">
      <w:pPr>
        <w:pStyle w:val="FootnoteText"/>
      </w:pPr>
      <w:r w:rsidRPr="56CE8599">
        <w:rPr>
          <w:rStyle w:val="FootnoteReference"/>
        </w:rPr>
        <w:footnoteRef/>
      </w:r>
      <w:r>
        <w:t xml:space="preserve"> </w:t>
      </w:r>
      <w:r w:rsidRPr="56CE8599">
        <w:rPr>
          <w:rFonts w:ascii="Palatino Linotype" w:eastAsia="Palatino Linotype" w:hAnsi="Palatino Linotype" w:cs="Palatino Linotype"/>
        </w:rPr>
        <w:t xml:space="preserve">AL 6646-G Attachment A </w:t>
      </w:r>
      <w:r w:rsidRPr="56CE8599">
        <w:rPr>
          <w:rFonts w:ascii="Palatino Linotype" w:eastAsia="Palatino Linotype" w:hAnsi="Palatino Linotype" w:cs="Palatino Linotype"/>
        </w:rPr>
        <w:t>at p. 24.</w:t>
      </w:r>
    </w:p>
  </w:footnote>
  <w:footnote w:id="502">
    <w:p w14:paraId="4CFF043B" w14:textId="77777777" w:rsidR="002A6629" w:rsidRDefault="002A6629" w:rsidP="002A6629">
      <w:pPr>
        <w:pStyle w:val="FootnoteText"/>
      </w:pPr>
      <w:r w:rsidRPr="56CE8599">
        <w:rPr>
          <w:rStyle w:val="FootnoteReference"/>
        </w:rPr>
        <w:footnoteRef/>
      </w:r>
      <w:r>
        <w:t xml:space="preserve"> </w:t>
      </w:r>
      <w:r w:rsidRPr="56CE8599">
        <w:rPr>
          <w:rFonts w:ascii="Palatino Linotype" w:eastAsia="Palatino Linotype" w:hAnsi="Palatino Linotype" w:cs="Palatino Linotype"/>
        </w:rPr>
        <w:t xml:space="preserve">AL 6646-G Attachment A </w:t>
      </w:r>
      <w:r w:rsidRPr="56CE8599">
        <w:rPr>
          <w:rFonts w:ascii="Palatino Linotype" w:eastAsia="Palatino Linotype" w:hAnsi="Palatino Linotype" w:cs="Palatino Linotype"/>
        </w:rPr>
        <w:t>at p. 29-30.</w:t>
      </w:r>
    </w:p>
  </w:footnote>
  <w:footnote w:id="503">
    <w:p w14:paraId="6E5227F8" w14:textId="77777777" w:rsidR="002A6629" w:rsidRDefault="002A6629" w:rsidP="002A6629">
      <w:pPr>
        <w:pStyle w:val="FootnoteText"/>
      </w:pPr>
      <w:r w:rsidRPr="56CE8599">
        <w:rPr>
          <w:rStyle w:val="FootnoteReference"/>
        </w:rPr>
        <w:footnoteRef/>
      </w:r>
      <w:r>
        <w:t xml:space="preserve"> </w:t>
      </w:r>
      <w:r w:rsidRPr="56CE8599">
        <w:rPr>
          <w:rFonts w:ascii="Palatino Linotype" w:eastAsia="Palatino Linotype" w:hAnsi="Palatino Linotype" w:cs="Palatino Linotype"/>
        </w:rPr>
        <w:t>AL 6646-G Attachment A at p. 35-36.</w:t>
      </w:r>
    </w:p>
  </w:footnote>
  <w:footnote w:id="504">
    <w:p w14:paraId="60D43B72" w14:textId="77777777" w:rsidR="002A6629" w:rsidRDefault="002A6629" w:rsidP="002A6629">
      <w:pPr>
        <w:pStyle w:val="FootnoteText"/>
      </w:pPr>
      <w:r w:rsidRPr="56CE8599">
        <w:rPr>
          <w:rStyle w:val="FootnoteReference"/>
        </w:rPr>
        <w:footnoteRef/>
      </w:r>
      <w:r w:rsidRPr="56CE8599">
        <w:rPr>
          <w:rFonts w:ascii="Palatino Linotype" w:eastAsia="Palatino Linotype" w:hAnsi="Palatino Linotype" w:cs="Palatino Linotype"/>
        </w:rPr>
        <w:t xml:space="preserve"> AL 664</w:t>
      </w:r>
      <w:r>
        <w:rPr>
          <w:rFonts w:ascii="Palatino Linotype" w:eastAsia="Palatino Linotype" w:hAnsi="Palatino Linotype" w:cs="Palatino Linotype"/>
        </w:rPr>
        <w:t>6</w:t>
      </w:r>
      <w:r w:rsidRPr="56CE8599">
        <w:rPr>
          <w:rFonts w:ascii="Palatino Linotype" w:eastAsia="Palatino Linotype" w:hAnsi="Palatino Linotype" w:cs="Palatino Linotype"/>
        </w:rPr>
        <w:t>-G Attachment A at p. 39-40.</w:t>
      </w:r>
    </w:p>
  </w:footnote>
  <w:footnote w:id="505">
    <w:p w14:paraId="48F9630C" w14:textId="77777777" w:rsidR="002A6629" w:rsidRDefault="002A6629" w:rsidP="002A6629">
      <w:pPr>
        <w:pStyle w:val="FootnoteText"/>
        <w:rPr>
          <w:rFonts w:ascii="Palatino Linotype" w:eastAsia="Palatino Linotype" w:hAnsi="Palatino Linotype" w:cs="Palatino Linotype"/>
        </w:rPr>
      </w:pPr>
      <w:r w:rsidRPr="56CE8599">
        <w:rPr>
          <w:rStyle w:val="FootnoteReference"/>
        </w:rPr>
        <w:footnoteRef/>
      </w:r>
      <w:r>
        <w:t xml:space="preserve"> </w:t>
      </w:r>
      <w:r w:rsidRPr="56CE8599">
        <w:rPr>
          <w:rFonts w:ascii="Palatino Linotype" w:eastAsia="Palatino Linotype" w:hAnsi="Palatino Linotype" w:cs="Palatino Linotype"/>
        </w:rPr>
        <w:t>AL 6646 Attachment A at p. 45.</w:t>
      </w:r>
    </w:p>
  </w:footnote>
  <w:footnote w:id="506">
    <w:p w14:paraId="2259AD03" w14:textId="77777777" w:rsidR="002A6629" w:rsidRDefault="002A6629" w:rsidP="002A6629">
      <w:pPr>
        <w:pStyle w:val="FootnoteText"/>
        <w:rPr>
          <w:rFonts w:ascii="Palatino Linotype" w:eastAsia="Palatino Linotype" w:hAnsi="Palatino Linotype" w:cs="Palatino Linotype"/>
        </w:rPr>
      </w:pPr>
      <w:r w:rsidRPr="56CE8599">
        <w:rPr>
          <w:rStyle w:val="FootnoteReference"/>
        </w:rPr>
        <w:footnoteRef/>
      </w:r>
      <w:r>
        <w:t xml:space="preserve"> </w:t>
      </w:r>
      <w:r w:rsidRPr="56CE8599">
        <w:rPr>
          <w:rFonts w:ascii="Palatino Linotype" w:eastAsia="Palatino Linotype" w:hAnsi="Palatino Linotype" w:cs="Palatino Linotype"/>
        </w:rPr>
        <w:t>AL 6646-G Attachment A at p. 55-56.</w:t>
      </w:r>
    </w:p>
  </w:footnote>
  <w:footnote w:id="507">
    <w:p w14:paraId="654F03E9" w14:textId="77777777" w:rsidR="002A6629" w:rsidRDefault="002A6629" w:rsidP="002A6629">
      <w:pPr>
        <w:pStyle w:val="FootnoteText"/>
      </w:pPr>
      <w:r w:rsidRPr="56CE8599">
        <w:rPr>
          <w:rStyle w:val="FootnoteReference"/>
        </w:rPr>
        <w:footnoteRef/>
      </w:r>
      <w:r>
        <w:t xml:space="preserve"> </w:t>
      </w:r>
      <w:r w:rsidRPr="56CE8599">
        <w:rPr>
          <w:rFonts w:ascii="Palatino Linotype" w:eastAsia="Palatino Linotype" w:hAnsi="Palatino Linotype" w:cs="Palatino Linotype"/>
        </w:rPr>
        <w:t>AL 6646-G Attachment A at p. 62.</w:t>
      </w:r>
    </w:p>
  </w:footnote>
  <w:footnote w:id="508">
    <w:p w14:paraId="2355E7D9" w14:textId="77777777" w:rsidR="002A6629" w:rsidRDefault="002A6629" w:rsidP="002A6629">
      <w:pPr>
        <w:pStyle w:val="FootnoteText"/>
      </w:pPr>
      <w:r w:rsidRPr="56CE8599">
        <w:rPr>
          <w:rStyle w:val="FootnoteReference"/>
        </w:rPr>
        <w:footnoteRef/>
      </w:r>
      <w:r>
        <w:t xml:space="preserve"> </w:t>
      </w:r>
      <w:r w:rsidRPr="56CE8599">
        <w:rPr>
          <w:rFonts w:ascii="Palatino Linotype" w:eastAsia="Palatino Linotype" w:hAnsi="Palatino Linotype" w:cs="Palatino Linotype"/>
        </w:rPr>
        <w:t>AL 6646-G Attachment A at p. 68-69.</w:t>
      </w:r>
    </w:p>
  </w:footnote>
  <w:footnote w:id="509">
    <w:p w14:paraId="31AC4062" w14:textId="77777777" w:rsidR="002A6629" w:rsidRDefault="002A6629" w:rsidP="002A6629">
      <w:pPr>
        <w:pStyle w:val="FootnoteText"/>
      </w:pPr>
      <w:r>
        <w:rPr>
          <w:rStyle w:val="FootnoteReference"/>
        </w:rPr>
        <w:footnoteRef/>
      </w:r>
      <w:r>
        <w:t xml:space="preserve"> </w:t>
      </w:r>
      <w:hyperlink r:id="rId164" w:history="1">
        <w:r w:rsidRPr="00F83725">
          <w:rPr>
            <w:rStyle w:val="Hyperlink"/>
            <w:rFonts w:ascii="Palatino Linotype" w:hAnsi="Palatino Linotype"/>
            <w:bCs/>
          </w:rPr>
          <w:t>Resolution G-3601</w:t>
        </w:r>
      </w:hyperlink>
      <w:r w:rsidRPr="0091298D">
        <w:rPr>
          <w:rFonts w:ascii="Palatino Linotype" w:hAnsi="Palatino Linotype"/>
          <w:bCs/>
          <w:color w:val="000000" w:themeColor="text1"/>
        </w:rPr>
        <w:t xml:space="preserve"> (2023) at p. 18</w:t>
      </w:r>
      <w:r>
        <w:rPr>
          <w:rFonts w:ascii="Palatino Linotype" w:hAnsi="Palatino Linotype"/>
          <w:bCs/>
          <w:color w:val="000000" w:themeColor="text1"/>
        </w:rPr>
        <w:t>.</w:t>
      </w:r>
    </w:p>
  </w:footnote>
  <w:footnote w:id="510">
    <w:p w14:paraId="382EAD32"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w:t>
      </w:r>
      <w:r w:rsidRPr="6D92BD94">
        <w:rPr>
          <w:rFonts w:ascii="Palatino Linotype" w:eastAsia="Aptos" w:hAnsi="Palatino Linotype" w:cs="Aptos"/>
        </w:rPr>
        <w:t>A</w:t>
      </w:r>
      <w:r w:rsidRPr="5CB1C368">
        <w:rPr>
          <w:rFonts w:ascii="Palatino Linotype" w:eastAsia="Palatino Linotype" w:hAnsi="Palatino Linotype" w:cs="Palatino Linotype"/>
        </w:rPr>
        <w:t>L 664</w:t>
      </w:r>
      <w:r w:rsidRPr="6D92BD94">
        <w:rPr>
          <w:rFonts w:ascii="Palatino Linotype" w:eastAsia="Palatino Linotype" w:hAnsi="Palatino Linotype" w:cs="Palatino Linotype"/>
        </w:rPr>
        <w:t>6-G Attachment A at p. 154.</w:t>
      </w:r>
    </w:p>
  </w:footnote>
  <w:footnote w:id="511">
    <w:p w14:paraId="71B7167A" w14:textId="77777777" w:rsidR="002A6629" w:rsidRDefault="002A6629" w:rsidP="002A6629">
      <w:pPr>
        <w:pStyle w:val="FootnoteText"/>
      </w:pPr>
      <w:r w:rsidRPr="56CE8599">
        <w:rPr>
          <w:rStyle w:val="FootnoteReference"/>
        </w:rPr>
        <w:footnoteRef/>
      </w:r>
      <w:r>
        <w:t xml:space="preserve"> </w:t>
      </w:r>
      <w:r w:rsidRPr="005477C9">
        <w:rPr>
          <w:rFonts w:ascii="Palatino Linotype" w:eastAsia="Palatino Linotype" w:hAnsi="Palatino Linotype" w:cs="Palatino Linotype"/>
        </w:rPr>
        <w:t>Al 6646-G Attachment A at p. 104-105.</w:t>
      </w:r>
    </w:p>
  </w:footnote>
  <w:footnote w:id="512">
    <w:p w14:paraId="17E632D2" w14:textId="77777777" w:rsidR="002A6629" w:rsidRDefault="002A6629" w:rsidP="002A6629">
      <w:pPr>
        <w:pStyle w:val="FootnoteText"/>
        <w:rPr>
          <w:rFonts w:ascii="Palatino Linotype" w:hAnsi="Palatino Linotype"/>
        </w:rPr>
      </w:pPr>
      <w:r w:rsidRPr="5CB1C368">
        <w:rPr>
          <w:rStyle w:val="FootnoteReference"/>
          <w:rFonts w:ascii="Palatino Linotype" w:hAnsi="Palatino Linotype"/>
        </w:rPr>
        <w:footnoteRef/>
      </w:r>
      <w:r w:rsidRPr="5CB1C368">
        <w:rPr>
          <w:rFonts w:ascii="Palatino Linotype" w:hAnsi="Palatino Linotype"/>
        </w:rPr>
        <w:t xml:space="preserve"> AL 664</w:t>
      </w:r>
      <w:r w:rsidRPr="6D92BD94">
        <w:rPr>
          <w:rFonts w:ascii="Palatino Linotype" w:hAnsi="Palatino Linotype"/>
        </w:rPr>
        <w:t>6-G Attachment A at p. 154-155.</w:t>
      </w:r>
    </w:p>
  </w:footnote>
  <w:footnote w:id="513">
    <w:p w14:paraId="7538565C" w14:textId="77777777" w:rsidR="002A6629" w:rsidRPr="00652881" w:rsidRDefault="002A6629" w:rsidP="002A6629">
      <w:pPr>
        <w:pStyle w:val="FootnoteText"/>
        <w:rPr>
          <w:rFonts w:ascii="Palatino Linotype" w:hAnsi="Palatino Linotype"/>
        </w:rPr>
      </w:pPr>
      <w:r w:rsidRPr="00652881">
        <w:rPr>
          <w:rStyle w:val="FootnoteReference"/>
          <w:rFonts w:ascii="Palatino Linotype" w:hAnsi="Palatino Linotype"/>
        </w:rPr>
        <w:footnoteRef/>
      </w:r>
      <w:r w:rsidRPr="00652881">
        <w:rPr>
          <w:rFonts w:ascii="Palatino Linotype" w:hAnsi="Palatino Linotype"/>
        </w:rPr>
        <w:t xml:space="preserve"> </w:t>
      </w:r>
      <w:hyperlink r:id="rId165" w:history="1">
        <w:r w:rsidRPr="00652881">
          <w:rPr>
            <w:rStyle w:val="Hyperlink"/>
            <w:rFonts w:ascii="Palatino Linotype" w:hAnsi="Palatino Linotype"/>
          </w:rPr>
          <w:t>R.22-12-011</w:t>
        </w:r>
      </w:hyperlink>
      <w:r w:rsidRPr="00652881">
        <w:rPr>
          <w:rFonts w:ascii="Palatino Linotype" w:hAnsi="Palatino Linotype"/>
        </w:rPr>
        <w:t>.</w:t>
      </w:r>
    </w:p>
  </w:footnote>
  <w:footnote w:id="514">
    <w:p w14:paraId="0D5610D8" w14:textId="77777777" w:rsidR="002A6629" w:rsidRDefault="002A6629" w:rsidP="002A6629">
      <w:pPr>
        <w:pStyle w:val="FootnoteText"/>
      </w:pPr>
      <w:r w:rsidRPr="56CE8599">
        <w:rPr>
          <w:rStyle w:val="FootnoteReference"/>
        </w:rPr>
        <w:footnoteRef/>
      </w:r>
      <w:r>
        <w:t xml:space="preserve"> </w:t>
      </w:r>
      <w:r w:rsidRPr="56CE8599">
        <w:rPr>
          <w:rFonts w:ascii="Palatino Linotype" w:eastAsia="Palatino Linotype" w:hAnsi="Palatino Linotype" w:cs="Palatino Linotype"/>
        </w:rPr>
        <w:t xml:space="preserve">AL 6646-G </w:t>
      </w:r>
      <w:r w:rsidRPr="56CE8599">
        <w:rPr>
          <w:rFonts w:ascii="Palatino Linotype" w:eastAsia="Palatino Linotype" w:hAnsi="Palatino Linotype" w:cs="Palatino Linotype"/>
        </w:rPr>
        <w:t>at p. 11.</w:t>
      </w:r>
    </w:p>
  </w:footnote>
  <w:footnote w:id="515">
    <w:p w14:paraId="39D0E70A" w14:textId="77777777" w:rsidR="002A6629" w:rsidRDefault="002A6629" w:rsidP="002A6629">
      <w:pPr>
        <w:pStyle w:val="FootnoteText"/>
      </w:pPr>
      <w:r w:rsidRPr="56CE8599">
        <w:rPr>
          <w:rStyle w:val="FootnoteReference"/>
        </w:rPr>
        <w:footnoteRef/>
      </w:r>
      <w:r>
        <w:t xml:space="preserve"> </w:t>
      </w:r>
      <w:r w:rsidRPr="005477C9">
        <w:rPr>
          <w:rFonts w:ascii="Palatino Linotype" w:eastAsia="Palatino Linotype" w:hAnsi="Palatino Linotype" w:cs="Palatino Linotype"/>
        </w:rPr>
        <w:t>AL 6646-G Attachment A at p. 102.</w:t>
      </w:r>
    </w:p>
  </w:footnote>
  <w:footnote w:id="516">
    <w:p w14:paraId="1E3C49CB" w14:textId="77777777" w:rsidR="002A6629" w:rsidRDefault="002A6629" w:rsidP="002A6629">
      <w:pPr>
        <w:pStyle w:val="FootnoteText"/>
        <w:rPr>
          <w:rFonts w:ascii="Palatino Linotype" w:hAnsi="Palatino Linotype"/>
        </w:rPr>
      </w:pPr>
      <w:r w:rsidRPr="56CE8599">
        <w:rPr>
          <w:rStyle w:val="FootnoteReference"/>
        </w:rPr>
        <w:footnoteRef/>
      </w:r>
      <w:r>
        <w:t xml:space="preserve"> </w:t>
      </w:r>
      <w:r w:rsidRPr="56CE8599">
        <w:rPr>
          <w:rFonts w:ascii="Palatino Linotype" w:eastAsia="Aptos" w:hAnsi="Palatino Linotype" w:cs="Aptos"/>
        </w:rPr>
        <w:t>AL</w:t>
      </w:r>
      <w:r w:rsidRPr="56CE8599">
        <w:rPr>
          <w:rFonts w:ascii="Palatino Linotype" w:eastAsia="Palatino Linotype" w:hAnsi="Palatino Linotype" w:cs="Palatino Linotype"/>
        </w:rPr>
        <w:t xml:space="preserve"> 6646-G Attachment A</w:t>
      </w:r>
      <w:r>
        <w:rPr>
          <w:rFonts w:ascii="Palatino Linotype" w:eastAsia="Palatino Linotype" w:hAnsi="Palatino Linotype" w:cs="Palatino Linotype"/>
        </w:rPr>
        <w:t xml:space="preserve">, </w:t>
      </w:r>
      <w:r w:rsidRPr="56CE8599">
        <w:rPr>
          <w:rFonts w:ascii="Palatino Linotype" w:eastAsia="Palatino Linotype" w:hAnsi="Palatino Linotype" w:cs="Palatino Linotype"/>
        </w:rPr>
        <w:t>Appendix 2: Project Selection Process at p. 93-111.</w:t>
      </w:r>
    </w:p>
  </w:footnote>
  <w:footnote w:id="517">
    <w:p w14:paraId="09E7BE73" w14:textId="77777777" w:rsidR="002A6629" w:rsidRDefault="002A6629" w:rsidP="002A6629">
      <w:pPr>
        <w:pStyle w:val="FootnoteText"/>
        <w:rPr>
          <w:rFonts w:ascii="Palatino Linotype" w:hAnsi="Palatino Linotype"/>
        </w:rPr>
      </w:pPr>
      <w:r w:rsidRPr="4393BFED">
        <w:rPr>
          <w:rStyle w:val="FootnoteReference"/>
          <w:rFonts w:ascii="Palatino Linotype" w:hAnsi="Palatino Linotype"/>
        </w:rPr>
        <w:footnoteRef/>
      </w:r>
      <w:r w:rsidRPr="4393BFED">
        <w:rPr>
          <w:rFonts w:ascii="Palatino Linotype" w:hAnsi="Palatino Linotype"/>
        </w:rPr>
        <w:t xml:space="preserve"> </w:t>
      </w:r>
      <w:r w:rsidRPr="4393BFED">
        <w:rPr>
          <w:rFonts w:ascii="Palatino Linotype" w:eastAsia="Palatino Linotype" w:hAnsi="Palatino Linotype" w:cs="Palatino Linotype"/>
        </w:rPr>
        <w:t>AL 6646-G Attachment A at p. 103.</w:t>
      </w:r>
    </w:p>
  </w:footnote>
  <w:footnote w:id="518">
    <w:p w14:paraId="1A82031E" w14:textId="77777777" w:rsidR="002A6629" w:rsidRDefault="002A6629" w:rsidP="002A6629">
      <w:pPr>
        <w:pStyle w:val="FootnoteText"/>
        <w:rPr>
          <w:rFonts w:ascii="Palatino Linotype" w:eastAsia="Palatino Linotype" w:hAnsi="Palatino Linotype" w:cs="Palatino Linotype"/>
        </w:rPr>
      </w:pPr>
      <w:r w:rsidRPr="5CB1C368">
        <w:rPr>
          <w:rStyle w:val="FootnoteReference"/>
          <w:rFonts w:ascii="Palatino Linotype" w:hAnsi="Palatino Linotype"/>
        </w:rPr>
        <w:footnoteRef/>
      </w:r>
      <w:r w:rsidRPr="5CB1C368">
        <w:rPr>
          <w:rFonts w:ascii="Palatino Linotype" w:hAnsi="Palatino Linotype"/>
        </w:rPr>
        <w:t xml:space="preserve"> </w:t>
      </w:r>
      <w:r w:rsidRPr="5CB1C368">
        <w:rPr>
          <w:rFonts w:ascii="Palatino Linotype" w:eastAsia="Aptos" w:hAnsi="Palatino Linotype" w:cs="Aptos"/>
        </w:rPr>
        <w:t>A</w:t>
      </w:r>
      <w:r w:rsidRPr="5CB1C368">
        <w:rPr>
          <w:rFonts w:ascii="Palatino Linotype" w:eastAsia="Palatino Linotype" w:hAnsi="Palatino Linotype" w:cs="Palatino Linotype"/>
        </w:rPr>
        <w:t>L 664</w:t>
      </w:r>
      <w:r w:rsidRPr="6D92BD94">
        <w:rPr>
          <w:rFonts w:ascii="Palatino Linotype" w:eastAsia="Palatino Linotype" w:hAnsi="Palatino Linotype" w:cs="Palatino Linotype"/>
        </w:rPr>
        <w:t>6-G at p. 11-12</w:t>
      </w:r>
      <w:r w:rsidRPr="56CE8599">
        <w:rPr>
          <w:rFonts w:ascii="Palatino Linotype" w:eastAsia="Palatino Linotype" w:hAnsi="Palatino Linotype" w:cs="Palatino Linotype"/>
        </w:rPr>
        <w:t xml:space="preserve"> &amp; Attachment A at p. 154 &amp; 172.</w:t>
      </w:r>
    </w:p>
  </w:footnote>
  <w:footnote w:id="519">
    <w:p w14:paraId="08BE585D" w14:textId="77777777" w:rsidR="002A6629" w:rsidRPr="000A1171" w:rsidRDefault="002A6629" w:rsidP="002A6629">
      <w:pPr>
        <w:pStyle w:val="FootnoteText"/>
        <w:rPr>
          <w:rFonts w:ascii="Palatino Linotype" w:hAnsi="Palatino Linotype"/>
        </w:rPr>
      </w:pPr>
      <w:r w:rsidRPr="000A1171">
        <w:rPr>
          <w:rStyle w:val="FootnoteReference"/>
          <w:rFonts w:ascii="Palatino Linotype" w:hAnsi="Palatino Linotype"/>
        </w:rPr>
        <w:footnoteRef/>
      </w:r>
      <w:r w:rsidRPr="000A1171">
        <w:rPr>
          <w:rFonts w:ascii="Palatino Linotype" w:hAnsi="Palatino Linotype"/>
        </w:rPr>
        <w:t xml:space="preserve"> </w:t>
      </w:r>
      <w:r w:rsidRPr="000A1171">
        <w:rPr>
          <w:rFonts w:ascii="Palatino Linotype" w:eastAsia="Aptos" w:hAnsi="Palatino Linotype" w:cs="Aptos"/>
        </w:rPr>
        <w:t xml:space="preserve">AL </w:t>
      </w:r>
      <w:r w:rsidRPr="000A1171">
        <w:rPr>
          <w:rFonts w:ascii="Palatino Linotype" w:eastAsia="Palatino Linotype" w:hAnsi="Palatino Linotype" w:cs="Palatino Linotype"/>
        </w:rPr>
        <w:t>6646-G Attachment A at p. 19.</w:t>
      </w:r>
    </w:p>
  </w:footnote>
  <w:footnote w:id="520">
    <w:p w14:paraId="09509FAF" w14:textId="77777777" w:rsidR="002A6629" w:rsidRPr="000A1171" w:rsidRDefault="002A6629" w:rsidP="002A6629">
      <w:pPr>
        <w:pStyle w:val="FootnoteText"/>
        <w:rPr>
          <w:rFonts w:ascii="Palatino Linotype" w:hAnsi="Palatino Linotype"/>
        </w:rPr>
      </w:pPr>
      <w:r w:rsidRPr="000A1171">
        <w:rPr>
          <w:rStyle w:val="FootnoteReference"/>
          <w:rFonts w:ascii="Palatino Linotype" w:hAnsi="Palatino Linotype"/>
        </w:rPr>
        <w:footnoteRef/>
      </w:r>
      <w:r w:rsidRPr="000A1171">
        <w:rPr>
          <w:rFonts w:ascii="Palatino Linotype" w:hAnsi="Palatino Linotype"/>
        </w:rPr>
        <w:t xml:space="preserve"> </w:t>
      </w:r>
      <w:r w:rsidRPr="000A1171">
        <w:rPr>
          <w:rFonts w:ascii="Palatino Linotype" w:eastAsia="Palatino Linotype" w:hAnsi="Palatino Linotype" w:cs="Palatino Linotype"/>
        </w:rPr>
        <w:t xml:space="preserve">AL 6646-G Attachment A </w:t>
      </w:r>
      <w:r w:rsidRPr="000A1171">
        <w:rPr>
          <w:rFonts w:ascii="Palatino Linotype" w:eastAsia="Palatino Linotype" w:hAnsi="Palatino Linotype" w:cs="Palatino Linotype"/>
        </w:rPr>
        <w:t>at p. 107.</w:t>
      </w:r>
    </w:p>
  </w:footnote>
  <w:footnote w:id="521">
    <w:p w14:paraId="750AC361" w14:textId="77777777" w:rsidR="002A6629" w:rsidRPr="000A1171" w:rsidRDefault="002A6629" w:rsidP="002A6629">
      <w:pPr>
        <w:pStyle w:val="FootnoteText"/>
        <w:rPr>
          <w:rFonts w:ascii="Palatino Linotype" w:hAnsi="Palatino Linotype"/>
        </w:rPr>
      </w:pPr>
      <w:r w:rsidRPr="000A1171">
        <w:rPr>
          <w:rStyle w:val="FootnoteReference"/>
          <w:rFonts w:ascii="Palatino Linotype" w:hAnsi="Palatino Linotype"/>
        </w:rPr>
        <w:footnoteRef/>
      </w:r>
      <w:r w:rsidRPr="000A1171">
        <w:rPr>
          <w:rFonts w:ascii="Palatino Linotype" w:hAnsi="Palatino Linotype"/>
        </w:rPr>
        <w:t xml:space="preserve"> </w:t>
      </w:r>
      <w:r w:rsidRPr="000A1171">
        <w:rPr>
          <w:rFonts w:ascii="Palatino Linotype" w:eastAsia="Aptos" w:hAnsi="Palatino Linotype" w:cs="Aptos"/>
        </w:rPr>
        <w:t>A</w:t>
      </w:r>
      <w:r w:rsidRPr="000A1171">
        <w:rPr>
          <w:rFonts w:ascii="Palatino Linotype" w:eastAsia="Palatino Linotype" w:hAnsi="Palatino Linotype" w:cs="Palatino Linotype"/>
        </w:rPr>
        <w:t>L 6646-G Attachment A at p. 106-107.</w:t>
      </w:r>
    </w:p>
  </w:footnote>
  <w:footnote w:id="522">
    <w:p w14:paraId="38F65307" w14:textId="77777777" w:rsidR="002A6629" w:rsidRDefault="002A6629" w:rsidP="002A6629">
      <w:pPr>
        <w:pStyle w:val="FootnoteText"/>
      </w:pPr>
      <w:r>
        <w:rPr>
          <w:rStyle w:val="FootnoteReference"/>
        </w:rPr>
        <w:footnoteRef/>
      </w:r>
      <w:r>
        <w:t xml:space="preserve"> </w:t>
      </w:r>
      <w:r w:rsidRPr="000A1171">
        <w:rPr>
          <w:rFonts w:ascii="Palatino Linotype" w:eastAsia="Aptos" w:hAnsi="Palatino Linotype" w:cs="Aptos"/>
        </w:rPr>
        <w:t>A</w:t>
      </w:r>
      <w:r w:rsidRPr="000A1171">
        <w:rPr>
          <w:rFonts w:ascii="Palatino Linotype" w:eastAsia="Palatino Linotype" w:hAnsi="Palatino Linotype" w:cs="Palatino Linotype"/>
        </w:rPr>
        <w:t xml:space="preserve">L 6646-G Attachment A at p. </w:t>
      </w:r>
      <w:r>
        <w:rPr>
          <w:rFonts w:ascii="Palatino Linotype" w:eastAsia="Palatino Linotype" w:hAnsi="Palatino Linotype" w:cs="Palatino Linotype"/>
        </w:rPr>
        <w:t>23.</w:t>
      </w:r>
    </w:p>
  </w:footnote>
  <w:footnote w:id="523">
    <w:p w14:paraId="5CDC17DF" w14:textId="77777777" w:rsidR="002A6629" w:rsidRDefault="002A6629" w:rsidP="002A6629">
      <w:pPr>
        <w:pStyle w:val="FootnoteText"/>
      </w:pPr>
      <w:r>
        <w:rPr>
          <w:rStyle w:val="FootnoteReference"/>
        </w:rPr>
        <w:footnoteRef/>
      </w:r>
      <w:r>
        <w:t xml:space="preserve"> </w:t>
      </w:r>
      <w:r w:rsidRPr="000A1171">
        <w:rPr>
          <w:rFonts w:ascii="Palatino Linotype" w:eastAsia="Aptos" w:hAnsi="Palatino Linotype" w:cs="Aptos"/>
        </w:rPr>
        <w:t>A</w:t>
      </w:r>
      <w:r w:rsidRPr="000A1171">
        <w:rPr>
          <w:rFonts w:ascii="Palatino Linotype" w:eastAsia="Palatino Linotype" w:hAnsi="Palatino Linotype" w:cs="Palatino Linotype"/>
        </w:rPr>
        <w:t>L 6646-G Attachment A at p</w:t>
      </w:r>
      <w:r w:rsidRPr="000A1171">
        <w:rPr>
          <w:rFonts w:ascii="Palatino Linotype" w:eastAsia="Palatino Linotype" w:hAnsi="Palatino Linotype" w:cs="Palatino Linotype"/>
        </w:rPr>
        <w:t xml:space="preserve">. </w:t>
      </w:r>
      <w:r>
        <w:rPr>
          <w:rFonts w:ascii="Palatino Linotype" w:eastAsia="Palatino Linotype" w:hAnsi="Palatino Linotype" w:cs="Palatino Linotype"/>
        </w:rPr>
        <w:t>94.</w:t>
      </w:r>
    </w:p>
  </w:footnote>
  <w:footnote w:id="524">
    <w:p w14:paraId="028CA82C" w14:textId="77777777" w:rsidR="002A6629" w:rsidRDefault="002A6629" w:rsidP="002A6629">
      <w:pPr>
        <w:pStyle w:val="FootnoteText"/>
      </w:pPr>
      <w:r>
        <w:rPr>
          <w:rStyle w:val="FootnoteReference"/>
        </w:rPr>
        <w:footnoteRef/>
      </w:r>
      <w:r>
        <w:t xml:space="preserve"> </w:t>
      </w:r>
      <w:r w:rsidRPr="000A1171">
        <w:rPr>
          <w:rFonts w:ascii="Palatino Linotype" w:eastAsia="Aptos" w:hAnsi="Palatino Linotype" w:cs="Aptos"/>
        </w:rPr>
        <w:t>A</w:t>
      </w:r>
      <w:r w:rsidRPr="000A1171">
        <w:rPr>
          <w:rFonts w:ascii="Palatino Linotype" w:eastAsia="Palatino Linotype" w:hAnsi="Palatino Linotype" w:cs="Palatino Linotype"/>
        </w:rPr>
        <w:t xml:space="preserve">L 6646-G Attachment A at p. </w:t>
      </w:r>
      <w:r>
        <w:rPr>
          <w:rFonts w:ascii="Palatino Linotype" w:eastAsia="Palatino Linotype" w:hAnsi="Palatino Linotype" w:cs="Palatino Linotype"/>
        </w:rPr>
        <w:t>94-95.</w:t>
      </w:r>
    </w:p>
  </w:footnote>
  <w:footnote w:id="525">
    <w:p w14:paraId="691C5183" w14:textId="77777777" w:rsidR="002A6629" w:rsidRDefault="002A6629" w:rsidP="002A6629">
      <w:pPr>
        <w:pStyle w:val="FootnoteText"/>
      </w:pPr>
      <w:r>
        <w:rPr>
          <w:rStyle w:val="FootnoteReference"/>
        </w:rPr>
        <w:footnoteRef/>
      </w:r>
      <w:r>
        <w:t xml:space="preserve"> </w:t>
      </w:r>
      <w:r w:rsidRPr="5CB1C368">
        <w:rPr>
          <w:rFonts w:ascii="Palatino Linotype" w:eastAsia="Aptos" w:hAnsi="Palatino Linotype" w:cs="Aptos"/>
        </w:rPr>
        <w:t>A</w:t>
      </w:r>
      <w:r w:rsidRPr="5CB1C368">
        <w:rPr>
          <w:rFonts w:ascii="Palatino Linotype" w:eastAsia="Palatino Linotype" w:hAnsi="Palatino Linotype" w:cs="Palatino Linotype"/>
        </w:rPr>
        <w:t>L 664</w:t>
      </w:r>
      <w:r w:rsidRPr="6D92BD94">
        <w:rPr>
          <w:rFonts w:ascii="Palatino Linotype" w:eastAsia="Palatino Linotype" w:hAnsi="Palatino Linotype" w:cs="Palatino Linotype"/>
        </w:rPr>
        <w:t>6-G Attachment A at p.</w:t>
      </w:r>
      <w:r>
        <w:rPr>
          <w:rFonts w:ascii="Palatino Linotype" w:eastAsia="Palatino Linotype" w:hAnsi="Palatino Linotype" w:cs="Palatino Linotype"/>
        </w:rPr>
        <w:t xml:space="preserve"> 26-27, 32-33, 37, 41-42, 47, 57-58, 63-65, &amp; 71-72.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478CF797" w:rsidR="00A76F4A" w:rsidRDefault="008213BB" w:rsidP="00705C5B">
    <w:pPr>
      <w:pStyle w:val="Header"/>
      <w:rPr>
        <w:rFonts w:ascii="Palatino Linotype" w:hAnsi="Palatino Linotype"/>
      </w:rPr>
    </w:pPr>
    <w:r>
      <w:rPr>
        <w:rFonts w:ascii="Palatino Linotype" w:hAnsi="Palatino Linotype"/>
      </w:rPr>
      <w:t>E</w:t>
    </w:r>
    <w:r w:rsidR="00CA288A">
      <w:rPr>
        <w:rFonts w:ascii="Palatino Linotype" w:hAnsi="Palatino Linotype"/>
      </w:rPr>
      <w:t>D</w:t>
    </w:r>
    <w:r>
      <w:rPr>
        <w:rFonts w:ascii="Palatino Linotype" w:hAnsi="Palatino Linotype"/>
      </w:rPr>
      <w:t xml:space="preserve">/Resolution </w:t>
    </w:r>
    <w:r w:rsidR="00190664">
      <w:rPr>
        <w:rFonts w:ascii="Palatino Linotype" w:eastAsia="Times New Roman" w:hAnsi="Palatino Linotype" w:cs="Times New Roman"/>
        <w:kern w:val="0"/>
        <w14:ligatures w14:val="none"/>
      </w:rPr>
      <w:t>G-3624</w:t>
    </w:r>
    <w:r w:rsidR="004255F8">
      <w:rPr>
        <w:rFonts w:ascii="Palatino Linotype" w:hAnsi="Palatino Linotype"/>
      </w:rPr>
      <w:tab/>
    </w:r>
    <w:r w:rsidR="00CA288A">
      <w:rPr>
        <w:rFonts w:ascii="Palatino Linotype" w:hAnsi="Palatino Linotype"/>
      </w:rPr>
      <w:t>DRAFT</w:t>
    </w:r>
    <w:r w:rsidR="004255F8">
      <w:rPr>
        <w:rFonts w:ascii="Palatino Linotype" w:hAnsi="Palatino Linotype"/>
      </w:rPr>
      <w:tab/>
    </w:r>
    <w:r w:rsidR="006606CD">
      <w:rPr>
        <w:rFonts w:ascii="Palatino Linotype" w:hAnsi="Palatino Linotype"/>
      </w:rPr>
      <w:t>December 3</w:t>
    </w:r>
    <w:r w:rsidR="001638DC">
      <w:rPr>
        <w:rFonts w:ascii="Palatino Linotype" w:hAnsi="Palatino Linotype"/>
      </w:rPr>
      <w:t>,</w:t>
    </w:r>
    <w:r w:rsidR="00101F10">
      <w:rPr>
        <w:rFonts w:ascii="Palatino Linotype" w:hAnsi="Palatino Linotype"/>
      </w:rPr>
      <w:t xml:space="preserve"> 2026</w:t>
    </w:r>
  </w:p>
  <w:p w14:paraId="39E35C4E" w14:textId="75AF0F1D" w:rsidR="00CD2149" w:rsidRDefault="00724556" w:rsidP="00705C5B">
    <w:pPr>
      <w:pStyle w:val="Header"/>
      <w:rPr>
        <w:rFonts w:ascii="Palatino Linotype" w:hAnsi="Palatino Linotype"/>
      </w:rPr>
    </w:pPr>
    <w:r>
      <w:rPr>
        <w:rFonts w:ascii="Palatino Linotype" w:hAnsi="Palatino Linotype"/>
      </w:rPr>
      <w:t>SoCalGas</w:t>
    </w:r>
    <w:r w:rsidR="00CD2149">
      <w:rPr>
        <w:rFonts w:ascii="Palatino Linotype" w:hAnsi="Palatino Linotype"/>
      </w:rPr>
      <w:t xml:space="preserve"> </w:t>
    </w:r>
    <w:r w:rsidR="008213BB">
      <w:rPr>
        <w:rFonts w:ascii="Palatino Linotype" w:hAnsi="Palatino Linotype"/>
      </w:rPr>
      <w:t>AL</w:t>
    </w:r>
    <w:r w:rsidR="009F3C5F">
      <w:rPr>
        <w:rFonts w:ascii="Palatino Linotype" w:hAnsi="Palatino Linotype"/>
      </w:rPr>
      <w:t>s</w:t>
    </w:r>
    <w:r>
      <w:rPr>
        <w:rFonts w:ascii="Palatino Linotype" w:hAnsi="Palatino Linotype"/>
      </w:rPr>
      <w:t xml:space="preserve"> </w:t>
    </w:r>
    <w:r w:rsidR="009F3C5F">
      <w:rPr>
        <w:rFonts w:ascii="Palatino Linotype" w:hAnsi="Palatino Linotype"/>
      </w:rPr>
      <w:t>649</w:t>
    </w:r>
    <w:r w:rsidR="00687C6F">
      <w:rPr>
        <w:rFonts w:ascii="Palatino Linotype" w:hAnsi="Palatino Linotype"/>
      </w:rPr>
      <w:t>5</w:t>
    </w:r>
    <w:r w:rsidR="009F3C5F">
      <w:rPr>
        <w:rFonts w:ascii="Palatino Linotype" w:hAnsi="Palatino Linotype"/>
      </w:rPr>
      <w:t>-G, 6496-G, 6645-G, &amp; 6646-G</w:t>
    </w:r>
    <w:r w:rsidR="00565F65">
      <w:rPr>
        <w:rFonts w:ascii="Palatino Linotype" w:hAnsi="Palatino Linotype"/>
      </w:rPr>
      <w:t>/</w:t>
    </w:r>
    <w:r w:rsidR="00CD2149">
      <w:rPr>
        <w:rFonts w:ascii="Palatino Linotype" w:hAnsi="Palatino Linotype"/>
      </w:rPr>
      <w:t>EM9</w:t>
    </w:r>
  </w:p>
  <w:p w14:paraId="7C4115A8" w14:textId="77777777" w:rsidR="00553EF4" w:rsidRPr="00CD2149" w:rsidRDefault="00553EF4" w:rsidP="00705C5B">
    <w:pPr>
      <w:pStyle w:val="Header"/>
      <w:rPr>
        <w:rFonts w:ascii="Palatino Linotype" w:hAnsi="Palatino Linotyp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64652C59" w:rsidR="00750E92" w:rsidRPr="00750E92" w:rsidRDefault="00CA288A" w:rsidP="002E2821">
    <w:pPr>
      <w:pStyle w:val="Header"/>
      <w:rPr>
        <w:rFonts w:ascii="Palatino Linotype" w:hAnsi="Palatino Linotype"/>
      </w:rPr>
    </w:pPr>
    <w:r>
      <w:rPr>
        <w:rFonts w:ascii="Palatino Linotype" w:hAnsi="Palatino Linotype"/>
      </w:rPr>
      <w:tab/>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3FD5" w14:textId="77777777" w:rsidR="000F0EBA" w:rsidRDefault="000F0EBA" w:rsidP="000F0EBA">
    <w:pPr>
      <w:pStyle w:val="Header"/>
      <w:tabs>
        <w:tab w:val="clear" w:pos="4680"/>
        <w:tab w:val="clear" w:pos="9360"/>
        <w:tab w:val="center" w:pos="6210"/>
        <w:tab w:val="right" w:pos="12060"/>
      </w:tabs>
      <w:rPr>
        <w:rFonts w:ascii="Palatino Linotype" w:hAnsi="Palatino Linotype"/>
      </w:rPr>
    </w:pPr>
    <w:r>
      <w:rPr>
        <w:rFonts w:ascii="Palatino Linotype" w:hAnsi="Palatino Linotype"/>
      </w:rPr>
      <w:t xml:space="preserve">ED/Resolution </w:t>
    </w:r>
    <w:r>
      <w:rPr>
        <w:rFonts w:ascii="Palatino Linotype" w:eastAsia="Times New Roman" w:hAnsi="Palatino Linotype" w:cs="Times New Roman"/>
        <w:kern w:val="0"/>
        <w14:ligatures w14:val="none"/>
      </w:rPr>
      <w:t>G-3624</w:t>
    </w:r>
    <w:r>
      <w:rPr>
        <w:rFonts w:ascii="Palatino Linotype" w:hAnsi="Palatino Linotype"/>
      </w:rPr>
      <w:tab/>
      <w:t>DRAFT</w:t>
    </w:r>
    <w:r>
      <w:rPr>
        <w:rFonts w:ascii="Palatino Linotype" w:hAnsi="Palatino Linotype"/>
      </w:rPr>
      <w:tab/>
      <w:t>December 3, 2026</w:t>
    </w:r>
  </w:p>
  <w:p w14:paraId="32DB8A3F" w14:textId="77777777" w:rsidR="000F0EBA" w:rsidRDefault="000F0EBA" w:rsidP="000F0EBA">
    <w:pPr>
      <w:pStyle w:val="Header"/>
      <w:rPr>
        <w:rFonts w:ascii="Palatino Linotype" w:hAnsi="Palatino Linotype"/>
      </w:rPr>
    </w:pPr>
    <w:r>
      <w:rPr>
        <w:rFonts w:ascii="Palatino Linotype" w:hAnsi="Palatino Linotype"/>
      </w:rPr>
      <w:t>SoCalGas ALs 6495-G, 6496-G, 6645-G, &amp; 6646-G/EM9</w:t>
    </w:r>
  </w:p>
  <w:p w14:paraId="62DD53C1" w14:textId="24DC0270" w:rsidR="000F0EBA" w:rsidRPr="000F0EBA" w:rsidRDefault="000F0EBA" w:rsidP="000F0E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1325" w14:textId="7754402E" w:rsidR="00103F17" w:rsidRDefault="00103F17" w:rsidP="00103F17">
    <w:pPr>
      <w:pStyle w:val="Header"/>
      <w:tabs>
        <w:tab w:val="clear" w:pos="4680"/>
        <w:tab w:val="clear" w:pos="9360"/>
        <w:tab w:val="center" w:pos="4320"/>
        <w:tab w:val="right" w:pos="9090"/>
      </w:tabs>
      <w:rPr>
        <w:rFonts w:ascii="Palatino Linotype" w:hAnsi="Palatino Linotype"/>
      </w:rPr>
    </w:pPr>
    <w:r>
      <w:rPr>
        <w:rFonts w:ascii="Palatino Linotype" w:hAnsi="Palatino Linotype"/>
      </w:rPr>
      <w:t xml:space="preserve">ED/Resolution </w:t>
    </w:r>
    <w:r>
      <w:rPr>
        <w:rFonts w:ascii="Palatino Linotype" w:eastAsia="Times New Roman" w:hAnsi="Palatino Linotype" w:cs="Times New Roman"/>
        <w:kern w:val="0"/>
        <w14:ligatures w14:val="none"/>
      </w:rPr>
      <w:t>G-3624</w:t>
    </w:r>
    <w:r>
      <w:rPr>
        <w:rFonts w:ascii="Palatino Linotype" w:hAnsi="Palatino Linotype"/>
      </w:rPr>
      <w:tab/>
      <w:t>DRAFT</w:t>
    </w:r>
    <w:r>
      <w:rPr>
        <w:rFonts w:ascii="Palatino Linotype" w:hAnsi="Palatino Linotype"/>
      </w:rPr>
      <w:tab/>
      <w:t>December 3, 2026</w:t>
    </w:r>
  </w:p>
  <w:p w14:paraId="4D2B6EBF" w14:textId="77777777" w:rsidR="00103F17" w:rsidRDefault="00103F17" w:rsidP="000F0EBA">
    <w:pPr>
      <w:pStyle w:val="Header"/>
      <w:rPr>
        <w:rFonts w:ascii="Palatino Linotype" w:hAnsi="Palatino Linotype"/>
      </w:rPr>
    </w:pPr>
    <w:r>
      <w:rPr>
        <w:rFonts w:ascii="Palatino Linotype" w:hAnsi="Palatino Linotype"/>
      </w:rPr>
      <w:t>SoCalGas ALs 6495-G, 6496-G, 6645-G, &amp; 6646-G/EM9</w:t>
    </w:r>
  </w:p>
  <w:p w14:paraId="16447C6A" w14:textId="77777777" w:rsidR="00103F17" w:rsidRPr="000F0EBA" w:rsidRDefault="00103F17" w:rsidP="000F0E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F037E0" w14:paraId="5A5D331F" w14:textId="77777777">
      <w:trPr>
        <w:trHeight w:val="300"/>
      </w:trPr>
      <w:tc>
        <w:tcPr>
          <w:tcW w:w="3120" w:type="dxa"/>
        </w:tcPr>
        <w:p w14:paraId="0EBC30F6" w14:textId="77777777" w:rsidR="00F037E0" w:rsidRDefault="00F037E0">
          <w:pPr>
            <w:pStyle w:val="Header"/>
            <w:ind w:left="-115"/>
          </w:pPr>
        </w:p>
      </w:tc>
      <w:tc>
        <w:tcPr>
          <w:tcW w:w="3120" w:type="dxa"/>
        </w:tcPr>
        <w:p w14:paraId="64AF0064" w14:textId="77777777" w:rsidR="00F037E0" w:rsidRDefault="00F037E0">
          <w:pPr>
            <w:pStyle w:val="Header"/>
            <w:jc w:val="center"/>
          </w:pPr>
        </w:p>
      </w:tc>
      <w:tc>
        <w:tcPr>
          <w:tcW w:w="3120" w:type="dxa"/>
        </w:tcPr>
        <w:p w14:paraId="28AEF0EB" w14:textId="77777777" w:rsidR="00F037E0" w:rsidRDefault="00F037E0">
          <w:pPr>
            <w:pStyle w:val="Header"/>
            <w:ind w:right="-115"/>
            <w:jc w:val="right"/>
          </w:pPr>
        </w:p>
      </w:tc>
    </w:tr>
  </w:tbl>
  <w:p w14:paraId="447F1E9A" w14:textId="77777777" w:rsidR="00F037E0" w:rsidRDefault="00F037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D585" w14:textId="77777777" w:rsidR="006054ED" w:rsidRDefault="006054ED" w:rsidP="006054ED">
    <w:pPr>
      <w:pStyle w:val="Header"/>
      <w:tabs>
        <w:tab w:val="clear" w:pos="4680"/>
        <w:tab w:val="clear" w:pos="9360"/>
        <w:tab w:val="center" w:pos="4320"/>
        <w:tab w:val="right" w:pos="9090"/>
      </w:tabs>
      <w:rPr>
        <w:rFonts w:ascii="Palatino Linotype" w:hAnsi="Palatino Linotype"/>
      </w:rPr>
    </w:pPr>
    <w:r>
      <w:rPr>
        <w:rFonts w:ascii="Palatino Linotype" w:hAnsi="Palatino Linotype"/>
      </w:rPr>
      <w:t xml:space="preserve">ED/Resolution </w:t>
    </w:r>
    <w:r>
      <w:rPr>
        <w:rFonts w:ascii="Palatino Linotype" w:eastAsia="Times New Roman" w:hAnsi="Palatino Linotype" w:cs="Times New Roman"/>
        <w:kern w:val="0"/>
        <w14:ligatures w14:val="none"/>
      </w:rPr>
      <w:t>G-3624</w:t>
    </w:r>
    <w:r>
      <w:rPr>
        <w:rFonts w:ascii="Palatino Linotype" w:hAnsi="Palatino Linotype"/>
      </w:rPr>
      <w:tab/>
      <w:t>DRAFT</w:t>
    </w:r>
    <w:r>
      <w:rPr>
        <w:rFonts w:ascii="Palatino Linotype" w:hAnsi="Palatino Linotype"/>
      </w:rPr>
      <w:tab/>
      <w:t>December 3, 2026</w:t>
    </w:r>
  </w:p>
  <w:p w14:paraId="1D23FDB3" w14:textId="77777777" w:rsidR="006054ED" w:rsidRDefault="006054ED" w:rsidP="006054ED">
    <w:pPr>
      <w:pStyle w:val="Header"/>
      <w:rPr>
        <w:rFonts w:ascii="Palatino Linotype" w:hAnsi="Palatino Linotype"/>
      </w:rPr>
    </w:pPr>
    <w:r>
      <w:rPr>
        <w:rFonts w:ascii="Palatino Linotype" w:hAnsi="Palatino Linotype"/>
      </w:rPr>
      <w:t>SoCalGas ALs 6495-G, 6496-G, 6645-G, &amp; 6646-G/EM9</w:t>
    </w:r>
  </w:p>
  <w:p w14:paraId="07358838" w14:textId="77777777" w:rsidR="006054ED" w:rsidRDefault="006054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7104" w14:textId="77777777" w:rsidR="00A86FDB" w:rsidRDefault="00A86FDB" w:rsidP="00A86FDB">
    <w:pPr>
      <w:pStyle w:val="Header"/>
      <w:tabs>
        <w:tab w:val="clear" w:pos="4680"/>
        <w:tab w:val="clear" w:pos="9360"/>
        <w:tab w:val="center" w:pos="6480"/>
        <w:tab w:val="right" w:pos="13500"/>
      </w:tabs>
      <w:rPr>
        <w:rFonts w:ascii="Palatino Linotype" w:hAnsi="Palatino Linotype"/>
      </w:rPr>
    </w:pPr>
    <w:r>
      <w:rPr>
        <w:rFonts w:ascii="Palatino Linotype" w:hAnsi="Palatino Linotype"/>
      </w:rPr>
      <w:t xml:space="preserve">ED/Resolution </w:t>
    </w:r>
    <w:r>
      <w:rPr>
        <w:rFonts w:ascii="Palatino Linotype" w:eastAsia="Times New Roman" w:hAnsi="Palatino Linotype" w:cs="Times New Roman"/>
        <w:kern w:val="0"/>
        <w14:ligatures w14:val="none"/>
      </w:rPr>
      <w:t>G-3624</w:t>
    </w:r>
    <w:r>
      <w:rPr>
        <w:rFonts w:ascii="Palatino Linotype" w:hAnsi="Palatino Linotype"/>
      </w:rPr>
      <w:tab/>
      <w:t>DRAFT</w:t>
    </w:r>
    <w:r>
      <w:rPr>
        <w:rFonts w:ascii="Palatino Linotype" w:hAnsi="Palatino Linotype"/>
      </w:rPr>
      <w:tab/>
      <w:t>December 3, 2026</w:t>
    </w:r>
  </w:p>
  <w:p w14:paraId="7606A48E" w14:textId="77777777" w:rsidR="00A86FDB" w:rsidRDefault="00A86FDB" w:rsidP="00A86FDB">
    <w:pPr>
      <w:pStyle w:val="Header"/>
      <w:rPr>
        <w:rFonts w:ascii="Palatino Linotype" w:hAnsi="Palatino Linotype"/>
      </w:rPr>
    </w:pPr>
    <w:r>
      <w:rPr>
        <w:rFonts w:ascii="Palatino Linotype" w:hAnsi="Palatino Linotype"/>
      </w:rPr>
      <w:t>SoCalGas ALs 6495-G, 6496-G, 6645-G, &amp; 6646-G/EM9</w:t>
    </w:r>
  </w:p>
  <w:p w14:paraId="1B859C9B" w14:textId="77777777" w:rsidR="009346A8" w:rsidRDefault="009346A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DA37" w14:textId="77777777" w:rsidR="00063FD3" w:rsidRDefault="00063FD3" w:rsidP="00063FD3">
    <w:pPr>
      <w:pStyle w:val="Header"/>
      <w:tabs>
        <w:tab w:val="clear" w:pos="4680"/>
        <w:tab w:val="clear" w:pos="9360"/>
        <w:tab w:val="center" w:pos="6480"/>
        <w:tab w:val="right" w:pos="13500"/>
      </w:tabs>
      <w:rPr>
        <w:rFonts w:ascii="Palatino Linotype" w:hAnsi="Palatino Linotype"/>
      </w:rPr>
    </w:pPr>
    <w:r>
      <w:rPr>
        <w:rFonts w:ascii="Palatino Linotype" w:hAnsi="Palatino Linotype"/>
      </w:rPr>
      <w:t xml:space="preserve">ED/Resolution </w:t>
    </w:r>
    <w:r>
      <w:rPr>
        <w:rFonts w:ascii="Palatino Linotype" w:eastAsia="Times New Roman" w:hAnsi="Palatino Linotype" w:cs="Times New Roman"/>
        <w:kern w:val="0"/>
        <w14:ligatures w14:val="none"/>
      </w:rPr>
      <w:t>G-3624</w:t>
    </w:r>
    <w:r>
      <w:rPr>
        <w:rFonts w:ascii="Palatino Linotype" w:hAnsi="Palatino Linotype"/>
      </w:rPr>
      <w:tab/>
      <w:t>DRAFT</w:t>
    </w:r>
    <w:r>
      <w:rPr>
        <w:rFonts w:ascii="Palatino Linotype" w:hAnsi="Palatino Linotype"/>
      </w:rPr>
      <w:tab/>
      <w:t>December 3, 2026</w:t>
    </w:r>
  </w:p>
  <w:p w14:paraId="174D5357" w14:textId="77777777" w:rsidR="00063FD3" w:rsidRDefault="00063FD3" w:rsidP="000F0EBA">
    <w:pPr>
      <w:pStyle w:val="Header"/>
      <w:rPr>
        <w:rFonts w:ascii="Palatino Linotype" w:hAnsi="Palatino Linotype"/>
      </w:rPr>
    </w:pPr>
    <w:r>
      <w:rPr>
        <w:rFonts w:ascii="Palatino Linotype" w:hAnsi="Palatino Linotype"/>
      </w:rPr>
      <w:t>SoCalGas ALs 6495-G, 6496-G, 6645-G, &amp; 6646-G/EM9</w:t>
    </w:r>
  </w:p>
  <w:p w14:paraId="0C82DE8A" w14:textId="77777777" w:rsidR="00063FD3" w:rsidRPr="000F0EBA" w:rsidRDefault="00063FD3" w:rsidP="000F0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42D"/>
    <w:multiLevelType w:val="hybridMultilevel"/>
    <w:tmpl w:val="F13E91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D70B68"/>
    <w:multiLevelType w:val="hybridMultilevel"/>
    <w:tmpl w:val="FFFFFFFF"/>
    <w:lvl w:ilvl="0" w:tplc="054A53AE">
      <w:start w:val="1"/>
      <w:numFmt w:val="bullet"/>
      <w:lvlText w:val="·"/>
      <w:lvlJc w:val="left"/>
      <w:pPr>
        <w:ind w:left="720" w:hanging="360"/>
      </w:pPr>
      <w:rPr>
        <w:rFonts w:ascii="Symbol" w:hAnsi="Symbol" w:hint="default"/>
      </w:rPr>
    </w:lvl>
    <w:lvl w:ilvl="1" w:tplc="ADBC8F0A">
      <w:start w:val="1"/>
      <w:numFmt w:val="bullet"/>
      <w:lvlText w:val="o"/>
      <w:lvlJc w:val="left"/>
      <w:pPr>
        <w:ind w:left="1440" w:hanging="360"/>
      </w:pPr>
      <w:rPr>
        <w:rFonts w:ascii="Courier New" w:hAnsi="Courier New" w:hint="default"/>
      </w:rPr>
    </w:lvl>
    <w:lvl w:ilvl="2" w:tplc="E5CA3178">
      <w:start w:val="1"/>
      <w:numFmt w:val="bullet"/>
      <w:lvlText w:val=""/>
      <w:lvlJc w:val="left"/>
      <w:pPr>
        <w:ind w:left="2160" w:hanging="360"/>
      </w:pPr>
      <w:rPr>
        <w:rFonts w:ascii="Wingdings" w:hAnsi="Wingdings" w:hint="default"/>
      </w:rPr>
    </w:lvl>
    <w:lvl w:ilvl="3" w:tplc="2C2E3928">
      <w:start w:val="1"/>
      <w:numFmt w:val="bullet"/>
      <w:lvlText w:val=""/>
      <w:lvlJc w:val="left"/>
      <w:pPr>
        <w:ind w:left="2880" w:hanging="360"/>
      </w:pPr>
      <w:rPr>
        <w:rFonts w:ascii="Symbol" w:hAnsi="Symbol" w:hint="default"/>
      </w:rPr>
    </w:lvl>
    <w:lvl w:ilvl="4" w:tplc="04242F1A">
      <w:start w:val="1"/>
      <w:numFmt w:val="bullet"/>
      <w:lvlText w:val="o"/>
      <w:lvlJc w:val="left"/>
      <w:pPr>
        <w:ind w:left="3600" w:hanging="360"/>
      </w:pPr>
      <w:rPr>
        <w:rFonts w:ascii="Courier New" w:hAnsi="Courier New" w:hint="default"/>
      </w:rPr>
    </w:lvl>
    <w:lvl w:ilvl="5" w:tplc="5C022C12">
      <w:start w:val="1"/>
      <w:numFmt w:val="bullet"/>
      <w:lvlText w:val=""/>
      <w:lvlJc w:val="left"/>
      <w:pPr>
        <w:ind w:left="4320" w:hanging="360"/>
      </w:pPr>
      <w:rPr>
        <w:rFonts w:ascii="Wingdings" w:hAnsi="Wingdings" w:hint="default"/>
      </w:rPr>
    </w:lvl>
    <w:lvl w:ilvl="6" w:tplc="0BA2AE74">
      <w:start w:val="1"/>
      <w:numFmt w:val="bullet"/>
      <w:lvlText w:val=""/>
      <w:lvlJc w:val="left"/>
      <w:pPr>
        <w:ind w:left="5040" w:hanging="360"/>
      </w:pPr>
      <w:rPr>
        <w:rFonts w:ascii="Symbol" w:hAnsi="Symbol" w:hint="default"/>
      </w:rPr>
    </w:lvl>
    <w:lvl w:ilvl="7" w:tplc="4D8676DC">
      <w:start w:val="1"/>
      <w:numFmt w:val="bullet"/>
      <w:lvlText w:val="o"/>
      <w:lvlJc w:val="left"/>
      <w:pPr>
        <w:ind w:left="5760" w:hanging="360"/>
      </w:pPr>
      <w:rPr>
        <w:rFonts w:ascii="Courier New" w:hAnsi="Courier New" w:hint="default"/>
      </w:rPr>
    </w:lvl>
    <w:lvl w:ilvl="8" w:tplc="52D65BAE">
      <w:start w:val="1"/>
      <w:numFmt w:val="bullet"/>
      <w:lvlText w:val=""/>
      <w:lvlJc w:val="left"/>
      <w:pPr>
        <w:ind w:left="6480" w:hanging="360"/>
      </w:pPr>
      <w:rPr>
        <w:rFonts w:ascii="Wingdings" w:hAnsi="Wingdings" w:hint="default"/>
      </w:rPr>
    </w:lvl>
  </w:abstractNum>
  <w:abstractNum w:abstractNumId="2" w15:restartNumberingAfterBreak="0">
    <w:nsid w:val="017D4406"/>
    <w:multiLevelType w:val="hybridMultilevel"/>
    <w:tmpl w:val="990E38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1874427"/>
    <w:multiLevelType w:val="hybridMultilevel"/>
    <w:tmpl w:val="075803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0C15F5"/>
    <w:multiLevelType w:val="hybridMultilevel"/>
    <w:tmpl w:val="0E02A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31F759A"/>
    <w:multiLevelType w:val="multilevel"/>
    <w:tmpl w:val="D4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D464A0"/>
    <w:multiLevelType w:val="multilevel"/>
    <w:tmpl w:val="550ADD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0839E5D5"/>
    <w:multiLevelType w:val="hybridMultilevel"/>
    <w:tmpl w:val="FFFFFFFF"/>
    <w:lvl w:ilvl="0" w:tplc="828EF7D8">
      <w:start w:val="1"/>
      <w:numFmt w:val="bullet"/>
      <w:lvlText w:val="·"/>
      <w:lvlJc w:val="left"/>
      <w:pPr>
        <w:ind w:left="720" w:hanging="360"/>
      </w:pPr>
      <w:rPr>
        <w:rFonts w:ascii="Symbol" w:hAnsi="Symbol" w:hint="default"/>
      </w:rPr>
    </w:lvl>
    <w:lvl w:ilvl="1" w:tplc="DB9EC606">
      <w:start w:val="1"/>
      <w:numFmt w:val="bullet"/>
      <w:lvlText w:val="o"/>
      <w:lvlJc w:val="left"/>
      <w:pPr>
        <w:ind w:left="1440" w:hanging="360"/>
      </w:pPr>
      <w:rPr>
        <w:rFonts w:ascii="Courier New" w:hAnsi="Courier New" w:hint="default"/>
      </w:rPr>
    </w:lvl>
    <w:lvl w:ilvl="2" w:tplc="8A322C2A">
      <w:start w:val="1"/>
      <w:numFmt w:val="bullet"/>
      <w:lvlText w:val=""/>
      <w:lvlJc w:val="left"/>
      <w:pPr>
        <w:ind w:left="2160" w:hanging="360"/>
      </w:pPr>
      <w:rPr>
        <w:rFonts w:ascii="Wingdings" w:hAnsi="Wingdings" w:hint="default"/>
      </w:rPr>
    </w:lvl>
    <w:lvl w:ilvl="3" w:tplc="A09400B0">
      <w:start w:val="1"/>
      <w:numFmt w:val="bullet"/>
      <w:lvlText w:val=""/>
      <w:lvlJc w:val="left"/>
      <w:pPr>
        <w:ind w:left="2880" w:hanging="360"/>
      </w:pPr>
      <w:rPr>
        <w:rFonts w:ascii="Symbol" w:hAnsi="Symbol" w:hint="default"/>
      </w:rPr>
    </w:lvl>
    <w:lvl w:ilvl="4" w:tplc="AA9A4946">
      <w:start w:val="1"/>
      <w:numFmt w:val="bullet"/>
      <w:lvlText w:val="o"/>
      <w:lvlJc w:val="left"/>
      <w:pPr>
        <w:ind w:left="3600" w:hanging="360"/>
      </w:pPr>
      <w:rPr>
        <w:rFonts w:ascii="Courier New" w:hAnsi="Courier New" w:hint="default"/>
      </w:rPr>
    </w:lvl>
    <w:lvl w:ilvl="5" w:tplc="586EF306">
      <w:start w:val="1"/>
      <w:numFmt w:val="bullet"/>
      <w:lvlText w:val=""/>
      <w:lvlJc w:val="left"/>
      <w:pPr>
        <w:ind w:left="4320" w:hanging="360"/>
      </w:pPr>
      <w:rPr>
        <w:rFonts w:ascii="Wingdings" w:hAnsi="Wingdings" w:hint="default"/>
      </w:rPr>
    </w:lvl>
    <w:lvl w:ilvl="6" w:tplc="D50498D0">
      <w:start w:val="1"/>
      <w:numFmt w:val="bullet"/>
      <w:lvlText w:val=""/>
      <w:lvlJc w:val="left"/>
      <w:pPr>
        <w:ind w:left="5040" w:hanging="360"/>
      </w:pPr>
      <w:rPr>
        <w:rFonts w:ascii="Symbol" w:hAnsi="Symbol" w:hint="default"/>
      </w:rPr>
    </w:lvl>
    <w:lvl w:ilvl="7" w:tplc="D182E722">
      <w:start w:val="1"/>
      <w:numFmt w:val="bullet"/>
      <w:lvlText w:val="o"/>
      <w:lvlJc w:val="left"/>
      <w:pPr>
        <w:ind w:left="5760" w:hanging="360"/>
      </w:pPr>
      <w:rPr>
        <w:rFonts w:ascii="Courier New" w:hAnsi="Courier New" w:hint="default"/>
      </w:rPr>
    </w:lvl>
    <w:lvl w:ilvl="8" w:tplc="94667DF6">
      <w:start w:val="1"/>
      <w:numFmt w:val="bullet"/>
      <w:lvlText w:val=""/>
      <w:lvlJc w:val="left"/>
      <w:pPr>
        <w:ind w:left="6480" w:hanging="360"/>
      </w:pPr>
      <w:rPr>
        <w:rFonts w:ascii="Wingdings" w:hAnsi="Wingdings" w:hint="default"/>
      </w:rPr>
    </w:lvl>
  </w:abstractNum>
  <w:abstractNum w:abstractNumId="8" w15:restartNumberingAfterBreak="0">
    <w:nsid w:val="094124E4"/>
    <w:multiLevelType w:val="multilevel"/>
    <w:tmpl w:val="D0FC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B9B864"/>
    <w:multiLevelType w:val="hybridMultilevel"/>
    <w:tmpl w:val="99B4F558"/>
    <w:lvl w:ilvl="0" w:tplc="C3169418">
      <w:start w:val="1"/>
      <w:numFmt w:val="bullet"/>
      <w:lvlText w:val="·"/>
      <w:lvlJc w:val="left"/>
      <w:pPr>
        <w:ind w:left="720" w:hanging="360"/>
      </w:pPr>
      <w:rPr>
        <w:rFonts w:ascii="Symbol" w:hAnsi="Symbol" w:hint="default"/>
      </w:rPr>
    </w:lvl>
    <w:lvl w:ilvl="1" w:tplc="06E4CB28">
      <w:start w:val="1"/>
      <w:numFmt w:val="bullet"/>
      <w:lvlText w:val="o"/>
      <w:lvlJc w:val="left"/>
      <w:pPr>
        <w:ind w:left="1440" w:hanging="360"/>
      </w:pPr>
      <w:rPr>
        <w:rFonts w:ascii="Symbol" w:hAnsi="Symbol" w:hint="default"/>
      </w:rPr>
    </w:lvl>
    <w:lvl w:ilvl="2" w:tplc="551A4724">
      <w:start w:val="1"/>
      <w:numFmt w:val="bullet"/>
      <w:lvlText w:val=""/>
      <w:lvlJc w:val="left"/>
      <w:pPr>
        <w:ind w:left="2160" w:hanging="360"/>
      </w:pPr>
      <w:rPr>
        <w:rFonts w:ascii="Wingdings" w:hAnsi="Wingdings" w:hint="default"/>
      </w:rPr>
    </w:lvl>
    <w:lvl w:ilvl="3" w:tplc="7C986D74">
      <w:start w:val="1"/>
      <w:numFmt w:val="bullet"/>
      <w:lvlText w:val=""/>
      <w:lvlJc w:val="left"/>
      <w:pPr>
        <w:ind w:left="2880" w:hanging="360"/>
      </w:pPr>
      <w:rPr>
        <w:rFonts w:ascii="Symbol" w:hAnsi="Symbol" w:hint="default"/>
      </w:rPr>
    </w:lvl>
    <w:lvl w:ilvl="4" w:tplc="85FCB418">
      <w:start w:val="1"/>
      <w:numFmt w:val="bullet"/>
      <w:lvlText w:val="o"/>
      <w:lvlJc w:val="left"/>
      <w:pPr>
        <w:ind w:left="3600" w:hanging="360"/>
      </w:pPr>
      <w:rPr>
        <w:rFonts w:ascii="Courier New" w:hAnsi="Courier New" w:hint="default"/>
      </w:rPr>
    </w:lvl>
    <w:lvl w:ilvl="5" w:tplc="6BF05E4E">
      <w:start w:val="1"/>
      <w:numFmt w:val="bullet"/>
      <w:lvlText w:val=""/>
      <w:lvlJc w:val="left"/>
      <w:pPr>
        <w:ind w:left="4320" w:hanging="360"/>
      </w:pPr>
      <w:rPr>
        <w:rFonts w:ascii="Wingdings" w:hAnsi="Wingdings" w:hint="default"/>
      </w:rPr>
    </w:lvl>
    <w:lvl w:ilvl="6" w:tplc="63FAC234">
      <w:start w:val="1"/>
      <w:numFmt w:val="bullet"/>
      <w:lvlText w:val=""/>
      <w:lvlJc w:val="left"/>
      <w:pPr>
        <w:ind w:left="5040" w:hanging="360"/>
      </w:pPr>
      <w:rPr>
        <w:rFonts w:ascii="Symbol" w:hAnsi="Symbol" w:hint="default"/>
      </w:rPr>
    </w:lvl>
    <w:lvl w:ilvl="7" w:tplc="C9F075BA">
      <w:start w:val="1"/>
      <w:numFmt w:val="bullet"/>
      <w:lvlText w:val="o"/>
      <w:lvlJc w:val="left"/>
      <w:pPr>
        <w:ind w:left="5760" w:hanging="360"/>
      </w:pPr>
      <w:rPr>
        <w:rFonts w:ascii="Courier New" w:hAnsi="Courier New" w:hint="default"/>
      </w:rPr>
    </w:lvl>
    <w:lvl w:ilvl="8" w:tplc="BFF25B0A">
      <w:start w:val="1"/>
      <w:numFmt w:val="bullet"/>
      <w:lvlText w:val=""/>
      <w:lvlJc w:val="left"/>
      <w:pPr>
        <w:ind w:left="6480" w:hanging="360"/>
      </w:pPr>
      <w:rPr>
        <w:rFonts w:ascii="Wingdings" w:hAnsi="Wingdings" w:hint="default"/>
      </w:rPr>
    </w:lvl>
  </w:abstractNum>
  <w:abstractNum w:abstractNumId="10" w15:restartNumberingAfterBreak="0">
    <w:nsid w:val="0C553FAE"/>
    <w:multiLevelType w:val="hybridMultilevel"/>
    <w:tmpl w:val="68E47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E11504A"/>
    <w:multiLevelType w:val="hybridMultilevel"/>
    <w:tmpl w:val="F23C6C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F817C82"/>
    <w:multiLevelType w:val="hybridMultilevel"/>
    <w:tmpl w:val="BEC89F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2A907E7"/>
    <w:multiLevelType w:val="multilevel"/>
    <w:tmpl w:val="8EDE7F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3763D6F"/>
    <w:multiLevelType w:val="multilevel"/>
    <w:tmpl w:val="0694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3FC59C3"/>
    <w:multiLevelType w:val="multilevel"/>
    <w:tmpl w:val="AF025D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6920A2B"/>
    <w:multiLevelType w:val="hybridMultilevel"/>
    <w:tmpl w:val="A132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0794F6"/>
    <w:multiLevelType w:val="hybridMultilevel"/>
    <w:tmpl w:val="77C40F34"/>
    <w:lvl w:ilvl="0" w:tplc="C3204972">
      <w:start w:val="1"/>
      <w:numFmt w:val="bullet"/>
      <w:lvlText w:val="·"/>
      <w:lvlJc w:val="left"/>
      <w:pPr>
        <w:ind w:left="720" w:hanging="360"/>
      </w:pPr>
      <w:rPr>
        <w:rFonts w:ascii="Symbol" w:hAnsi="Symbol" w:hint="default"/>
      </w:rPr>
    </w:lvl>
    <w:lvl w:ilvl="1" w:tplc="2E28FB92">
      <w:start w:val="1"/>
      <w:numFmt w:val="bullet"/>
      <w:lvlText w:val="o"/>
      <w:lvlJc w:val="left"/>
      <w:pPr>
        <w:ind w:left="1440" w:hanging="360"/>
      </w:pPr>
      <w:rPr>
        <w:rFonts w:ascii="Courier New" w:hAnsi="Courier New" w:hint="default"/>
      </w:rPr>
    </w:lvl>
    <w:lvl w:ilvl="2" w:tplc="DBE0C2C4">
      <w:start w:val="1"/>
      <w:numFmt w:val="bullet"/>
      <w:lvlText w:val=""/>
      <w:lvlJc w:val="left"/>
      <w:pPr>
        <w:ind w:left="2160" w:hanging="360"/>
      </w:pPr>
      <w:rPr>
        <w:rFonts w:ascii="Wingdings" w:hAnsi="Wingdings" w:hint="default"/>
      </w:rPr>
    </w:lvl>
    <w:lvl w:ilvl="3" w:tplc="5C161D42">
      <w:start w:val="1"/>
      <w:numFmt w:val="bullet"/>
      <w:lvlText w:val=""/>
      <w:lvlJc w:val="left"/>
      <w:pPr>
        <w:ind w:left="2880" w:hanging="360"/>
      </w:pPr>
      <w:rPr>
        <w:rFonts w:ascii="Symbol" w:hAnsi="Symbol" w:hint="default"/>
      </w:rPr>
    </w:lvl>
    <w:lvl w:ilvl="4" w:tplc="DA4C3806">
      <w:start w:val="1"/>
      <w:numFmt w:val="bullet"/>
      <w:lvlText w:val="o"/>
      <w:lvlJc w:val="left"/>
      <w:pPr>
        <w:ind w:left="3600" w:hanging="360"/>
      </w:pPr>
      <w:rPr>
        <w:rFonts w:ascii="Courier New" w:hAnsi="Courier New" w:hint="default"/>
      </w:rPr>
    </w:lvl>
    <w:lvl w:ilvl="5" w:tplc="B4D28C2C">
      <w:start w:val="1"/>
      <w:numFmt w:val="bullet"/>
      <w:lvlText w:val=""/>
      <w:lvlJc w:val="left"/>
      <w:pPr>
        <w:ind w:left="4320" w:hanging="360"/>
      </w:pPr>
      <w:rPr>
        <w:rFonts w:ascii="Wingdings" w:hAnsi="Wingdings" w:hint="default"/>
      </w:rPr>
    </w:lvl>
    <w:lvl w:ilvl="6" w:tplc="F11EA7A4">
      <w:start w:val="1"/>
      <w:numFmt w:val="bullet"/>
      <w:lvlText w:val=""/>
      <w:lvlJc w:val="left"/>
      <w:pPr>
        <w:ind w:left="5040" w:hanging="360"/>
      </w:pPr>
      <w:rPr>
        <w:rFonts w:ascii="Symbol" w:hAnsi="Symbol" w:hint="default"/>
      </w:rPr>
    </w:lvl>
    <w:lvl w:ilvl="7" w:tplc="B41E5B1A">
      <w:start w:val="1"/>
      <w:numFmt w:val="bullet"/>
      <w:lvlText w:val="o"/>
      <w:lvlJc w:val="left"/>
      <w:pPr>
        <w:ind w:left="5760" w:hanging="360"/>
      </w:pPr>
      <w:rPr>
        <w:rFonts w:ascii="Courier New" w:hAnsi="Courier New" w:hint="default"/>
      </w:rPr>
    </w:lvl>
    <w:lvl w:ilvl="8" w:tplc="7AA0BED4">
      <w:start w:val="1"/>
      <w:numFmt w:val="bullet"/>
      <w:lvlText w:val=""/>
      <w:lvlJc w:val="left"/>
      <w:pPr>
        <w:ind w:left="6480" w:hanging="360"/>
      </w:pPr>
      <w:rPr>
        <w:rFonts w:ascii="Wingdings" w:hAnsi="Wingdings" w:hint="default"/>
      </w:rPr>
    </w:lvl>
  </w:abstractNum>
  <w:abstractNum w:abstractNumId="18" w15:restartNumberingAfterBreak="0">
    <w:nsid w:val="170C64EB"/>
    <w:multiLevelType w:val="multilevel"/>
    <w:tmpl w:val="BC2EC9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174E397E"/>
    <w:multiLevelType w:val="multilevel"/>
    <w:tmpl w:val="C6380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812C139"/>
    <w:multiLevelType w:val="hybridMultilevel"/>
    <w:tmpl w:val="FFFFFFFF"/>
    <w:lvl w:ilvl="0" w:tplc="2CC87478">
      <w:start w:val="1"/>
      <w:numFmt w:val="bullet"/>
      <w:lvlText w:val=""/>
      <w:lvlJc w:val="left"/>
      <w:pPr>
        <w:ind w:left="1080" w:hanging="360"/>
      </w:pPr>
      <w:rPr>
        <w:rFonts w:ascii="Symbol" w:hAnsi="Symbol" w:hint="default"/>
      </w:rPr>
    </w:lvl>
    <w:lvl w:ilvl="1" w:tplc="BA42FF4A">
      <w:start w:val="1"/>
      <w:numFmt w:val="bullet"/>
      <w:lvlText w:val="o"/>
      <w:lvlJc w:val="left"/>
      <w:pPr>
        <w:ind w:left="1440" w:hanging="360"/>
      </w:pPr>
      <w:rPr>
        <w:rFonts w:ascii="Courier New" w:hAnsi="Courier New" w:hint="default"/>
      </w:rPr>
    </w:lvl>
    <w:lvl w:ilvl="2" w:tplc="7E3A008E">
      <w:start w:val="1"/>
      <w:numFmt w:val="bullet"/>
      <w:lvlText w:val=""/>
      <w:lvlJc w:val="left"/>
      <w:pPr>
        <w:ind w:left="2160" w:hanging="360"/>
      </w:pPr>
      <w:rPr>
        <w:rFonts w:ascii="Wingdings" w:hAnsi="Wingdings" w:hint="default"/>
      </w:rPr>
    </w:lvl>
    <w:lvl w:ilvl="3" w:tplc="9D8CA160">
      <w:start w:val="1"/>
      <w:numFmt w:val="bullet"/>
      <w:lvlText w:val=""/>
      <w:lvlJc w:val="left"/>
      <w:pPr>
        <w:ind w:left="2880" w:hanging="360"/>
      </w:pPr>
      <w:rPr>
        <w:rFonts w:ascii="Symbol" w:hAnsi="Symbol" w:hint="default"/>
      </w:rPr>
    </w:lvl>
    <w:lvl w:ilvl="4" w:tplc="79E6FC80">
      <w:start w:val="1"/>
      <w:numFmt w:val="bullet"/>
      <w:lvlText w:val="o"/>
      <w:lvlJc w:val="left"/>
      <w:pPr>
        <w:ind w:left="3600" w:hanging="360"/>
      </w:pPr>
      <w:rPr>
        <w:rFonts w:ascii="Courier New" w:hAnsi="Courier New" w:hint="default"/>
      </w:rPr>
    </w:lvl>
    <w:lvl w:ilvl="5" w:tplc="62A6DE84">
      <w:start w:val="1"/>
      <w:numFmt w:val="bullet"/>
      <w:lvlText w:val=""/>
      <w:lvlJc w:val="left"/>
      <w:pPr>
        <w:ind w:left="4320" w:hanging="360"/>
      </w:pPr>
      <w:rPr>
        <w:rFonts w:ascii="Wingdings" w:hAnsi="Wingdings" w:hint="default"/>
      </w:rPr>
    </w:lvl>
    <w:lvl w:ilvl="6" w:tplc="2072377C">
      <w:start w:val="1"/>
      <w:numFmt w:val="bullet"/>
      <w:lvlText w:val=""/>
      <w:lvlJc w:val="left"/>
      <w:pPr>
        <w:ind w:left="5040" w:hanging="360"/>
      </w:pPr>
      <w:rPr>
        <w:rFonts w:ascii="Symbol" w:hAnsi="Symbol" w:hint="default"/>
      </w:rPr>
    </w:lvl>
    <w:lvl w:ilvl="7" w:tplc="D7F2EC02">
      <w:start w:val="1"/>
      <w:numFmt w:val="bullet"/>
      <w:lvlText w:val="o"/>
      <w:lvlJc w:val="left"/>
      <w:pPr>
        <w:ind w:left="5760" w:hanging="360"/>
      </w:pPr>
      <w:rPr>
        <w:rFonts w:ascii="Courier New" w:hAnsi="Courier New" w:hint="default"/>
      </w:rPr>
    </w:lvl>
    <w:lvl w:ilvl="8" w:tplc="88BE7672">
      <w:start w:val="1"/>
      <w:numFmt w:val="bullet"/>
      <w:lvlText w:val=""/>
      <w:lvlJc w:val="left"/>
      <w:pPr>
        <w:ind w:left="6480" w:hanging="360"/>
      </w:pPr>
      <w:rPr>
        <w:rFonts w:ascii="Wingdings" w:hAnsi="Wingdings" w:hint="default"/>
      </w:rPr>
    </w:lvl>
  </w:abstractNum>
  <w:abstractNum w:abstractNumId="21" w15:restartNumberingAfterBreak="0">
    <w:nsid w:val="18C322E6"/>
    <w:multiLevelType w:val="hybridMultilevel"/>
    <w:tmpl w:val="E8407CA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1C0B0EAC"/>
    <w:multiLevelType w:val="hybridMultilevel"/>
    <w:tmpl w:val="0D5CD0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DCF41EC"/>
    <w:multiLevelType w:val="multilevel"/>
    <w:tmpl w:val="55A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E165A42"/>
    <w:multiLevelType w:val="multilevel"/>
    <w:tmpl w:val="E09A2E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1EEB30C3"/>
    <w:multiLevelType w:val="hybridMultilevel"/>
    <w:tmpl w:val="30966D9A"/>
    <w:lvl w:ilvl="0" w:tplc="161C9C3A">
      <w:start w:val="1"/>
      <w:numFmt w:val="bullet"/>
      <w:lvlText w:val="·"/>
      <w:lvlJc w:val="left"/>
      <w:pPr>
        <w:ind w:left="720" w:hanging="360"/>
      </w:pPr>
      <w:rPr>
        <w:rFonts w:ascii="Symbol" w:hAnsi="Symbol" w:hint="default"/>
      </w:rPr>
    </w:lvl>
    <w:lvl w:ilvl="1" w:tplc="D00E5D58">
      <w:start w:val="1"/>
      <w:numFmt w:val="bullet"/>
      <w:lvlText w:val="o"/>
      <w:lvlJc w:val="left"/>
      <w:pPr>
        <w:ind w:left="1440" w:hanging="360"/>
      </w:pPr>
      <w:rPr>
        <w:rFonts w:ascii="Courier New" w:hAnsi="Courier New" w:hint="default"/>
      </w:rPr>
    </w:lvl>
    <w:lvl w:ilvl="2" w:tplc="9620BCE0">
      <w:start w:val="1"/>
      <w:numFmt w:val="bullet"/>
      <w:lvlText w:val=""/>
      <w:lvlJc w:val="left"/>
      <w:pPr>
        <w:ind w:left="2160" w:hanging="360"/>
      </w:pPr>
      <w:rPr>
        <w:rFonts w:ascii="Wingdings" w:hAnsi="Wingdings" w:hint="default"/>
      </w:rPr>
    </w:lvl>
    <w:lvl w:ilvl="3" w:tplc="90C09CBC">
      <w:start w:val="1"/>
      <w:numFmt w:val="bullet"/>
      <w:lvlText w:val=""/>
      <w:lvlJc w:val="left"/>
      <w:pPr>
        <w:ind w:left="2880" w:hanging="360"/>
      </w:pPr>
      <w:rPr>
        <w:rFonts w:ascii="Symbol" w:hAnsi="Symbol" w:hint="default"/>
      </w:rPr>
    </w:lvl>
    <w:lvl w:ilvl="4" w:tplc="6B1A2E2C">
      <w:start w:val="1"/>
      <w:numFmt w:val="bullet"/>
      <w:lvlText w:val="o"/>
      <w:lvlJc w:val="left"/>
      <w:pPr>
        <w:ind w:left="3600" w:hanging="360"/>
      </w:pPr>
      <w:rPr>
        <w:rFonts w:ascii="Courier New" w:hAnsi="Courier New" w:hint="default"/>
      </w:rPr>
    </w:lvl>
    <w:lvl w:ilvl="5" w:tplc="9A6A4C78">
      <w:start w:val="1"/>
      <w:numFmt w:val="bullet"/>
      <w:lvlText w:val=""/>
      <w:lvlJc w:val="left"/>
      <w:pPr>
        <w:ind w:left="4320" w:hanging="360"/>
      </w:pPr>
      <w:rPr>
        <w:rFonts w:ascii="Wingdings" w:hAnsi="Wingdings" w:hint="default"/>
      </w:rPr>
    </w:lvl>
    <w:lvl w:ilvl="6" w:tplc="F306D6EE">
      <w:start w:val="1"/>
      <w:numFmt w:val="bullet"/>
      <w:lvlText w:val=""/>
      <w:lvlJc w:val="left"/>
      <w:pPr>
        <w:ind w:left="5040" w:hanging="360"/>
      </w:pPr>
      <w:rPr>
        <w:rFonts w:ascii="Symbol" w:hAnsi="Symbol" w:hint="default"/>
      </w:rPr>
    </w:lvl>
    <w:lvl w:ilvl="7" w:tplc="FB0C914C">
      <w:start w:val="1"/>
      <w:numFmt w:val="bullet"/>
      <w:lvlText w:val="o"/>
      <w:lvlJc w:val="left"/>
      <w:pPr>
        <w:ind w:left="5760" w:hanging="360"/>
      </w:pPr>
      <w:rPr>
        <w:rFonts w:ascii="Courier New" w:hAnsi="Courier New" w:hint="default"/>
      </w:rPr>
    </w:lvl>
    <w:lvl w:ilvl="8" w:tplc="76A29486">
      <w:start w:val="1"/>
      <w:numFmt w:val="bullet"/>
      <w:lvlText w:val=""/>
      <w:lvlJc w:val="left"/>
      <w:pPr>
        <w:ind w:left="6480" w:hanging="360"/>
      </w:pPr>
      <w:rPr>
        <w:rFonts w:ascii="Wingdings" w:hAnsi="Wingdings" w:hint="default"/>
      </w:rPr>
    </w:lvl>
  </w:abstractNum>
  <w:abstractNum w:abstractNumId="26" w15:restartNumberingAfterBreak="0">
    <w:nsid w:val="20DB1825"/>
    <w:multiLevelType w:val="hybridMultilevel"/>
    <w:tmpl w:val="D14CC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3620E5"/>
    <w:multiLevelType w:val="multilevel"/>
    <w:tmpl w:val="55EC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26128CE"/>
    <w:multiLevelType w:val="hybridMultilevel"/>
    <w:tmpl w:val="384E7D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3B81321"/>
    <w:multiLevelType w:val="hybridMultilevel"/>
    <w:tmpl w:val="FC027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49B907D"/>
    <w:multiLevelType w:val="hybridMultilevel"/>
    <w:tmpl w:val="FFFFFFFF"/>
    <w:lvl w:ilvl="0" w:tplc="05EA5096">
      <w:start w:val="1"/>
      <w:numFmt w:val="bullet"/>
      <w:lvlText w:val="·"/>
      <w:lvlJc w:val="left"/>
      <w:pPr>
        <w:ind w:left="720" w:hanging="360"/>
      </w:pPr>
      <w:rPr>
        <w:rFonts w:ascii="Symbol" w:hAnsi="Symbol" w:hint="default"/>
      </w:rPr>
    </w:lvl>
    <w:lvl w:ilvl="1" w:tplc="F0F81AA0">
      <w:start w:val="1"/>
      <w:numFmt w:val="bullet"/>
      <w:lvlText w:val="o"/>
      <w:lvlJc w:val="left"/>
      <w:pPr>
        <w:ind w:left="1440" w:hanging="360"/>
      </w:pPr>
      <w:rPr>
        <w:rFonts w:ascii="Courier New" w:hAnsi="Courier New" w:hint="default"/>
      </w:rPr>
    </w:lvl>
    <w:lvl w:ilvl="2" w:tplc="BD20F544">
      <w:start w:val="1"/>
      <w:numFmt w:val="bullet"/>
      <w:lvlText w:val=""/>
      <w:lvlJc w:val="left"/>
      <w:pPr>
        <w:ind w:left="2160" w:hanging="360"/>
      </w:pPr>
      <w:rPr>
        <w:rFonts w:ascii="Wingdings" w:hAnsi="Wingdings" w:hint="default"/>
      </w:rPr>
    </w:lvl>
    <w:lvl w:ilvl="3" w:tplc="CE261B0E">
      <w:start w:val="1"/>
      <w:numFmt w:val="bullet"/>
      <w:lvlText w:val=""/>
      <w:lvlJc w:val="left"/>
      <w:pPr>
        <w:ind w:left="2880" w:hanging="360"/>
      </w:pPr>
      <w:rPr>
        <w:rFonts w:ascii="Symbol" w:hAnsi="Symbol" w:hint="default"/>
      </w:rPr>
    </w:lvl>
    <w:lvl w:ilvl="4" w:tplc="561E1E26">
      <w:start w:val="1"/>
      <w:numFmt w:val="bullet"/>
      <w:lvlText w:val="o"/>
      <w:lvlJc w:val="left"/>
      <w:pPr>
        <w:ind w:left="3600" w:hanging="360"/>
      </w:pPr>
      <w:rPr>
        <w:rFonts w:ascii="Courier New" w:hAnsi="Courier New" w:hint="default"/>
      </w:rPr>
    </w:lvl>
    <w:lvl w:ilvl="5" w:tplc="23921BE6">
      <w:start w:val="1"/>
      <w:numFmt w:val="bullet"/>
      <w:lvlText w:val=""/>
      <w:lvlJc w:val="left"/>
      <w:pPr>
        <w:ind w:left="4320" w:hanging="360"/>
      </w:pPr>
      <w:rPr>
        <w:rFonts w:ascii="Wingdings" w:hAnsi="Wingdings" w:hint="default"/>
      </w:rPr>
    </w:lvl>
    <w:lvl w:ilvl="6" w:tplc="C5886CF0">
      <w:start w:val="1"/>
      <w:numFmt w:val="bullet"/>
      <w:lvlText w:val=""/>
      <w:lvlJc w:val="left"/>
      <w:pPr>
        <w:ind w:left="5040" w:hanging="360"/>
      </w:pPr>
      <w:rPr>
        <w:rFonts w:ascii="Symbol" w:hAnsi="Symbol" w:hint="default"/>
      </w:rPr>
    </w:lvl>
    <w:lvl w:ilvl="7" w:tplc="D1EE5508">
      <w:start w:val="1"/>
      <w:numFmt w:val="bullet"/>
      <w:lvlText w:val="o"/>
      <w:lvlJc w:val="left"/>
      <w:pPr>
        <w:ind w:left="5760" w:hanging="360"/>
      </w:pPr>
      <w:rPr>
        <w:rFonts w:ascii="Courier New" w:hAnsi="Courier New" w:hint="default"/>
      </w:rPr>
    </w:lvl>
    <w:lvl w:ilvl="8" w:tplc="80688F6A">
      <w:start w:val="1"/>
      <w:numFmt w:val="bullet"/>
      <w:lvlText w:val=""/>
      <w:lvlJc w:val="left"/>
      <w:pPr>
        <w:ind w:left="6480" w:hanging="360"/>
      </w:pPr>
      <w:rPr>
        <w:rFonts w:ascii="Wingdings" w:hAnsi="Wingdings" w:hint="default"/>
      </w:rPr>
    </w:lvl>
  </w:abstractNum>
  <w:abstractNum w:abstractNumId="31" w15:restartNumberingAfterBreak="0">
    <w:nsid w:val="25765A7E"/>
    <w:multiLevelType w:val="hybridMultilevel"/>
    <w:tmpl w:val="94CCD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6F8414F"/>
    <w:multiLevelType w:val="hybridMultilevel"/>
    <w:tmpl w:val="CAC80C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7023B0E"/>
    <w:multiLevelType w:val="hybridMultilevel"/>
    <w:tmpl w:val="A7B2D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7B916A2"/>
    <w:multiLevelType w:val="multilevel"/>
    <w:tmpl w:val="FAEE034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280C1162"/>
    <w:multiLevelType w:val="multilevel"/>
    <w:tmpl w:val="0EBA5F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2BBE4A2C"/>
    <w:multiLevelType w:val="multilevel"/>
    <w:tmpl w:val="7500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D861D15"/>
    <w:multiLevelType w:val="multilevel"/>
    <w:tmpl w:val="CCBA75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DC2253A"/>
    <w:multiLevelType w:val="hybridMultilevel"/>
    <w:tmpl w:val="16A89A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30B0117E"/>
    <w:multiLevelType w:val="hybridMultilevel"/>
    <w:tmpl w:val="E61C7D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32D7A40"/>
    <w:multiLevelType w:val="hybridMultilevel"/>
    <w:tmpl w:val="65B0B1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51B1BD1"/>
    <w:multiLevelType w:val="hybridMultilevel"/>
    <w:tmpl w:val="BB7CFD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56B0950"/>
    <w:multiLevelType w:val="hybridMultilevel"/>
    <w:tmpl w:val="C6D0A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EB6310"/>
    <w:multiLevelType w:val="hybridMultilevel"/>
    <w:tmpl w:val="3EE08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8677560"/>
    <w:multiLevelType w:val="multilevel"/>
    <w:tmpl w:val="83E433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5" w15:restartNumberingAfterBreak="0">
    <w:nsid w:val="39512AD2"/>
    <w:multiLevelType w:val="hybridMultilevel"/>
    <w:tmpl w:val="28964612"/>
    <w:lvl w:ilvl="0" w:tplc="D5781EE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9B22A08"/>
    <w:multiLevelType w:val="multilevel"/>
    <w:tmpl w:val="43988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A226F50"/>
    <w:multiLevelType w:val="hybridMultilevel"/>
    <w:tmpl w:val="534611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3A405630"/>
    <w:multiLevelType w:val="hybridMultilevel"/>
    <w:tmpl w:val="78E66E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B707E87"/>
    <w:multiLevelType w:val="multilevel"/>
    <w:tmpl w:val="B56A44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0" w15:restartNumberingAfterBreak="0">
    <w:nsid w:val="40111613"/>
    <w:multiLevelType w:val="hybridMultilevel"/>
    <w:tmpl w:val="843C54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287134"/>
    <w:multiLevelType w:val="hybridMultilevel"/>
    <w:tmpl w:val="FFFFFFFF"/>
    <w:lvl w:ilvl="0" w:tplc="4F641454">
      <w:start w:val="1"/>
      <w:numFmt w:val="bullet"/>
      <w:lvlText w:val=""/>
      <w:lvlJc w:val="left"/>
      <w:pPr>
        <w:ind w:left="360" w:hanging="360"/>
      </w:pPr>
      <w:rPr>
        <w:rFonts w:ascii="Symbol" w:hAnsi="Symbol" w:hint="default"/>
      </w:rPr>
    </w:lvl>
    <w:lvl w:ilvl="1" w:tplc="51CC81AC">
      <w:start w:val="1"/>
      <w:numFmt w:val="bullet"/>
      <w:lvlText w:val="o"/>
      <w:lvlJc w:val="left"/>
      <w:pPr>
        <w:ind w:left="1080" w:hanging="360"/>
      </w:pPr>
      <w:rPr>
        <w:rFonts w:ascii="Courier New" w:hAnsi="Courier New" w:hint="default"/>
      </w:rPr>
    </w:lvl>
    <w:lvl w:ilvl="2" w:tplc="02EEA382">
      <w:start w:val="1"/>
      <w:numFmt w:val="bullet"/>
      <w:lvlText w:val=""/>
      <w:lvlJc w:val="left"/>
      <w:pPr>
        <w:ind w:left="1800" w:hanging="360"/>
      </w:pPr>
      <w:rPr>
        <w:rFonts w:ascii="Wingdings" w:hAnsi="Wingdings" w:hint="default"/>
      </w:rPr>
    </w:lvl>
    <w:lvl w:ilvl="3" w:tplc="2730B3D6">
      <w:start w:val="1"/>
      <w:numFmt w:val="bullet"/>
      <w:lvlText w:val=""/>
      <w:lvlJc w:val="left"/>
      <w:pPr>
        <w:ind w:left="2520" w:hanging="360"/>
      </w:pPr>
      <w:rPr>
        <w:rFonts w:ascii="Symbol" w:hAnsi="Symbol" w:hint="default"/>
      </w:rPr>
    </w:lvl>
    <w:lvl w:ilvl="4" w:tplc="CF5A64C0">
      <w:start w:val="1"/>
      <w:numFmt w:val="bullet"/>
      <w:lvlText w:val="o"/>
      <w:lvlJc w:val="left"/>
      <w:pPr>
        <w:ind w:left="3240" w:hanging="360"/>
      </w:pPr>
      <w:rPr>
        <w:rFonts w:ascii="Courier New" w:hAnsi="Courier New" w:hint="default"/>
      </w:rPr>
    </w:lvl>
    <w:lvl w:ilvl="5" w:tplc="A5007F34">
      <w:start w:val="1"/>
      <w:numFmt w:val="bullet"/>
      <w:lvlText w:val=""/>
      <w:lvlJc w:val="left"/>
      <w:pPr>
        <w:ind w:left="3960" w:hanging="360"/>
      </w:pPr>
      <w:rPr>
        <w:rFonts w:ascii="Wingdings" w:hAnsi="Wingdings" w:hint="default"/>
      </w:rPr>
    </w:lvl>
    <w:lvl w:ilvl="6" w:tplc="7152AF58">
      <w:start w:val="1"/>
      <w:numFmt w:val="bullet"/>
      <w:lvlText w:val=""/>
      <w:lvlJc w:val="left"/>
      <w:pPr>
        <w:ind w:left="4680" w:hanging="360"/>
      </w:pPr>
      <w:rPr>
        <w:rFonts w:ascii="Symbol" w:hAnsi="Symbol" w:hint="default"/>
      </w:rPr>
    </w:lvl>
    <w:lvl w:ilvl="7" w:tplc="2DB4E1D2">
      <w:start w:val="1"/>
      <w:numFmt w:val="bullet"/>
      <w:lvlText w:val="o"/>
      <w:lvlJc w:val="left"/>
      <w:pPr>
        <w:ind w:left="5400" w:hanging="360"/>
      </w:pPr>
      <w:rPr>
        <w:rFonts w:ascii="Courier New" w:hAnsi="Courier New" w:hint="default"/>
      </w:rPr>
    </w:lvl>
    <w:lvl w:ilvl="8" w:tplc="BDB2CD6C">
      <w:start w:val="1"/>
      <w:numFmt w:val="bullet"/>
      <w:lvlText w:val=""/>
      <w:lvlJc w:val="left"/>
      <w:pPr>
        <w:ind w:left="6120" w:hanging="360"/>
      </w:pPr>
      <w:rPr>
        <w:rFonts w:ascii="Wingdings" w:hAnsi="Wingdings" w:hint="default"/>
      </w:rPr>
    </w:lvl>
  </w:abstractNum>
  <w:abstractNum w:abstractNumId="52" w15:restartNumberingAfterBreak="0">
    <w:nsid w:val="4033330E"/>
    <w:multiLevelType w:val="hybridMultilevel"/>
    <w:tmpl w:val="8152A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4055320C"/>
    <w:multiLevelType w:val="hybridMultilevel"/>
    <w:tmpl w:val="D7BE26B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4" w15:restartNumberingAfterBreak="0">
    <w:nsid w:val="40635E62"/>
    <w:multiLevelType w:val="multilevel"/>
    <w:tmpl w:val="5FF6D4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5" w15:restartNumberingAfterBreak="0">
    <w:nsid w:val="40E136F9"/>
    <w:multiLevelType w:val="multilevel"/>
    <w:tmpl w:val="62FE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101074F"/>
    <w:multiLevelType w:val="hybridMultilevel"/>
    <w:tmpl w:val="3A346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1546771"/>
    <w:multiLevelType w:val="multilevel"/>
    <w:tmpl w:val="6B12FD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418D0C56"/>
    <w:multiLevelType w:val="hybridMultilevel"/>
    <w:tmpl w:val="03F880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271B63B"/>
    <w:multiLevelType w:val="hybridMultilevel"/>
    <w:tmpl w:val="FFFFFFFF"/>
    <w:lvl w:ilvl="0" w:tplc="11649880">
      <w:start w:val="1"/>
      <w:numFmt w:val="bullet"/>
      <w:lvlText w:val=""/>
      <w:lvlJc w:val="left"/>
      <w:pPr>
        <w:ind w:left="360" w:hanging="360"/>
      </w:pPr>
      <w:rPr>
        <w:rFonts w:ascii="Symbol" w:hAnsi="Symbol" w:hint="default"/>
      </w:rPr>
    </w:lvl>
    <w:lvl w:ilvl="1" w:tplc="01BA816A">
      <w:start w:val="1"/>
      <w:numFmt w:val="bullet"/>
      <w:lvlText w:val="o"/>
      <w:lvlJc w:val="left"/>
      <w:pPr>
        <w:ind w:left="1080" w:hanging="360"/>
      </w:pPr>
      <w:rPr>
        <w:rFonts w:ascii="Courier New" w:hAnsi="Courier New" w:hint="default"/>
      </w:rPr>
    </w:lvl>
    <w:lvl w:ilvl="2" w:tplc="38907AE8">
      <w:start w:val="1"/>
      <w:numFmt w:val="bullet"/>
      <w:lvlText w:val=""/>
      <w:lvlJc w:val="left"/>
      <w:pPr>
        <w:ind w:left="1800" w:hanging="360"/>
      </w:pPr>
      <w:rPr>
        <w:rFonts w:ascii="Wingdings" w:hAnsi="Wingdings" w:hint="default"/>
      </w:rPr>
    </w:lvl>
    <w:lvl w:ilvl="3" w:tplc="73AAC3F8">
      <w:start w:val="1"/>
      <w:numFmt w:val="bullet"/>
      <w:lvlText w:val=""/>
      <w:lvlJc w:val="left"/>
      <w:pPr>
        <w:ind w:left="2520" w:hanging="360"/>
      </w:pPr>
      <w:rPr>
        <w:rFonts w:ascii="Symbol" w:hAnsi="Symbol" w:hint="default"/>
      </w:rPr>
    </w:lvl>
    <w:lvl w:ilvl="4" w:tplc="9CBEB1C8">
      <w:start w:val="1"/>
      <w:numFmt w:val="bullet"/>
      <w:lvlText w:val="o"/>
      <w:lvlJc w:val="left"/>
      <w:pPr>
        <w:ind w:left="3240" w:hanging="360"/>
      </w:pPr>
      <w:rPr>
        <w:rFonts w:ascii="Courier New" w:hAnsi="Courier New" w:hint="default"/>
      </w:rPr>
    </w:lvl>
    <w:lvl w:ilvl="5" w:tplc="FC5A9390">
      <w:start w:val="1"/>
      <w:numFmt w:val="bullet"/>
      <w:lvlText w:val=""/>
      <w:lvlJc w:val="left"/>
      <w:pPr>
        <w:ind w:left="3960" w:hanging="360"/>
      </w:pPr>
      <w:rPr>
        <w:rFonts w:ascii="Wingdings" w:hAnsi="Wingdings" w:hint="default"/>
      </w:rPr>
    </w:lvl>
    <w:lvl w:ilvl="6" w:tplc="83BC266A">
      <w:start w:val="1"/>
      <w:numFmt w:val="bullet"/>
      <w:lvlText w:val=""/>
      <w:lvlJc w:val="left"/>
      <w:pPr>
        <w:ind w:left="4680" w:hanging="360"/>
      </w:pPr>
      <w:rPr>
        <w:rFonts w:ascii="Symbol" w:hAnsi="Symbol" w:hint="default"/>
      </w:rPr>
    </w:lvl>
    <w:lvl w:ilvl="7" w:tplc="23060882">
      <w:start w:val="1"/>
      <w:numFmt w:val="bullet"/>
      <w:lvlText w:val="o"/>
      <w:lvlJc w:val="left"/>
      <w:pPr>
        <w:ind w:left="5400" w:hanging="360"/>
      </w:pPr>
      <w:rPr>
        <w:rFonts w:ascii="Courier New" w:hAnsi="Courier New" w:hint="default"/>
      </w:rPr>
    </w:lvl>
    <w:lvl w:ilvl="8" w:tplc="9CAE2B80">
      <w:start w:val="1"/>
      <w:numFmt w:val="bullet"/>
      <w:lvlText w:val=""/>
      <w:lvlJc w:val="left"/>
      <w:pPr>
        <w:ind w:left="6120" w:hanging="360"/>
      </w:pPr>
      <w:rPr>
        <w:rFonts w:ascii="Wingdings" w:hAnsi="Wingdings" w:hint="default"/>
      </w:rPr>
    </w:lvl>
  </w:abstractNum>
  <w:abstractNum w:abstractNumId="60" w15:restartNumberingAfterBreak="0">
    <w:nsid w:val="42A27EED"/>
    <w:multiLevelType w:val="multilevel"/>
    <w:tmpl w:val="5D18B7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1" w15:restartNumberingAfterBreak="0">
    <w:nsid w:val="42B55432"/>
    <w:multiLevelType w:val="hybridMultilevel"/>
    <w:tmpl w:val="713EF9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4310A85F"/>
    <w:multiLevelType w:val="hybridMultilevel"/>
    <w:tmpl w:val="FFFFFFFF"/>
    <w:lvl w:ilvl="0" w:tplc="09241002">
      <w:start w:val="1"/>
      <w:numFmt w:val="bullet"/>
      <w:lvlText w:val="·"/>
      <w:lvlJc w:val="left"/>
      <w:pPr>
        <w:ind w:left="720" w:hanging="360"/>
      </w:pPr>
      <w:rPr>
        <w:rFonts w:ascii="Symbol" w:hAnsi="Symbol" w:hint="default"/>
      </w:rPr>
    </w:lvl>
    <w:lvl w:ilvl="1" w:tplc="9E269AA0">
      <w:start w:val="1"/>
      <w:numFmt w:val="bullet"/>
      <w:lvlText w:val="o"/>
      <w:lvlJc w:val="left"/>
      <w:pPr>
        <w:ind w:left="1440" w:hanging="360"/>
      </w:pPr>
      <w:rPr>
        <w:rFonts w:ascii="Courier New" w:hAnsi="Courier New" w:hint="default"/>
      </w:rPr>
    </w:lvl>
    <w:lvl w:ilvl="2" w:tplc="8730E134">
      <w:start w:val="1"/>
      <w:numFmt w:val="bullet"/>
      <w:lvlText w:val=""/>
      <w:lvlJc w:val="left"/>
      <w:pPr>
        <w:ind w:left="2160" w:hanging="360"/>
      </w:pPr>
      <w:rPr>
        <w:rFonts w:ascii="Wingdings" w:hAnsi="Wingdings" w:hint="default"/>
      </w:rPr>
    </w:lvl>
    <w:lvl w:ilvl="3" w:tplc="37A87368">
      <w:start w:val="1"/>
      <w:numFmt w:val="bullet"/>
      <w:lvlText w:val=""/>
      <w:lvlJc w:val="left"/>
      <w:pPr>
        <w:ind w:left="2880" w:hanging="360"/>
      </w:pPr>
      <w:rPr>
        <w:rFonts w:ascii="Symbol" w:hAnsi="Symbol" w:hint="default"/>
      </w:rPr>
    </w:lvl>
    <w:lvl w:ilvl="4" w:tplc="B620A0F8">
      <w:start w:val="1"/>
      <w:numFmt w:val="bullet"/>
      <w:lvlText w:val="o"/>
      <w:lvlJc w:val="left"/>
      <w:pPr>
        <w:ind w:left="3600" w:hanging="360"/>
      </w:pPr>
      <w:rPr>
        <w:rFonts w:ascii="Courier New" w:hAnsi="Courier New" w:hint="default"/>
      </w:rPr>
    </w:lvl>
    <w:lvl w:ilvl="5" w:tplc="D5C6935C">
      <w:start w:val="1"/>
      <w:numFmt w:val="bullet"/>
      <w:lvlText w:val=""/>
      <w:lvlJc w:val="left"/>
      <w:pPr>
        <w:ind w:left="4320" w:hanging="360"/>
      </w:pPr>
      <w:rPr>
        <w:rFonts w:ascii="Wingdings" w:hAnsi="Wingdings" w:hint="default"/>
      </w:rPr>
    </w:lvl>
    <w:lvl w:ilvl="6" w:tplc="D03C4E14">
      <w:start w:val="1"/>
      <w:numFmt w:val="bullet"/>
      <w:lvlText w:val=""/>
      <w:lvlJc w:val="left"/>
      <w:pPr>
        <w:ind w:left="5040" w:hanging="360"/>
      </w:pPr>
      <w:rPr>
        <w:rFonts w:ascii="Symbol" w:hAnsi="Symbol" w:hint="default"/>
      </w:rPr>
    </w:lvl>
    <w:lvl w:ilvl="7" w:tplc="C9A41452">
      <w:start w:val="1"/>
      <w:numFmt w:val="bullet"/>
      <w:lvlText w:val="o"/>
      <w:lvlJc w:val="left"/>
      <w:pPr>
        <w:ind w:left="5760" w:hanging="360"/>
      </w:pPr>
      <w:rPr>
        <w:rFonts w:ascii="Courier New" w:hAnsi="Courier New" w:hint="default"/>
      </w:rPr>
    </w:lvl>
    <w:lvl w:ilvl="8" w:tplc="F4CCC1C6">
      <w:start w:val="1"/>
      <w:numFmt w:val="bullet"/>
      <w:lvlText w:val=""/>
      <w:lvlJc w:val="left"/>
      <w:pPr>
        <w:ind w:left="6480" w:hanging="360"/>
      </w:pPr>
      <w:rPr>
        <w:rFonts w:ascii="Wingdings" w:hAnsi="Wingdings" w:hint="default"/>
      </w:rPr>
    </w:lvl>
  </w:abstractNum>
  <w:abstractNum w:abstractNumId="63" w15:restartNumberingAfterBreak="0">
    <w:nsid w:val="4460D300"/>
    <w:multiLevelType w:val="hybridMultilevel"/>
    <w:tmpl w:val="FFFFFFFF"/>
    <w:lvl w:ilvl="0" w:tplc="FE76C1D4">
      <w:start w:val="1"/>
      <w:numFmt w:val="bullet"/>
      <w:lvlText w:val=""/>
      <w:lvlJc w:val="left"/>
      <w:pPr>
        <w:ind w:left="360" w:hanging="360"/>
      </w:pPr>
      <w:rPr>
        <w:rFonts w:ascii="Symbol" w:hAnsi="Symbol" w:hint="default"/>
      </w:rPr>
    </w:lvl>
    <w:lvl w:ilvl="1" w:tplc="6D0AAD56">
      <w:start w:val="1"/>
      <w:numFmt w:val="bullet"/>
      <w:lvlText w:val="o"/>
      <w:lvlJc w:val="left"/>
      <w:pPr>
        <w:ind w:left="1080" w:hanging="360"/>
      </w:pPr>
      <w:rPr>
        <w:rFonts w:ascii="Courier New" w:hAnsi="Courier New" w:hint="default"/>
      </w:rPr>
    </w:lvl>
    <w:lvl w:ilvl="2" w:tplc="3896351E">
      <w:start w:val="1"/>
      <w:numFmt w:val="bullet"/>
      <w:lvlText w:val=""/>
      <w:lvlJc w:val="left"/>
      <w:pPr>
        <w:ind w:left="1800" w:hanging="360"/>
      </w:pPr>
      <w:rPr>
        <w:rFonts w:ascii="Wingdings" w:hAnsi="Wingdings" w:hint="default"/>
      </w:rPr>
    </w:lvl>
    <w:lvl w:ilvl="3" w:tplc="3DE86A30">
      <w:start w:val="1"/>
      <w:numFmt w:val="bullet"/>
      <w:lvlText w:val=""/>
      <w:lvlJc w:val="left"/>
      <w:pPr>
        <w:ind w:left="2520" w:hanging="360"/>
      </w:pPr>
      <w:rPr>
        <w:rFonts w:ascii="Symbol" w:hAnsi="Symbol" w:hint="default"/>
      </w:rPr>
    </w:lvl>
    <w:lvl w:ilvl="4" w:tplc="0CC40478">
      <w:start w:val="1"/>
      <w:numFmt w:val="bullet"/>
      <w:lvlText w:val="o"/>
      <w:lvlJc w:val="left"/>
      <w:pPr>
        <w:ind w:left="3240" w:hanging="360"/>
      </w:pPr>
      <w:rPr>
        <w:rFonts w:ascii="Courier New" w:hAnsi="Courier New" w:hint="default"/>
      </w:rPr>
    </w:lvl>
    <w:lvl w:ilvl="5" w:tplc="EC2E2644">
      <w:start w:val="1"/>
      <w:numFmt w:val="bullet"/>
      <w:lvlText w:val=""/>
      <w:lvlJc w:val="left"/>
      <w:pPr>
        <w:ind w:left="3960" w:hanging="360"/>
      </w:pPr>
      <w:rPr>
        <w:rFonts w:ascii="Wingdings" w:hAnsi="Wingdings" w:hint="default"/>
      </w:rPr>
    </w:lvl>
    <w:lvl w:ilvl="6" w:tplc="79845F36">
      <w:start w:val="1"/>
      <w:numFmt w:val="bullet"/>
      <w:lvlText w:val=""/>
      <w:lvlJc w:val="left"/>
      <w:pPr>
        <w:ind w:left="4680" w:hanging="360"/>
      </w:pPr>
      <w:rPr>
        <w:rFonts w:ascii="Symbol" w:hAnsi="Symbol" w:hint="default"/>
      </w:rPr>
    </w:lvl>
    <w:lvl w:ilvl="7" w:tplc="34865A02">
      <w:start w:val="1"/>
      <w:numFmt w:val="bullet"/>
      <w:lvlText w:val="o"/>
      <w:lvlJc w:val="left"/>
      <w:pPr>
        <w:ind w:left="5400" w:hanging="360"/>
      </w:pPr>
      <w:rPr>
        <w:rFonts w:ascii="Courier New" w:hAnsi="Courier New" w:hint="default"/>
      </w:rPr>
    </w:lvl>
    <w:lvl w:ilvl="8" w:tplc="8564F5FE">
      <w:start w:val="1"/>
      <w:numFmt w:val="bullet"/>
      <w:lvlText w:val=""/>
      <w:lvlJc w:val="left"/>
      <w:pPr>
        <w:ind w:left="6120" w:hanging="360"/>
      </w:pPr>
      <w:rPr>
        <w:rFonts w:ascii="Wingdings" w:hAnsi="Wingdings" w:hint="default"/>
      </w:rPr>
    </w:lvl>
  </w:abstractNum>
  <w:abstractNum w:abstractNumId="64" w15:restartNumberingAfterBreak="0">
    <w:nsid w:val="44A82183"/>
    <w:multiLevelType w:val="multilevel"/>
    <w:tmpl w:val="BE64B0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5" w15:restartNumberingAfterBreak="0">
    <w:nsid w:val="461B2FD1"/>
    <w:multiLevelType w:val="hybridMultilevel"/>
    <w:tmpl w:val="20084A90"/>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477645D4"/>
    <w:multiLevelType w:val="hybridMultilevel"/>
    <w:tmpl w:val="55E2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7D20CCE"/>
    <w:multiLevelType w:val="hybridMultilevel"/>
    <w:tmpl w:val="D3E800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48105FC8"/>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9" w15:restartNumberingAfterBreak="0">
    <w:nsid w:val="4815231F"/>
    <w:multiLevelType w:val="multilevel"/>
    <w:tmpl w:val="0D7468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0" w15:restartNumberingAfterBreak="0">
    <w:nsid w:val="483559BA"/>
    <w:multiLevelType w:val="multilevel"/>
    <w:tmpl w:val="20EAFD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1" w15:restartNumberingAfterBreak="0">
    <w:nsid w:val="4A28288E"/>
    <w:multiLevelType w:val="multilevel"/>
    <w:tmpl w:val="F00CC2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2" w15:restartNumberingAfterBreak="0">
    <w:nsid w:val="4BCE5F26"/>
    <w:multiLevelType w:val="multilevel"/>
    <w:tmpl w:val="179C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BDF7BE1"/>
    <w:multiLevelType w:val="hybridMultilevel"/>
    <w:tmpl w:val="4E72CA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BF655E7"/>
    <w:multiLevelType w:val="hybridMultilevel"/>
    <w:tmpl w:val="9AC61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CEE1372"/>
    <w:multiLevelType w:val="hybridMultilevel"/>
    <w:tmpl w:val="5202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150EA0E"/>
    <w:multiLevelType w:val="hybridMultilevel"/>
    <w:tmpl w:val="FFFFFFFF"/>
    <w:lvl w:ilvl="0" w:tplc="82AC762C">
      <w:start w:val="1"/>
      <w:numFmt w:val="decimal"/>
      <w:lvlText w:val="%1."/>
      <w:lvlJc w:val="left"/>
      <w:pPr>
        <w:ind w:left="720" w:hanging="360"/>
      </w:pPr>
    </w:lvl>
    <w:lvl w:ilvl="1" w:tplc="D11E041C">
      <w:start w:val="1"/>
      <w:numFmt w:val="lowerLetter"/>
      <w:lvlText w:val="%2."/>
      <w:lvlJc w:val="left"/>
      <w:pPr>
        <w:ind w:left="1440" w:hanging="360"/>
      </w:pPr>
    </w:lvl>
    <w:lvl w:ilvl="2" w:tplc="110EA2A4">
      <w:start w:val="1"/>
      <w:numFmt w:val="lowerRoman"/>
      <w:lvlText w:val="%3."/>
      <w:lvlJc w:val="right"/>
      <w:pPr>
        <w:ind w:left="2160" w:hanging="180"/>
      </w:pPr>
    </w:lvl>
    <w:lvl w:ilvl="3" w:tplc="FDB2281C">
      <w:start w:val="1"/>
      <w:numFmt w:val="decimal"/>
      <w:lvlText w:val="%4."/>
      <w:lvlJc w:val="left"/>
      <w:pPr>
        <w:ind w:left="2880" w:hanging="360"/>
      </w:pPr>
    </w:lvl>
    <w:lvl w:ilvl="4" w:tplc="3402B946">
      <w:start w:val="1"/>
      <w:numFmt w:val="lowerLetter"/>
      <w:lvlText w:val="%5."/>
      <w:lvlJc w:val="left"/>
      <w:pPr>
        <w:ind w:left="3600" w:hanging="360"/>
      </w:pPr>
    </w:lvl>
    <w:lvl w:ilvl="5" w:tplc="3F2013A0">
      <w:start w:val="1"/>
      <w:numFmt w:val="lowerRoman"/>
      <w:lvlText w:val="%6."/>
      <w:lvlJc w:val="right"/>
      <w:pPr>
        <w:ind w:left="4320" w:hanging="180"/>
      </w:pPr>
    </w:lvl>
    <w:lvl w:ilvl="6" w:tplc="20E083EE">
      <w:start w:val="1"/>
      <w:numFmt w:val="decimal"/>
      <w:lvlText w:val="%7."/>
      <w:lvlJc w:val="left"/>
      <w:pPr>
        <w:ind w:left="5040" w:hanging="360"/>
      </w:pPr>
    </w:lvl>
    <w:lvl w:ilvl="7" w:tplc="A702950C">
      <w:start w:val="1"/>
      <w:numFmt w:val="lowerLetter"/>
      <w:lvlText w:val="%8."/>
      <w:lvlJc w:val="left"/>
      <w:pPr>
        <w:ind w:left="5760" w:hanging="360"/>
      </w:pPr>
    </w:lvl>
    <w:lvl w:ilvl="8" w:tplc="88D26B5A">
      <w:start w:val="1"/>
      <w:numFmt w:val="lowerRoman"/>
      <w:lvlText w:val="%9."/>
      <w:lvlJc w:val="right"/>
      <w:pPr>
        <w:ind w:left="6480" w:hanging="180"/>
      </w:pPr>
    </w:lvl>
  </w:abstractNum>
  <w:abstractNum w:abstractNumId="77" w15:restartNumberingAfterBreak="0">
    <w:nsid w:val="528045DF"/>
    <w:multiLevelType w:val="multilevel"/>
    <w:tmpl w:val="65062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35B129A"/>
    <w:multiLevelType w:val="hybridMultilevel"/>
    <w:tmpl w:val="84CE4B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569B4B64"/>
    <w:multiLevelType w:val="hybridMultilevel"/>
    <w:tmpl w:val="E996AF8A"/>
    <w:lvl w:ilvl="0" w:tplc="FDE4A3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58580021"/>
    <w:multiLevelType w:val="multilevel"/>
    <w:tmpl w:val="36E2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A403DCF"/>
    <w:multiLevelType w:val="hybridMultilevel"/>
    <w:tmpl w:val="FFFFFFFF"/>
    <w:lvl w:ilvl="0" w:tplc="E18069A6">
      <w:start w:val="1"/>
      <w:numFmt w:val="bullet"/>
      <w:lvlText w:val=""/>
      <w:lvlJc w:val="left"/>
      <w:pPr>
        <w:ind w:left="360" w:hanging="360"/>
      </w:pPr>
      <w:rPr>
        <w:rFonts w:ascii="Symbol" w:hAnsi="Symbol" w:hint="default"/>
      </w:rPr>
    </w:lvl>
    <w:lvl w:ilvl="1" w:tplc="94FC119C">
      <w:start w:val="1"/>
      <w:numFmt w:val="bullet"/>
      <w:lvlText w:val="o"/>
      <w:lvlJc w:val="left"/>
      <w:pPr>
        <w:ind w:left="1080" w:hanging="360"/>
      </w:pPr>
      <w:rPr>
        <w:rFonts w:ascii="Courier New" w:hAnsi="Courier New" w:hint="default"/>
      </w:rPr>
    </w:lvl>
    <w:lvl w:ilvl="2" w:tplc="0D8E748C">
      <w:start w:val="1"/>
      <w:numFmt w:val="bullet"/>
      <w:lvlText w:val=""/>
      <w:lvlJc w:val="left"/>
      <w:pPr>
        <w:ind w:left="1800" w:hanging="360"/>
      </w:pPr>
      <w:rPr>
        <w:rFonts w:ascii="Wingdings" w:hAnsi="Wingdings" w:hint="default"/>
      </w:rPr>
    </w:lvl>
    <w:lvl w:ilvl="3" w:tplc="AED4808A">
      <w:start w:val="1"/>
      <w:numFmt w:val="bullet"/>
      <w:lvlText w:val=""/>
      <w:lvlJc w:val="left"/>
      <w:pPr>
        <w:ind w:left="2520" w:hanging="360"/>
      </w:pPr>
      <w:rPr>
        <w:rFonts w:ascii="Symbol" w:hAnsi="Symbol" w:hint="default"/>
      </w:rPr>
    </w:lvl>
    <w:lvl w:ilvl="4" w:tplc="9A16EB9C">
      <w:start w:val="1"/>
      <w:numFmt w:val="bullet"/>
      <w:lvlText w:val="o"/>
      <w:lvlJc w:val="left"/>
      <w:pPr>
        <w:ind w:left="3240" w:hanging="360"/>
      </w:pPr>
      <w:rPr>
        <w:rFonts w:ascii="Courier New" w:hAnsi="Courier New" w:hint="default"/>
      </w:rPr>
    </w:lvl>
    <w:lvl w:ilvl="5" w:tplc="604A91E4">
      <w:start w:val="1"/>
      <w:numFmt w:val="bullet"/>
      <w:lvlText w:val=""/>
      <w:lvlJc w:val="left"/>
      <w:pPr>
        <w:ind w:left="3960" w:hanging="360"/>
      </w:pPr>
      <w:rPr>
        <w:rFonts w:ascii="Wingdings" w:hAnsi="Wingdings" w:hint="default"/>
      </w:rPr>
    </w:lvl>
    <w:lvl w:ilvl="6" w:tplc="3DBA6B54">
      <w:start w:val="1"/>
      <w:numFmt w:val="bullet"/>
      <w:lvlText w:val=""/>
      <w:lvlJc w:val="left"/>
      <w:pPr>
        <w:ind w:left="4680" w:hanging="360"/>
      </w:pPr>
      <w:rPr>
        <w:rFonts w:ascii="Symbol" w:hAnsi="Symbol" w:hint="default"/>
      </w:rPr>
    </w:lvl>
    <w:lvl w:ilvl="7" w:tplc="D92C19E6">
      <w:start w:val="1"/>
      <w:numFmt w:val="bullet"/>
      <w:lvlText w:val="o"/>
      <w:lvlJc w:val="left"/>
      <w:pPr>
        <w:ind w:left="5400" w:hanging="360"/>
      </w:pPr>
      <w:rPr>
        <w:rFonts w:ascii="Courier New" w:hAnsi="Courier New" w:hint="default"/>
      </w:rPr>
    </w:lvl>
    <w:lvl w:ilvl="8" w:tplc="122A291C">
      <w:start w:val="1"/>
      <w:numFmt w:val="bullet"/>
      <w:lvlText w:val=""/>
      <w:lvlJc w:val="left"/>
      <w:pPr>
        <w:ind w:left="6120" w:hanging="360"/>
      </w:pPr>
      <w:rPr>
        <w:rFonts w:ascii="Wingdings" w:hAnsi="Wingdings" w:hint="default"/>
      </w:rPr>
    </w:lvl>
  </w:abstractNum>
  <w:abstractNum w:abstractNumId="82" w15:restartNumberingAfterBreak="0">
    <w:nsid w:val="5A996DBE"/>
    <w:multiLevelType w:val="hybridMultilevel"/>
    <w:tmpl w:val="034CF8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ADC773F"/>
    <w:multiLevelType w:val="hybridMultilevel"/>
    <w:tmpl w:val="FF587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BC56135"/>
    <w:multiLevelType w:val="hybridMultilevel"/>
    <w:tmpl w:val="034CF8FE"/>
    <w:lvl w:ilvl="0" w:tplc="ACFCDC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C961D74"/>
    <w:multiLevelType w:val="hybridMultilevel"/>
    <w:tmpl w:val="B8089B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6" w15:restartNumberingAfterBreak="0">
    <w:nsid w:val="5EB46BE6"/>
    <w:multiLevelType w:val="hybridMultilevel"/>
    <w:tmpl w:val="29E48E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5F9814D1"/>
    <w:multiLevelType w:val="hybridMultilevel"/>
    <w:tmpl w:val="7970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00D18C5"/>
    <w:multiLevelType w:val="hybridMultilevel"/>
    <w:tmpl w:val="DC7E58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605A2548"/>
    <w:multiLevelType w:val="multilevel"/>
    <w:tmpl w:val="DE2E12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0" w15:restartNumberingAfterBreak="0">
    <w:nsid w:val="6081039F"/>
    <w:multiLevelType w:val="multilevel"/>
    <w:tmpl w:val="4C34CF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1" w15:restartNumberingAfterBreak="0">
    <w:nsid w:val="643EEA22"/>
    <w:multiLevelType w:val="hybridMultilevel"/>
    <w:tmpl w:val="FFFFFFFF"/>
    <w:lvl w:ilvl="0" w:tplc="8746FD72">
      <w:start w:val="1"/>
      <w:numFmt w:val="bullet"/>
      <w:lvlText w:val="·"/>
      <w:lvlJc w:val="left"/>
      <w:pPr>
        <w:ind w:left="720" w:hanging="360"/>
      </w:pPr>
      <w:rPr>
        <w:rFonts w:ascii="Symbol" w:hAnsi="Symbol" w:hint="default"/>
      </w:rPr>
    </w:lvl>
    <w:lvl w:ilvl="1" w:tplc="8230F21A">
      <w:start w:val="1"/>
      <w:numFmt w:val="bullet"/>
      <w:lvlText w:val="o"/>
      <w:lvlJc w:val="left"/>
      <w:pPr>
        <w:ind w:left="1440" w:hanging="360"/>
      </w:pPr>
      <w:rPr>
        <w:rFonts w:ascii="Courier New" w:hAnsi="Courier New" w:hint="default"/>
      </w:rPr>
    </w:lvl>
    <w:lvl w:ilvl="2" w:tplc="885E23F8">
      <w:start w:val="1"/>
      <w:numFmt w:val="bullet"/>
      <w:lvlText w:val=""/>
      <w:lvlJc w:val="left"/>
      <w:pPr>
        <w:ind w:left="2160" w:hanging="360"/>
      </w:pPr>
      <w:rPr>
        <w:rFonts w:ascii="Wingdings" w:hAnsi="Wingdings" w:hint="default"/>
      </w:rPr>
    </w:lvl>
    <w:lvl w:ilvl="3" w:tplc="253E1CE0">
      <w:start w:val="1"/>
      <w:numFmt w:val="bullet"/>
      <w:lvlText w:val=""/>
      <w:lvlJc w:val="left"/>
      <w:pPr>
        <w:ind w:left="2880" w:hanging="360"/>
      </w:pPr>
      <w:rPr>
        <w:rFonts w:ascii="Symbol" w:hAnsi="Symbol" w:hint="default"/>
      </w:rPr>
    </w:lvl>
    <w:lvl w:ilvl="4" w:tplc="3A76294A">
      <w:start w:val="1"/>
      <w:numFmt w:val="bullet"/>
      <w:lvlText w:val="o"/>
      <w:lvlJc w:val="left"/>
      <w:pPr>
        <w:ind w:left="3600" w:hanging="360"/>
      </w:pPr>
      <w:rPr>
        <w:rFonts w:ascii="Courier New" w:hAnsi="Courier New" w:hint="default"/>
      </w:rPr>
    </w:lvl>
    <w:lvl w:ilvl="5" w:tplc="5574D3B0">
      <w:start w:val="1"/>
      <w:numFmt w:val="bullet"/>
      <w:lvlText w:val=""/>
      <w:lvlJc w:val="left"/>
      <w:pPr>
        <w:ind w:left="4320" w:hanging="360"/>
      </w:pPr>
      <w:rPr>
        <w:rFonts w:ascii="Wingdings" w:hAnsi="Wingdings" w:hint="default"/>
      </w:rPr>
    </w:lvl>
    <w:lvl w:ilvl="6" w:tplc="BE427518">
      <w:start w:val="1"/>
      <w:numFmt w:val="bullet"/>
      <w:lvlText w:val=""/>
      <w:lvlJc w:val="left"/>
      <w:pPr>
        <w:ind w:left="5040" w:hanging="360"/>
      </w:pPr>
      <w:rPr>
        <w:rFonts w:ascii="Symbol" w:hAnsi="Symbol" w:hint="default"/>
      </w:rPr>
    </w:lvl>
    <w:lvl w:ilvl="7" w:tplc="7ED422E0">
      <w:start w:val="1"/>
      <w:numFmt w:val="bullet"/>
      <w:lvlText w:val="o"/>
      <w:lvlJc w:val="left"/>
      <w:pPr>
        <w:ind w:left="5760" w:hanging="360"/>
      </w:pPr>
      <w:rPr>
        <w:rFonts w:ascii="Courier New" w:hAnsi="Courier New" w:hint="default"/>
      </w:rPr>
    </w:lvl>
    <w:lvl w:ilvl="8" w:tplc="59160F4A">
      <w:start w:val="1"/>
      <w:numFmt w:val="bullet"/>
      <w:lvlText w:val=""/>
      <w:lvlJc w:val="left"/>
      <w:pPr>
        <w:ind w:left="6480" w:hanging="360"/>
      </w:pPr>
      <w:rPr>
        <w:rFonts w:ascii="Wingdings" w:hAnsi="Wingdings" w:hint="default"/>
      </w:rPr>
    </w:lvl>
  </w:abstractNum>
  <w:abstractNum w:abstractNumId="92" w15:restartNumberingAfterBreak="0">
    <w:nsid w:val="64EE3B02"/>
    <w:multiLevelType w:val="multilevel"/>
    <w:tmpl w:val="EC7CE9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3" w15:restartNumberingAfterBreak="0">
    <w:nsid w:val="695251DA"/>
    <w:multiLevelType w:val="hybridMultilevel"/>
    <w:tmpl w:val="FFFFFFFF"/>
    <w:lvl w:ilvl="0" w:tplc="91A855E8">
      <w:start w:val="1"/>
      <w:numFmt w:val="bullet"/>
      <w:lvlText w:val=""/>
      <w:lvlJc w:val="left"/>
      <w:pPr>
        <w:ind w:left="1080" w:hanging="360"/>
      </w:pPr>
      <w:rPr>
        <w:rFonts w:ascii="Symbol" w:hAnsi="Symbol" w:hint="default"/>
      </w:rPr>
    </w:lvl>
    <w:lvl w:ilvl="1" w:tplc="06ECE9AA">
      <w:start w:val="1"/>
      <w:numFmt w:val="bullet"/>
      <w:lvlText w:val="o"/>
      <w:lvlJc w:val="left"/>
      <w:pPr>
        <w:ind w:left="1440" w:hanging="360"/>
      </w:pPr>
      <w:rPr>
        <w:rFonts w:ascii="Courier New" w:hAnsi="Courier New" w:hint="default"/>
      </w:rPr>
    </w:lvl>
    <w:lvl w:ilvl="2" w:tplc="AAC6F50A">
      <w:start w:val="1"/>
      <w:numFmt w:val="bullet"/>
      <w:lvlText w:val=""/>
      <w:lvlJc w:val="left"/>
      <w:pPr>
        <w:ind w:left="2160" w:hanging="360"/>
      </w:pPr>
      <w:rPr>
        <w:rFonts w:ascii="Wingdings" w:hAnsi="Wingdings" w:hint="default"/>
      </w:rPr>
    </w:lvl>
    <w:lvl w:ilvl="3" w:tplc="0E9E3622">
      <w:start w:val="1"/>
      <w:numFmt w:val="bullet"/>
      <w:lvlText w:val=""/>
      <w:lvlJc w:val="left"/>
      <w:pPr>
        <w:ind w:left="2880" w:hanging="360"/>
      </w:pPr>
      <w:rPr>
        <w:rFonts w:ascii="Symbol" w:hAnsi="Symbol" w:hint="default"/>
      </w:rPr>
    </w:lvl>
    <w:lvl w:ilvl="4" w:tplc="44EA2EC0">
      <w:start w:val="1"/>
      <w:numFmt w:val="bullet"/>
      <w:lvlText w:val="o"/>
      <w:lvlJc w:val="left"/>
      <w:pPr>
        <w:ind w:left="3600" w:hanging="360"/>
      </w:pPr>
      <w:rPr>
        <w:rFonts w:ascii="Courier New" w:hAnsi="Courier New" w:hint="default"/>
      </w:rPr>
    </w:lvl>
    <w:lvl w:ilvl="5" w:tplc="08A26B36">
      <w:start w:val="1"/>
      <w:numFmt w:val="bullet"/>
      <w:lvlText w:val=""/>
      <w:lvlJc w:val="left"/>
      <w:pPr>
        <w:ind w:left="4320" w:hanging="360"/>
      </w:pPr>
      <w:rPr>
        <w:rFonts w:ascii="Wingdings" w:hAnsi="Wingdings" w:hint="default"/>
      </w:rPr>
    </w:lvl>
    <w:lvl w:ilvl="6" w:tplc="78BEB104">
      <w:start w:val="1"/>
      <w:numFmt w:val="bullet"/>
      <w:lvlText w:val=""/>
      <w:lvlJc w:val="left"/>
      <w:pPr>
        <w:ind w:left="5040" w:hanging="360"/>
      </w:pPr>
      <w:rPr>
        <w:rFonts w:ascii="Symbol" w:hAnsi="Symbol" w:hint="default"/>
      </w:rPr>
    </w:lvl>
    <w:lvl w:ilvl="7" w:tplc="7840BE4E">
      <w:start w:val="1"/>
      <w:numFmt w:val="bullet"/>
      <w:lvlText w:val="o"/>
      <w:lvlJc w:val="left"/>
      <w:pPr>
        <w:ind w:left="5760" w:hanging="360"/>
      </w:pPr>
      <w:rPr>
        <w:rFonts w:ascii="Courier New" w:hAnsi="Courier New" w:hint="default"/>
      </w:rPr>
    </w:lvl>
    <w:lvl w:ilvl="8" w:tplc="379A5768">
      <w:start w:val="1"/>
      <w:numFmt w:val="bullet"/>
      <w:lvlText w:val=""/>
      <w:lvlJc w:val="left"/>
      <w:pPr>
        <w:ind w:left="6480" w:hanging="360"/>
      </w:pPr>
      <w:rPr>
        <w:rFonts w:ascii="Wingdings" w:hAnsi="Wingdings" w:hint="default"/>
      </w:rPr>
    </w:lvl>
  </w:abstractNum>
  <w:abstractNum w:abstractNumId="94" w15:restartNumberingAfterBreak="0">
    <w:nsid w:val="6AA45668"/>
    <w:multiLevelType w:val="hybridMultilevel"/>
    <w:tmpl w:val="D46E0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6BDE6527"/>
    <w:multiLevelType w:val="multilevel"/>
    <w:tmpl w:val="A526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C0C47A3"/>
    <w:multiLevelType w:val="multilevel"/>
    <w:tmpl w:val="03AE87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8" w15:restartNumberingAfterBreak="0">
    <w:nsid w:val="6CE45303"/>
    <w:multiLevelType w:val="hybridMultilevel"/>
    <w:tmpl w:val="CFB841C8"/>
    <w:lvl w:ilvl="0" w:tplc="188AB632">
      <w:start w:val="1"/>
      <w:numFmt w:val="bullet"/>
      <w:lvlText w:val=""/>
      <w:lvlJc w:val="left"/>
      <w:pPr>
        <w:ind w:left="360" w:hanging="360"/>
      </w:pPr>
      <w:rPr>
        <w:rFonts w:ascii="Symbol" w:hAnsi="Symbol" w:hint="default"/>
      </w:rPr>
    </w:lvl>
    <w:lvl w:ilvl="1" w:tplc="2E14337A">
      <w:start w:val="1"/>
      <w:numFmt w:val="bullet"/>
      <w:lvlText w:val="o"/>
      <w:lvlJc w:val="left"/>
      <w:pPr>
        <w:ind w:left="1080" w:hanging="360"/>
      </w:pPr>
      <w:rPr>
        <w:rFonts w:ascii="Courier New" w:hAnsi="Courier New" w:hint="default"/>
      </w:rPr>
    </w:lvl>
    <w:lvl w:ilvl="2" w:tplc="59544158">
      <w:start w:val="1"/>
      <w:numFmt w:val="bullet"/>
      <w:lvlText w:val=""/>
      <w:lvlJc w:val="left"/>
      <w:pPr>
        <w:ind w:left="1800" w:hanging="360"/>
      </w:pPr>
      <w:rPr>
        <w:rFonts w:ascii="Wingdings" w:hAnsi="Wingdings" w:hint="default"/>
      </w:rPr>
    </w:lvl>
    <w:lvl w:ilvl="3" w:tplc="2650485C">
      <w:start w:val="1"/>
      <w:numFmt w:val="bullet"/>
      <w:lvlText w:val=""/>
      <w:lvlJc w:val="left"/>
      <w:pPr>
        <w:ind w:left="2520" w:hanging="360"/>
      </w:pPr>
      <w:rPr>
        <w:rFonts w:ascii="Symbol" w:hAnsi="Symbol" w:hint="default"/>
      </w:rPr>
    </w:lvl>
    <w:lvl w:ilvl="4" w:tplc="5170A920">
      <w:start w:val="1"/>
      <w:numFmt w:val="bullet"/>
      <w:lvlText w:val="o"/>
      <w:lvlJc w:val="left"/>
      <w:pPr>
        <w:ind w:left="3240" w:hanging="360"/>
      </w:pPr>
      <w:rPr>
        <w:rFonts w:ascii="Courier New" w:hAnsi="Courier New" w:hint="default"/>
      </w:rPr>
    </w:lvl>
    <w:lvl w:ilvl="5" w:tplc="DB30494C">
      <w:start w:val="1"/>
      <w:numFmt w:val="bullet"/>
      <w:lvlText w:val=""/>
      <w:lvlJc w:val="left"/>
      <w:pPr>
        <w:ind w:left="3960" w:hanging="360"/>
      </w:pPr>
      <w:rPr>
        <w:rFonts w:ascii="Wingdings" w:hAnsi="Wingdings" w:hint="default"/>
      </w:rPr>
    </w:lvl>
    <w:lvl w:ilvl="6" w:tplc="38B62F22">
      <w:start w:val="1"/>
      <w:numFmt w:val="bullet"/>
      <w:lvlText w:val=""/>
      <w:lvlJc w:val="left"/>
      <w:pPr>
        <w:ind w:left="4680" w:hanging="360"/>
      </w:pPr>
      <w:rPr>
        <w:rFonts w:ascii="Symbol" w:hAnsi="Symbol" w:hint="default"/>
      </w:rPr>
    </w:lvl>
    <w:lvl w:ilvl="7" w:tplc="AABC58B4">
      <w:start w:val="1"/>
      <w:numFmt w:val="bullet"/>
      <w:lvlText w:val="o"/>
      <w:lvlJc w:val="left"/>
      <w:pPr>
        <w:ind w:left="5400" w:hanging="360"/>
      </w:pPr>
      <w:rPr>
        <w:rFonts w:ascii="Courier New" w:hAnsi="Courier New" w:hint="default"/>
      </w:rPr>
    </w:lvl>
    <w:lvl w:ilvl="8" w:tplc="68B66932">
      <w:start w:val="1"/>
      <w:numFmt w:val="bullet"/>
      <w:lvlText w:val=""/>
      <w:lvlJc w:val="left"/>
      <w:pPr>
        <w:ind w:left="6120" w:hanging="360"/>
      </w:pPr>
      <w:rPr>
        <w:rFonts w:ascii="Wingdings" w:hAnsi="Wingdings" w:hint="default"/>
      </w:rPr>
    </w:lvl>
  </w:abstractNum>
  <w:abstractNum w:abstractNumId="99" w15:restartNumberingAfterBreak="0">
    <w:nsid w:val="6D4967CE"/>
    <w:multiLevelType w:val="multilevel"/>
    <w:tmpl w:val="0C6877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0" w15:restartNumberingAfterBreak="0">
    <w:nsid w:val="6EBB462D"/>
    <w:multiLevelType w:val="hybridMultilevel"/>
    <w:tmpl w:val="0562F5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6FBD7D45"/>
    <w:multiLevelType w:val="hybridMultilevel"/>
    <w:tmpl w:val="39D067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719D6373"/>
    <w:multiLevelType w:val="hybridMultilevel"/>
    <w:tmpl w:val="16C293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104" w15:restartNumberingAfterBreak="0">
    <w:nsid w:val="71E76ABB"/>
    <w:multiLevelType w:val="hybridMultilevel"/>
    <w:tmpl w:val="A6129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73654189"/>
    <w:multiLevelType w:val="hybridMultilevel"/>
    <w:tmpl w:val="034CF8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49B38F9"/>
    <w:multiLevelType w:val="multilevel"/>
    <w:tmpl w:val="ABA20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5444DE9"/>
    <w:multiLevelType w:val="hybridMultilevel"/>
    <w:tmpl w:val="FFFFFFFF"/>
    <w:lvl w:ilvl="0" w:tplc="41CA4422">
      <w:start w:val="1"/>
      <w:numFmt w:val="bullet"/>
      <w:lvlText w:val=""/>
      <w:lvlJc w:val="left"/>
      <w:pPr>
        <w:ind w:left="1080" w:hanging="360"/>
      </w:pPr>
      <w:rPr>
        <w:rFonts w:ascii="Symbol" w:hAnsi="Symbol" w:hint="default"/>
      </w:rPr>
    </w:lvl>
    <w:lvl w:ilvl="1" w:tplc="4928D746">
      <w:start w:val="1"/>
      <w:numFmt w:val="bullet"/>
      <w:lvlText w:val="o"/>
      <w:lvlJc w:val="left"/>
      <w:pPr>
        <w:ind w:left="1440" w:hanging="360"/>
      </w:pPr>
      <w:rPr>
        <w:rFonts w:ascii="Courier New" w:hAnsi="Courier New" w:hint="default"/>
      </w:rPr>
    </w:lvl>
    <w:lvl w:ilvl="2" w:tplc="59A482F6">
      <w:start w:val="1"/>
      <w:numFmt w:val="bullet"/>
      <w:lvlText w:val=""/>
      <w:lvlJc w:val="left"/>
      <w:pPr>
        <w:ind w:left="2160" w:hanging="360"/>
      </w:pPr>
      <w:rPr>
        <w:rFonts w:ascii="Wingdings" w:hAnsi="Wingdings" w:hint="default"/>
      </w:rPr>
    </w:lvl>
    <w:lvl w:ilvl="3" w:tplc="A668525C">
      <w:start w:val="1"/>
      <w:numFmt w:val="bullet"/>
      <w:lvlText w:val=""/>
      <w:lvlJc w:val="left"/>
      <w:pPr>
        <w:ind w:left="2880" w:hanging="360"/>
      </w:pPr>
      <w:rPr>
        <w:rFonts w:ascii="Symbol" w:hAnsi="Symbol" w:hint="default"/>
      </w:rPr>
    </w:lvl>
    <w:lvl w:ilvl="4" w:tplc="286407CE">
      <w:start w:val="1"/>
      <w:numFmt w:val="bullet"/>
      <w:lvlText w:val="o"/>
      <w:lvlJc w:val="left"/>
      <w:pPr>
        <w:ind w:left="3600" w:hanging="360"/>
      </w:pPr>
      <w:rPr>
        <w:rFonts w:ascii="Courier New" w:hAnsi="Courier New" w:hint="default"/>
      </w:rPr>
    </w:lvl>
    <w:lvl w:ilvl="5" w:tplc="C53AC624">
      <w:start w:val="1"/>
      <w:numFmt w:val="bullet"/>
      <w:lvlText w:val=""/>
      <w:lvlJc w:val="left"/>
      <w:pPr>
        <w:ind w:left="4320" w:hanging="360"/>
      </w:pPr>
      <w:rPr>
        <w:rFonts w:ascii="Wingdings" w:hAnsi="Wingdings" w:hint="default"/>
      </w:rPr>
    </w:lvl>
    <w:lvl w:ilvl="6" w:tplc="C72EB532">
      <w:start w:val="1"/>
      <w:numFmt w:val="bullet"/>
      <w:lvlText w:val=""/>
      <w:lvlJc w:val="left"/>
      <w:pPr>
        <w:ind w:left="5040" w:hanging="360"/>
      </w:pPr>
      <w:rPr>
        <w:rFonts w:ascii="Symbol" w:hAnsi="Symbol" w:hint="default"/>
      </w:rPr>
    </w:lvl>
    <w:lvl w:ilvl="7" w:tplc="D19039B0">
      <w:start w:val="1"/>
      <w:numFmt w:val="bullet"/>
      <w:lvlText w:val="o"/>
      <w:lvlJc w:val="left"/>
      <w:pPr>
        <w:ind w:left="5760" w:hanging="360"/>
      </w:pPr>
      <w:rPr>
        <w:rFonts w:ascii="Courier New" w:hAnsi="Courier New" w:hint="default"/>
      </w:rPr>
    </w:lvl>
    <w:lvl w:ilvl="8" w:tplc="699E3E6E">
      <w:start w:val="1"/>
      <w:numFmt w:val="bullet"/>
      <w:lvlText w:val=""/>
      <w:lvlJc w:val="left"/>
      <w:pPr>
        <w:ind w:left="6480" w:hanging="360"/>
      </w:pPr>
      <w:rPr>
        <w:rFonts w:ascii="Wingdings" w:hAnsi="Wingdings" w:hint="default"/>
      </w:rPr>
    </w:lvl>
  </w:abstractNum>
  <w:abstractNum w:abstractNumId="108" w15:restartNumberingAfterBreak="0">
    <w:nsid w:val="76532D7C"/>
    <w:multiLevelType w:val="hybridMultilevel"/>
    <w:tmpl w:val="47F63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769F7E5A"/>
    <w:multiLevelType w:val="hybridMultilevel"/>
    <w:tmpl w:val="5EE6F594"/>
    <w:lvl w:ilvl="0" w:tplc="FFFFFFFF">
      <w:start w:val="1"/>
      <w:numFmt w:val="decimal"/>
      <w:lvlText w:val="%1."/>
      <w:lvlJc w:val="left"/>
      <w:pPr>
        <w:ind w:left="2160" w:hanging="360"/>
      </w:p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start w:val="1"/>
      <w:numFmt w:val="decimal"/>
      <w:lvlText w:val="%7."/>
      <w:lvlJc w:val="left"/>
      <w:pPr>
        <w:ind w:left="6480" w:hanging="360"/>
      </w:pPr>
    </w:lvl>
    <w:lvl w:ilvl="7" w:tplc="FFFFFFFF">
      <w:start w:val="1"/>
      <w:numFmt w:val="lowerLetter"/>
      <w:lvlText w:val="%8."/>
      <w:lvlJc w:val="left"/>
      <w:pPr>
        <w:ind w:left="7200" w:hanging="360"/>
      </w:pPr>
    </w:lvl>
    <w:lvl w:ilvl="8" w:tplc="FFFFFFFF">
      <w:start w:val="1"/>
      <w:numFmt w:val="lowerRoman"/>
      <w:lvlText w:val="%9."/>
      <w:lvlJc w:val="right"/>
      <w:pPr>
        <w:ind w:left="7920" w:hanging="180"/>
      </w:pPr>
    </w:lvl>
  </w:abstractNum>
  <w:abstractNum w:abstractNumId="110" w15:restartNumberingAfterBreak="0">
    <w:nsid w:val="78022823"/>
    <w:multiLevelType w:val="multilevel"/>
    <w:tmpl w:val="0A94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A486B3A"/>
    <w:multiLevelType w:val="hybridMultilevel"/>
    <w:tmpl w:val="F13E91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BDA3B16"/>
    <w:multiLevelType w:val="multilevel"/>
    <w:tmpl w:val="E35E1D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3" w15:restartNumberingAfterBreak="0">
    <w:nsid w:val="7C0D57B2"/>
    <w:multiLevelType w:val="hybridMultilevel"/>
    <w:tmpl w:val="1BAE57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D7E1E48"/>
    <w:multiLevelType w:val="multilevel"/>
    <w:tmpl w:val="B6568A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5" w15:restartNumberingAfterBreak="0">
    <w:nsid w:val="7FB35437"/>
    <w:multiLevelType w:val="hybridMultilevel"/>
    <w:tmpl w:val="FDF8D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7FC443B5"/>
    <w:multiLevelType w:val="hybridMultilevel"/>
    <w:tmpl w:val="87487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97605193">
    <w:abstractNumId w:val="91"/>
  </w:num>
  <w:num w:numId="2" w16cid:durableId="1337608731">
    <w:abstractNumId w:val="7"/>
  </w:num>
  <w:num w:numId="3" w16cid:durableId="431322309">
    <w:abstractNumId w:val="1"/>
  </w:num>
  <w:num w:numId="4" w16cid:durableId="413553232">
    <w:abstractNumId w:val="30"/>
  </w:num>
  <w:num w:numId="5" w16cid:durableId="552236328">
    <w:abstractNumId w:val="107"/>
  </w:num>
  <w:num w:numId="6" w16cid:durableId="925454353">
    <w:abstractNumId w:val="20"/>
  </w:num>
  <w:num w:numId="7" w16cid:durableId="83645727">
    <w:abstractNumId w:val="93"/>
  </w:num>
  <w:num w:numId="8" w16cid:durableId="1754620235">
    <w:abstractNumId w:val="32"/>
  </w:num>
  <w:num w:numId="9" w16cid:durableId="969365539">
    <w:abstractNumId w:val="95"/>
  </w:num>
  <w:num w:numId="10" w16cid:durableId="426273653">
    <w:abstractNumId w:val="103"/>
  </w:num>
  <w:num w:numId="11" w16cid:durableId="1299454016">
    <w:abstractNumId w:val="39"/>
  </w:num>
  <w:num w:numId="12" w16cid:durableId="1679309455">
    <w:abstractNumId w:val="50"/>
  </w:num>
  <w:num w:numId="13" w16cid:durableId="1901943406">
    <w:abstractNumId w:val="45"/>
  </w:num>
  <w:num w:numId="14" w16cid:durableId="244657654">
    <w:abstractNumId w:val="79"/>
  </w:num>
  <w:num w:numId="15" w16cid:durableId="2069105245">
    <w:abstractNumId w:val="52"/>
  </w:num>
  <w:num w:numId="16" w16cid:durableId="405304969">
    <w:abstractNumId w:val="38"/>
  </w:num>
  <w:num w:numId="17" w16cid:durableId="1493449634">
    <w:abstractNumId w:val="0"/>
  </w:num>
  <w:num w:numId="18" w16cid:durableId="1893417929">
    <w:abstractNumId w:val="111"/>
  </w:num>
  <w:num w:numId="19" w16cid:durableId="1712225533">
    <w:abstractNumId w:val="58"/>
  </w:num>
  <w:num w:numId="20" w16cid:durableId="1509366554">
    <w:abstractNumId w:val="113"/>
  </w:num>
  <w:num w:numId="21" w16cid:durableId="1032389609">
    <w:abstractNumId w:val="48"/>
  </w:num>
  <w:num w:numId="22" w16cid:durableId="2014527796">
    <w:abstractNumId w:val="42"/>
  </w:num>
  <w:num w:numId="23" w16cid:durableId="1924752059">
    <w:abstractNumId w:val="83"/>
  </w:num>
  <w:num w:numId="24" w16cid:durableId="1811902084">
    <w:abstractNumId w:val="76"/>
  </w:num>
  <w:num w:numId="25" w16cid:durableId="937450316">
    <w:abstractNumId w:val="68"/>
  </w:num>
  <w:num w:numId="26" w16cid:durableId="2076078762">
    <w:abstractNumId w:val="31"/>
  </w:num>
  <w:num w:numId="27" w16cid:durableId="832375768">
    <w:abstractNumId w:val="2"/>
  </w:num>
  <w:num w:numId="28" w16cid:durableId="1509707999">
    <w:abstractNumId w:val="65"/>
  </w:num>
  <w:num w:numId="29" w16cid:durableId="1533415376">
    <w:abstractNumId w:val="66"/>
  </w:num>
  <w:num w:numId="30" w16cid:durableId="628173806">
    <w:abstractNumId w:val="16"/>
  </w:num>
  <w:num w:numId="31" w16cid:durableId="1579244243">
    <w:abstractNumId w:val="29"/>
  </w:num>
  <w:num w:numId="32" w16cid:durableId="2021002017">
    <w:abstractNumId w:val="26"/>
  </w:num>
  <w:num w:numId="33" w16cid:durableId="210964838">
    <w:abstractNumId w:val="33"/>
  </w:num>
  <w:num w:numId="34" w16cid:durableId="35473544">
    <w:abstractNumId w:val="74"/>
  </w:num>
  <w:num w:numId="35" w16cid:durableId="1533150403">
    <w:abstractNumId w:val="75"/>
  </w:num>
  <w:num w:numId="36" w16cid:durableId="2140217511">
    <w:abstractNumId w:val="84"/>
  </w:num>
  <w:num w:numId="37" w16cid:durableId="427578378">
    <w:abstractNumId w:val="78"/>
  </w:num>
  <w:num w:numId="38" w16cid:durableId="624508417">
    <w:abstractNumId w:val="116"/>
  </w:num>
  <w:num w:numId="39" w16cid:durableId="638531278">
    <w:abstractNumId w:val="73"/>
  </w:num>
  <w:num w:numId="40" w16cid:durableId="2130970192">
    <w:abstractNumId w:val="87"/>
  </w:num>
  <w:num w:numId="41" w16cid:durableId="525867322">
    <w:abstractNumId w:val="102"/>
  </w:num>
  <w:num w:numId="42" w16cid:durableId="1122847919">
    <w:abstractNumId w:val="12"/>
  </w:num>
  <w:num w:numId="43" w16cid:durableId="1362583639">
    <w:abstractNumId w:val="41"/>
  </w:num>
  <w:num w:numId="44" w16cid:durableId="727917249">
    <w:abstractNumId w:val="4"/>
  </w:num>
  <w:num w:numId="45" w16cid:durableId="336810949">
    <w:abstractNumId w:val="3"/>
  </w:num>
  <w:num w:numId="46" w16cid:durableId="1094204202">
    <w:abstractNumId w:val="62"/>
  </w:num>
  <w:num w:numId="47" w16cid:durableId="409936253">
    <w:abstractNumId w:val="109"/>
  </w:num>
  <w:num w:numId="48" w16cid:durableId="1094127518">
    <w:abstractNumId w:val="85"/>
  </w:num>
  <w:num w:numId="49" w16cid:durableId="141121880">
    <w:abstractNumId w:val="56"/>
  </w:num>
  <w:num w:numId="50" w16cid:durableId="2133092046">
    <w:abstractNumId w:val="18"/>
  </w:num>
  <w:num w:numId="51" w16cid:durableId="558832753">
    <w:abstractNumId w:val="70"/>
  </w:num>
  <w:num w:numId="52" w16cid:durableId="323246963">
    <w:abstractNumId w:val="54"/>
  </w:num>
  <w:num w:numId="53" w16cid:durableId="1012344396">
    <w:abstractNumId w:val="63"/>
  </w:num>
  <w:num w:numId="54" w16cid:durableId="1368064375">
    <w:abstractNumId w:val="104"/>
  </w:num>
  <w:num w:numId="55" w16cid:durableId="689834989">
    <w:abstractNumId w:val="89"/>
  </w:num>
  <w:num w:numId="56" w16cid:durableId="1105885848">
    <w:abstractNumId w:val="57"/>
  </w:num>
  <w:num w:numId="57" w16cid:durableId="1869835406">
    <w:abstractNumId w:val="114"/>
  </w:num>
  <w:num w:numId="58" w16cid:durableId="1738478226">
    <w:abstractNumId w:val="92"/>
  </w:num>
  <w:num w:numId="59" w16cid:durableId="851340729">
    <w:abstractNumId w:val="15"/>
  </w:num>
  <w:num w:numId="60" w16cid:durableId="1302805548">
    <w:abstractNumId w:val="37"/>
  </w:num>
  <w:num w:numId="61" w16cid:durableId="1399474613">
    <w:abstractNumId w:val="71"/>
  </w:num>
  <w:num w:numId="62" w16cid:durableId="1864125999">
    <w:abstractNumId w:val="112"/>
  </w:num>
  <w:num w:numId="63" w16cid:durableId="2055959684">
    <w:abstractNumId w:val="99"/>
  </w:num>
  <w:num w:numId="64" w16cid:durableId="116729511">
    <w:abstractNumId w:val="69"/>
  </w:num>
  <w:num w:numId="65" w16cid:durableId="2033024523">
    <w:abstractNumId w:val="105"/>
  </w:num>
  <w:num w:numId="66" w16cid:durableId="2066754168">
    <w:abstractNumId w:val="60"/>
  </w:num>
  <w:num w:numId="67" w16cid:durableId="1372342313">
    <w:abstractNumId w:val="97"/>
  </w:num>
  <w:num w:numId="68" w16cid:durableId="741178428">
    <w:abstractNumId w:val="86"/>
  </w:num>
  <w:num w:numId="69" w16cid:durableId="1023823328">
    <w:abstractNumId w:val="64"/>
  </w:num>
  <w:num w:numId="70" w16cid:durableId="1676610194">
    <w:abstractNumId w:val="96"/>
  </w:num>
  <w:num w:numId="71" w16cid:durableId="2093893743">
    <w:abstractNumId w:val="46"/>
  </w:num>
  <w:num w:numId="72" w16cid:durableId="370039019">
    <w:abstractNumId w:val="23"/>
  </w:num>
  <w:num w:numId="73" w16cid:durableId="1203326305">
    <w:abstractNumId w:val="106"/>
  </w:num>
  <w:num w:numId="74" w16cid:durableId="398208381">
    <w:abstractNumId w:val="77"/>
  </w:num>
  <w:num w:numId="75" w16cid:durableId="957026120">
    <w:abstractNumId w:val="36"/>
  </w:num>
  <w:num w:numId="76" w16cid:durableId="1661428312">
    <w:abstractNumId w:val="10"/>
  </w:num>
  <w:num w:numId="77" w16cid:durableId="1904364356">
    <w:abstractNumId w:val="47"/>
  </w:num>
  <w:num w:numId="78" w16cid:durableId="809634576">
    <w:abstractNumId w:val="22"/>
  </w:num>
  <w:num w:numId="79" w16cid:durableId="421028399">
    <w:abstractNumId w:val="81"/>
  </w:num>
  <w:num w:numId="80" w16cid:durableId="2024479801">
    <w:abstractNumId w:val="98"/>
  </w:num>
  <w:num w:numId="81" w16cid:durableId="2008432720">
    <w:abstractNumId w:val="25"/>
  </w:num>
  <w:num w:numId="82" w16cid:durableId="280577894">
    <w:abstractNumId w:val="17"/>
  </w:num>
  <w:num w:numId="83" w16cid:durableId="782652018">
    <w:abstractNumId w:val="9"/>
  </w:num>
  <w:num w:numId="84" w16cid:durableId="1677686642">
    <w:abstractNumId w:val="82"/>
  </w:num>
  <w:num w:numId="85" w16cid:durableId="353305674">
    <w:abstractNumId w:val="43"/>
  </w:num>
  <w:num w:numId="86" w16cid:durableId="613177791">
    <w:abstractNumId w:val="53"/>
  </w:num>
  <w:num w:numId="87" w16cid:durableId="1932350777">
    <w:abstractNumId w:val="51"/>
  </w:num>
  <w:num w:numId="88" w16cid:durableId="469513971">
    <w:abstractNumId w:val="21"/>
  </w:num>
  <w:num w:numId="89" w16cid:durableId="1370688511">
    <w:abstractNumId w:val="108"/>
  </w:num>
  <w:num w:numId="90" w16cid:durableId="1101032448">
    <w:abstractNumId w:val="115"/>
  </w:num>
  <w:num w:numId="91" w16cid:durableId="1354529084">
    <w:abstractNumId w:val="40"/>
  </w:num>
  <w:num w:numId="92" w16cid:durableId="1013142290">
    <w:abstractNumId w:val="11"/>
  </w:num>
  <w:num w:numId="93" w16cid:durableId="340620292">
    <w:abstractNumId w:val="59"/>
  </w:num>
  <w:num w:numId="94" w16cid:durableId="1226379560">
    <w:abstractNumId w:val="88"/>
  </w:num>
  <w:num w:numId="95" w16cid:durableId="1233352756">
    <w:abstractNumId w:val="67"/>
  </w:num>
  <w:num w:numId="96" w16cid:durableId="1557619422">
    <w:abstractNumId w:val="28"/>
  </w:num>
  <w:num w:numId="97" w16cid:durableId="1649628780">
    <w:abstractNumId w:val="61"/>
  </w:num>
  <w:num w:numId="98" w16cid:durableId="792402504">
    <w:abstractNumId w:val="100"/>
  </w:num>
  <w:num w:numId="99" w16cid:durableId="1650089806">
    <w:abstractNumId w:val="101"/>
  </w:num>
  <w:num w:numId="100" w16cid:durableId="228342629">
    <w:abstractNumId w:val="34"/>
  </w:num>
  <w:num w:numId="101" w16cid:durableId="1811510073">
    <w:abstractNumId w:val="90"/>
  </w:num>
  <w:num w:numId="102" w16cid:durableId="1048796493">
    <w:abstractNumId w:val="24"/>
  </w:num>
  <w:num w:numId="103" w16cid:durableId="1160972058">
    <w:abstractNumId w:val="6"/>
  </w:num>
  <w:num w:numId="104" w16cid:durableId="1005206853">
    <w:abstractNumId w:val="35"/>
  </w:num>
  <w:num w:numId="105" w16cid:durableId="793018244">
    <w:abstractNumId w:val="49"/>
  </w:num>
  <w:num w:numId="106" w16cid:durableId="1073308413">
    <w:abstractNumId w:val="5"/>
  </w:num>
  <w:num w:numId="107" w16cid:durableId="160463434">
    <w:abstractNumId w:val="55"/>
  </w:num>
  <w:num w:numId="108" w16cid:durableId="14578926">
    <w:abstractNumId w:val="44"/>
  </w:num>
  <w:num w:numId="109" w16cid:durableId="769355178">
    <w:abstractNumId w:val="27"/>
  </w:num>
  <w:num w:numId="110" w16cid:durableId="145978412">
    <w:abstractNumId w:val="80"/>
  </w:num>
  <w:num w:numId="111" w16cid:durableId="1154687570">
    <w:abstractNumId w:val="14"/>
  </w:num>
  <w:num w:numId="112" w16cid:durableId="514805605">
    <w:abstractNumId w:val="72"/>
  </w:num>
  <w:num w:numId="113" w16cid:durableId="186063560">
    <w:abstractNumId w:val="8"/>
  </w:num>
  <w:num w:numId="114" w16cid:durableId="786893496">
    <w:abstractNumId w:val="19"/>
  </w:num>
  <w:num w:numId="115" w16cid:durableId="102043630">
    <w:abstractNumId w:val="110"/>
  </w:num>
  <w:num w:numId="116" w16cid:durableId="1876767586">
    <w:abstractNumId w:val="94"/>
  </w:num>
  <w:num w:numId="117" w16cid:durableId="197090540">
    <w:abstractNumId w:val="1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0607"/>
    <w:rsid w:val="00000BC1"/>
    <w:rsid w:val="00000DA4"/>
    <w:rsid w:val="0000138A"/>
    <w:rsid w:val="0000182B"/>
    <w:rsid w:val="00001F50"/>
    <w:rsid w:val="000025ED"/>
    <w:rsid w:val="000027C5"/>
    <w:rsid w:val="00003809"/>
    <w:rsid w:val="000038A1"/>
    <w:rsid w:val="000040C8"/>
    <w:rsid w:val="0000580E"/>
    <w:rsid w:val="00006195"/>
    <w:rsid w:val="00006264"/>
    <w:rsid w:val="000069D1"/>
    <w:rsid w:val="00006B04"/>
    <w:rsid w:val="00006D7B"/>
    <w:rsid w:val="000071FD"/>
    <w:rsid w:val="00007CE7"/>
    <w:rsid w:val="0001013B"/>
    <w:rsid w:val="000108EE"/>
    <w:rsid w:val="00010BB7"/>
    <w:rsid w:val="00010C94"/>
    <w:rsid w:val="000116DD"/>
    <w:rsid w:val="000117BB"/>
    <w:rsid w:val="000121AA"/>
    <w:rsid w:val="0001227E"/>
    <w:rsid w:val="00012516"/>
    <w:rsid w:val="00012996"/>
    <w:rsid w:val="00012E82"/>
    <w:rsid w:val="00013039"/>
    <w:rsid w:val="000136FA"/>
    <w:rsid w:val="00013C2E"/>
    <w:rsid w:val="00015205"/>
    <w:rsid w:val="000155CA"/>
    <w:rsid w:val="00015A36"/>
    <w:rsid w:val="00015A7A"/>
    <w:rsid w:val="00015D93"/>
    <w:rsid w:val="00016475"/>
    <w:rsid w:val="00016D8D"/>
    <w:rsid w:val="00021279"/>
    <w:rsid w:val="00021B8F"/>
    <w:rsid w:val="000229BA"/>
    <w:rsid w:val="00022AAE"/>
    <w:rsid w:val="00022F4E"/>
    <w:rsid w:val="00023021"/>
    <w:rsid w:val="000230E7"/>
    <w:rsid w:val="00023625"/>
    <w:rsid w:val="000252EF"/>
    <w:rsid w:val="00025353"/>
    <w:rsid w:val="00025484"/>
    <w:rsid w:val="000264F6"/>
    <w:rsid w:val="000271DA"/>
    <w:rsid w:val="00027566"/>
    <w:rsid w:val="00027603"/>
    <w:rsid w:val="000314F1"/>
    <w:rsid w:val="00031AFD"/>
    <w:rsid w:val="0003239D"/>
    <w:rsid w:val="00032E59"/>
    <w:rsid w:val="00032EFC"/>
    <w:rsid w:val="00034CB1"/>
    <w:rsid w:val="00034F8A"/>
    <w:rsid w:val="00035F51"/>
    <w:rsid w:val="00036799"/>
    <w:rsid w:val="0003684A"/>
    <w:rsid w:val="00036AA3"/>
    <w:rsid w:val="00036D88"/>
    <w:rsid w:val="000373D3"/>
    <w:rsid w:val="000374AA"/>
    <w:rsid w:val="000375D7"/>
    <w:rsid w:val="0003799A"/>
    <w:rsid w:val="000402A7"/>
    <w:rsid w:val="00040F36"/>
    <w:rsid w:val="000411FD"/>
    <w:rsid w:val="000412A5"/>
    <w:rsid w:val="000417FF"/>
    <w:rsid w:val="00041C71"/>
    <w:rsid w:val="00042188"/>
    <w:rsid w:val="00042D8C"/>
    <w:rsid w:val="0004361A"/>
    <w:rsid w:val="00043756"/>
    <w:rsid w:val="0004396B"/>
    <w:rsid w:val="000447E3"/>
    <w:rsid w:val="00044F31"/>
    <w:rsid w:val="00045D4A"/>
    <w:rsid w:val="000464BF"/>
    <w:rsid w:val="00047877"/>
    <w:rsid w:val="00047DC4"/>
    <w:rsid w:val="00047E9B"/>
    <w:rsid w:val="000514D2"/>
    <w:rsid w:val="000516C4"/>
    <w:rsid w:val="000520E3"/>
    <w:rsid w:val="00052E45"/>
    <w:rsid w:val="00053872"/>
    <w:rsid w:val="0005401D"/>
    <w:rsid w:val="00054D11"/>
    <w:rsid w:val="000600F9"/>
    <w:rsid w:val="00060A50"/>
    <w:rsid w:val="00060C45"/>
    <w:rsid w:val="00061054"/>
    <w:rsid w:val="0006182B"/>
    <w:rsid w:val="00061A0B"/>
    <w:rsid w:val="00062DC6"/>
    <w:rsid w:val="000634CB"/>
    <w:rsid w:val="0006385F"/>
    <w:rsid w:val="00063E4B"/>
    <w:rsid w:val="00063E9B"/>
    <w:rsid w:val="00063FD3"/>
    <w:rsid w:val="000643B6"/>
    <w:rsid w:val="00065005"/>
    <w:rsid w:val="0006569A"/>
    <w:rsid w:val="00065F54"/>
    <w:rsid w:val="0006621B"/>
    <w:rsid w:val="00066BB0"/>
    <w:rsid w:val="00066E3C"/>
    <w:rsid w:val="00071431"/>
    <w:rsid w:val="00073A4F"/>
    <w:rsid w:val="00073A7A"/>
    <w:rsid w:val="000740E9"/>
    <w:rsid w:val="00074A52"/>
    <w:rsid w:val="00074C42"/>
    <w:rsid w:val="00075E71"/>
    <w:rsid w:val="000762D4"/>
    <w:rsid w:val="00080CB7"/>
    <w:rsid w:val="000818D9"/>
    <w:rsid w:val="00081B87"/>
    <w:rsid w:val="00082B4C"/>
    <w:rsid w:val="00082CF9"/>
    <w:rsid w:val="000830E5"/>
    <w:rsid w:val="000833AC"/>
    <w:rsid w:val="000848A8"/>
    <w:rsid w:val="000848F6"/>
    <w:rsid w:val="00085254"/>
    <w:rsid w:val="0008565F"/>
    <w:rsid w:val="00086440"/>
    <w:rsid w:val="00087705"/>
    <w:rsid w:val="00087B07"/>
    <w:rsid w:val="00090513"/>
    <w:rsid w:val="000907F8"/>
    <w:rsid w:val="00091432"/>
    <w:rsid w:val="00092108"/>
    <w:rsid w:val="000923E7"/>
    <w:rsid w:val="00092FF5"/>
    <w:rsid w:val="0009357B"/>
    <w:rsid w:val="000943AF"/>
    <w:rsid w:val="00094CEB"/>
    <w:rsid w:val="00096555"/>
    <w:rsid w:val="000973FF"/>
    <w:rsid w:val="00097B5F"/>
    <w:rsid w:val="00097FBB"/>
    <w:rsid w:val="000A00F4"/>
    <w:rsid w:val="000A0AAE"/>
    <w:rsid w:val="000A0C71"/>
    <w:rsid w:val="000A1A8A"/>
    <w:rsid w:val="000A1D71"/>
    <w:rsid w:val="000A2A15"/>
    <w:rsid w:val="000A2F0E"/>
    <w:rsid w:val="000A30BD"/>
    <w:rsid w:val="000A33E1"/>
    <w:rsid w:val="000A3463"/>
    <w:rsid w:val="000A3464"/>
    <w:rsid w:val="000A37DF"/>
    <w:rsid w:val="000A3B34"/>
    <w:rsid w:val="000A3C9D"/>
    <w:rsid w:val="000A43EF"/>
    <w:rsid w:val="000A513B"/>
    <w:rsid w:val="000A5970"/>
    <w:rsid w:val="000A5A86"/>
    <w:rsid w:val="000A68A5"/>
    <w:rsid w:val="000A7569"/>
    <w:rsid w:val="000A76C3"/>
    <w:rsid w:val="000A7A2B"/>
    <w:rsid w:val="000A7CEE"/>
    <w:rsid w:val="000B0466"/>
    <w:rsid w:val="000B1139"/>
    <w:rsid w:val="000B1A45"/>
    <w:rsid w:val="000B1BB0"/>
    <w:rsid w:val="000B24C3"/>
    <w:rsid w:val="000B26CD"/>
    <w:rsid w:val="000B301E"/>
    <w:rsid w:val="000B3B59"/>
    <w:rsid w:val="000B3FF3"/>
    <w:rsid w:val="000B41E7"/>
    <w:rsid w:val="000B4DFC"/>
    <w:rsid w:val="000B4FAC"/>
    <w:rsid w:val="000B5223"/>
    <w:rsid w:val="000B5777"/>
    <w:rsid w:val="000B60D2"/>
    <w:rsid w:val="000B68A9"/>
    <w:rsid w:val="000B6DD7"/>
    <w:rsid w:val="000B70AD"/>
    <w:rsid w:val="000B724C"/>
    <w:rsid w:val="000B7CA3"/>
    <w:rsid w:val="000C145C"/>
    <w:rsid w:val="000C18FE"/>
    <w:rsid w:val="000C2051"/>
    <w:rsid w:val="000C2948"/>
    <w:rsid w:val="000C2E36"/>
    <w:rsid w:val="000C2F18"/>
    <w:rsid w:val="000C3D58"/>
    <w:rsid w:val="000C4850"/>
    <w:rsid w:val="000C5EAF"/>
    <w:rsid w:val="000C66D7"/>
    <w:rsid w:val="000C6FDB"/>
    <w:rsid w:val="000D022D"/>
    <w:rsid w:val="000D0974"/>
    <w:rsid w:val="000D0C3A"/>
    <w:rsid w:val="000D1E32"/>
    <w:rsid w:val="000D3C9A"/>
    <w:rsid w:val="000D3EBA"/>
    <w:rsid w:val="000D48DE"/>
    <w:rsid w:val="000D4AFC"/>
    <w:rsid w:val="000D548D"/>
    <w:rsid w:val="000D62CD"/>
    <w:rsid w:val="000D64E0"/>
    <w:rsid w:val="000D6CE4"/>
    <w:rsid w:val="000D7E52"/>
    <w:rsid w:val="000E1525"/>
    <w:rsid w:val="000E164E"/>
    <w:rsid w:val="000E1A43"/>
    <w:rsid w:val="000E1E71"/>
    <w:rsid w:val="000E201A"/>
    <w:rsid w:val="000E26BB"/>
    <w:rsid w:val="000E27EA"/>
    <w:rsid w:val="000E36D1"/>
    <w:rsid w:val="000E3E25"/>
    <w:rsid w:val="000E5019"/>
    <w:rsid w:val="000E5A8A"/>
    <w:rsid w:val="000E66F3"/>
    <w:rsid w:val="000E7FB2"/>
    <w:rsid w:val="000F0EBA"/>
    <w:rsid w:val="000F1745"/>
    <w:rsid w:val="000F1A13"/>
    <w:rsid w:val="000F2950"/>
    <w:rsid w:val="000F372C"/>
    <w:rsid w:val="000F422E"/>
    <w:rsid w:val="000F5864"/>
    <w:rsid w:val="000F6C0C"/>
    <w:rsid w:val="000F7693"/>
    <w:rsid w:val="000F7B77"/>
    <w:rsid w:val="000F7F3B"/>
    <w:rsid w:val="00101281"/>
    <w:rsid w:val="00101437"/>
    <w:rsid w:val="0010194A"/>
    <w:rsid w:val="00101B6B"/>
    <w:rsid w:val="00101F10"/>
    <w:rsid w:val="001023B9"/>
    <w:rsid w:val="00103BC8"/>
    <w:rsid w:val="00103D46"/>
    <w:rsid w:val="00103F17"/>
    <w:rsid w:val="001047CC"/>
    <w:rsid w:val="001053B9"/>
    <w:rsid w:val="00106A18"/>
    <w:rsid w:val="00107100"/>
    <w:rsid w:val="00107C04"/>
    <w:rsid w:val="00107EDB"/>
    <w:rsid w:val="00110260"/>
    <w:rsid w:val="001112C6"/>
    <w:rsid w:val="00111E54"/>
    <w:rsid w:val="00112308"/>
    <w:rsid w:val="00112491"/>
    <w:rsid w:val="001133A3"/>
    <w:rsid w:val="001137EE"/>
    <w:rsid w:val="0011386B"/>
    <w:rsid w:val="00113DEE"/>
    <w:rsid w:val="00113F47"/>
    <w:rsid w:val="00115B72"/>
    <w:rsid w:val="00115DFB"/>
    <w:rsid w:val="00116175"/>
    <w:rsid w:val="00117073"/>
    <w:rsid w:val="00117076"/>
    <w:rsid w:val="00117648"/>
    <w:rsid w:val="001215A2"/>
    <w:rsid w:val="001220FC"/>
    <w:rsid w:val="00122931"/>
    <w:rsid w:val="00122E1B"/>
    <w:rsid w:val="00122FB0"/>
    <w:rsid w:val="00123D5A"/>
    <w:rsid w:val="001248D3"/>
    <w:rsid w:val="00124C6F"/>
    <w:rsid w:val="001261D2"/>
    <w:rsid w:val="001267CA"/>
    <w:rsid w:val="00126E75"/>
    <w:rsid w:val="00127812"/>
    <w:rsid w:val="0013124B"/>
    <w:rsid w:val="001317EC"/>
    <w:rsid w:val="00131C23"/>
    <w:rsid w:val="00132F25"/>
    <w:rsid w:val="0013317B"/>
    <w:rsid w:val="00135184"/>
    <w:rsid w:val="00135494"/>
    <w:rsid w:val="00135E51"/>
    <w:rsid w:val="00137F1A"/>
    <w:rsid w:val="00137F99"/>
    <w:rsid w:val="001407D7"/>
    <w:rsid w:val="001410D6"/>
    <w:rsid w:val="00141BDC"/>
    <w:rsid w:val="00141D4D"/>
    <w:rsid w:val="00142242"/>
    <w:rsid w:val="001423AB"/>
    <w:rsid w:val="00142AE5"/>
    <w:rsid w:val="00143DCD"/>
    <w:rsid w:val="00143EED"/>
    <w:rsid w:val="001448E4"/>
    <w:rsid w:val="00144907"/>
    <w:rsid w:val="00145AF8"/>
    <w:rsid w:val="00145B8F"/>
    <w:rsid w:val="00146D55"/>
    <w:rsid w:val="0014728D"/>
    <w:rsid w:val="00147DBD"/>
    <w:rsid w:val="00150F52"/>
    <w:rsid w:val="00151AFD"/>
    <w:rsid w:val="00153809"/>
    <w:rsid w:val="00153A49"/>
    <w:rsid w:val="00154144"/>
    <w:rsid w:val="0015463F"/>
    <w:rsid w:val="00155329"/>
    <w:rsid w:val="00160A6A"/>
    <w:rsid w:val="00161DC0"/>
    <w:rsid w:val="0016362F"/>
    <w:rsid w:val="001638DC"/>
    <w:rsid w:val="0016396C"/>
    <w:rsid w:val="001642EF"/>
    <w:rsid w:val="00165F28"/>
    <w:rsid w:val="00166C92"/>
    <w:rsid w:val="00166F97"/>
    <w:rsid w:val="001671BC"/>
    <w:rsid w:val="00167412"/>
    <w:rsid w:val="00167B24"/>
    <w:rsid w:val="00170A19"/>
    <w:rsid w:val="00171C83"/>
    <w:rsid w:val="00171C99"/>
    <w:rsid w:val="00171EDC"/>
    <w:rsid w:val="001721D3"/>
    <w:rsid w:val="001721FE"/>
    <w:rsid w:val="001734AC"/>
    <w:rsid w:val="00173E5F"/>
    <w:rsid w:val="00174090"/>
    <w:rsid w:val="00174603"/>
    <w:rsid w:val="00175031"/>
    <w:rsid w:val="0017536B"/>
    <w:rsid w:val="0017657F"/>
    <w:rsid w:val="00176CBE"/>
    <w:rsid w:val="0017783D"/>
    <w:rsid w:val="001807CD"/>
    <w:rsid w:val="00180EC4"/>
    <w:rsid w:val="00181172"/>
    <w:rsid w:val="00181E2A"/>
    <w:rsid w:val="00181F79"/>
    <w:rsid w:val="00182C6D"/>
    <w:rsid w:val="00183062"/>
    <w:rsid w:val="00183121"/>
    <w:rsid w:val="00183247"/>
    <w:rsid w:val="00183D4B"/>
    <w:rsid w:val="00184EF1"/>
    <w:rsid w:val="001855AD"/>
    <w:rsid w:val="00186164"/>
    <w:rsid w:val="001868FB"/>
    <w:rsid w:val="00186B5C"/>
    <w:rsid w:val="00186B74"/>
    <w:rsid w:val="001873C5"/>
    <w:rsid w:val="001876F0"/>
    <w:rsid w:val="00187F0C"/>
    <w:rsid w:val="001900A1"/>
    <w:rsid w:val="0019013D"/>
    <w:rsid w:val="00190653"/>
    <w:rsid w:val="00190664"/>
    <w:rsid w:val="001914B5"/>
    <w:rsid w:val="00192259"/>
    <w:rsid w:val="0019299D"/>
    <w:rsid w:val="00192E7E"/>
    <w:rsid w:val="00192E9F"/>
    <w:rsid w:val="00193883"/>
    <w:rsid w:val="00193A72"/>
    <w:rsid w:val="00195566"/>
    <w:rsid w:val="00195912"/>
    <w:rsid w:val="00195BC4"/>
    <w:rsid w:val="00195DC5"/>
    <w:rsid w:val="00196906"/>
    <w:rsid w:val="001A0A85"/>
    <w:rsid w:val="001A0CF7"/>
    <w:rsid w:val="001A103F"/>
    <w:rsid w:val="001A1377"/>
    <w:rsid w:val="001A1830"/>
    <w:rsid w:val="001A23DA"/>
    <w:rsid w:val="001A2935"/>
    <w:rsid w:val="001A2955"/>
    <w:rsid w:val="001A34E0"/>
    <w:rsid w:val="001A3BE4"/>
    <w:rsid w:val="001A41AF"/>
    <w:rsid w:val="001A473A"/>
    <w:rsid w:val="001A4948"/>
    <w:rsid w:val="001A549E"/>
    <w:rsid w:val="001A5BBC"/>
    <w:rsid w:val="001A6A4D"/>
    <w:rsid w:val="001A7853"/>
    <w:rsid w:val="001B06B7"/>
    <w:rsid w:val="001B07E0"/>
    <w:rsid w:val="001B18E8"/>
    <w:rsid w:val="001B1BF1"/>
    <w:rsid w:val="001B1C3E"/>
    <w:rsid w:val="001B2C3D"/>
    <w:rsid w:val="001B2CFC"/>
    <w:rsid w:val="001B391D"/>
    <w:rsid w:val="001B5F4A"/>
    <w:rsid w:val="001B60C0"/>
    <w:rsid w:val="001B69A8"/>
    <w:rsid w:val="001B6FF4"/>
    <w:rsid w:val="001B710D"/>
    <w:rsid w:val="001B79A1"/>
    <w:rsid w:val="001B79A2"/>
    <w:rsid w:val="001C0908"/>
    <w:rsid w:val="001C22E8"/>
    <w:rsid w:val="001C247F"/>
    <w:rsid w:val="001C2556"/>
    <w:rsid w:val="001C28D8"/>
    <w:rsid w:val="001C3234"/>
    <w:rsid w:val="001C3CC5"/>
    <w:rsid w:val="001C44F7"/>
    <w:rsid w:val="001C46CD"/>
    <w:rsid w:val="001C59AC"/>
    <w:rsid w:val="001C5D12"/>
    <w:rsid w:val="001C5E82"/>
    <w:rsid w:val="001C7588"/>
    <w:rsid w:val="001D0786"/>
    <w:rsid w:val="001D194E"/>
    <w:rsid w:val="001D1E6D"/>
    <w:rsid w:val="001D3D47"/>
    <w:rsid w:val="001D40D4"/>
    <w:rsid w:val="001D4204"/>
    <w:rsid w:val="001D4489"/>
    <w:rsid w:val="001D4491"/>
    <w:rsid w:val="001D52E5"/>
    <w:rsid w:val="001D5BFD"/>
    <w:rsid w:val="001D6D9B"/>
    <w:rsid w:val="001D7666"/>
    <w:rsid w:val="001D7E43"/>
    <w:rsid w:val="001E13B4"/>
    <w:rsid w:val="001E1A34"/>
    <w:rsid w:val="001E1B5B"/>
    <w:rsid w:val="001E240F"/>
    <w:rsid w:val="001E27A1"/>
    <w:rsid w:val="001E2877"/>
    <w:rsid w:val="001E2DA3"/>
    <w:rsid w:val="001E328C"/>
    <w:rsid w:val="001E3A9E"/>
    <w:rsid w:val="001E3D58"/>
    <w:rsid w:val="001E3E34"/>
    <w:rsid w:val="001E3EB6"/>
    <w:rsid w:val="001E4440"/>
    <w:rsid w:val="001E4675"/>
    <w:rsid w:val="001E4B50"/>
    <w:rsid w:val="001E4CE1"/>
    <w:rsid w:val="001E5644"/>
    <w:rsid w:val="001E5CC3"/>
    <w:rsid w:val="001E5F4F"/>
    <w:rsid w:val="001E690F"/>
    <w:rsid w:val="001E7BC0"/>
    <w:rsid w:val="001E7F67"/>
    <w:rsid w:val="001F0ACF"/>
    <w:rsid w:val="001F1D1D"/>
    <w:rsid w:val="001F1E14"/>
    <w:rsid w:val="001F27E8"/>
    <w:rsid w:val="001F3FEA"/>
    <w:rsid w:val="001F5CF1"/>
    <w:rsid w:val="001F671B"/>
    <w:rsid w:val="001F6B74"/>
    <w:rsid w:val="001F75B6"/>
    <w:rsid w:val="001F7D22"/>
    <w:rsid w:val="00200702"/>
    <w:rsid w:val="00201C1A"/>
    <w:rsid w:val="002026D5"/>
    <w:rsid w:val="002029C4"/>
    <w:rsid w:val="00203375"/>
    <w:rsid w:val="00203529"/>
    <w:rsid w:val="00203D42"/>
    <w:rsid w:val="00204067"/>
    <w:rsid w:val="002040A0"/>
    <w:rsid w:val="00204115"/>
    <w:rsid w:val="002044E2"/>
    <w:rsid w:val="00204720"/>
    <w:rsid w:val="00204B1B"/>
    <w:rsid w:val="0020537E"/>
    <w:rsid w:val="002053BF"/>
    <w:rsid w:val="00205919"/>
    <w:rsid w:val="002060E2"/>
    <w:rsid w:val="002065CB"/>
    <w:rsid w:val="00207085"/>
    <w:rsid w:val="00207382"/>
    <w:rsid w:val="00210733"/>
    <w:rsid w:val="00210D1B"/>
    <w:rsid w:val="00210DE2"/>
    <w:rsid w:val="0021108F"/>
    <w:rsid w:val="002110BF"/>
    <w:rsid w:val="00211E8E"/>
    <w:rsid w:val="002122A4"/>
    <w:rsid w:val="002127D0"/>
    <w:rsid w:val="002127FE"/>
    <w:rsid w:val="00212807"/>
    <w:rsid w:val="00212911"/>
    <w:rsid w:val="00214012"/>
    <w:rsid w:val="00214F12"/>
    <w:rsid w:val="00215E95"/>
    <w:rsid w:val="002203EE"/>
    <w:rsid w:val="00220801"/>
    <w:rsid w:val="00220974"/>
    <w:rsid w:val="00220BA6"/>
    <w:rsid w:val="00220C82"/>
    <w:rsid w:val="002211FC"/>
    <w:rsid w:val="00221408"/>
    <w:rsid w:val="00221FA0"/>
    <w:rsid w:val="00223FB1"/>
    <w:rsid w:val="0022480E"/>
    <w:rsid w:val="00225B6F"/>
    <w:rsid w:val="00225BD0"/>
    <w:rsid w:val="002260DF"/>
    <w:rsid w:val="002263B2"/>
    <w:rsid w:val="00226CE4"/>
    <w:rsid w:val="00227FAB"/>
    <w:rsid w:val="00227FCA"/>
    <w:rsid w:val="002302C9"/>
    <w:rsid w:val="00230EF9"/>
    <w:rsid w:val="00231A2C"/>
    <w:rsid w:val="00232133"/>
    <w:rsid w:val="0023273B"/>
    <w:rsid w:val="002328D8"/>
    <w:rsid w:val="00232D72"/>
    <w:rsid w:val="00233483"/>
    <w:rsid w:val="0023367E"/>
    <w:rsid w:val="00233D56"/>
    <w:rsid w:val="002350C8"/>
    <w:rsid w:val="00235EA2"/>
    <w:rsid w:val="00237035"/>
    <w:rsid w:val="0023749D"/>
    <w:rsid w:val="002378EC"/>
    <w:rsid w:val="0024284F"/>
    <w:rsid w:val="0024298F"/>
    <w:rsid w:val="002434F3"/>
    <w:rsid w:val="002435C3"/>
    <w:rsid w:val="00243F02"/>
    <w:rsid w:val="002443E0"/>
    <w:rsid w:val="002448E9"/>
    <w:rsid w:val="00244CCA"/>
    <w:rsid w:val="00245D7E"/>
    <w:rsid w:val="002465BD"/>
    <w:rsid w:val="00246BFF"/>
    <w:rsid w:val="00247105"/>
    <w:rsid w:val="00247580"/>
    <w:rsid w:val="00247B20"/>
    <w:rsid w:val="002504DB"/>
    <w:rsid w:val="002506E0"/>
    <w:rsid w:val="00250A26"/>
    <w:rsid w:val="00250C6D"/>
    <w:rsid w:val="00250D1F"/>
    <w:rsid w:val="0025122F"/>
    <w:rsid w:val="00251457"/>
    <w:rsid w:val="002514A5"/>
    <w:rsid w:val="0025193E"/>
    <w:rsid w:val="0025255A"/>
    <w:rsid w:val="00253185"/>
    <w:rsid w:val="00253FCE"/>
    <w:rsid w:val="00254691"/>
    <w:rsid w:val="002556FB"/>
    <w:rsid w:val="00255C21"/>
    <w:rsid w:val="002568E6"/>
    <w:rsid w:val="002617AE"/>
    <w:rsid w:val="0026257C"/>
    <w:rsid w:val="0026276D"/>
    <w:rsid w:val="002629E1"/>
    <w:rsid w:val="00262FC9"/>
    <w:rsid w:val="002638EB"/>
    <w:rsid w:val="00263996"/>
    <w:rsid w:val="00263CEC"/>
    <w:rsid w:val="002649EC"/>
    <w:rsid w:val="00264C8B"/>
    <w:rsid w:val="00264E7D"/>
    <w:rsid w:val="00265157"/>
    <w:rsid w:val="002654CD"/>
    <w:rsid w:val="002655E6"/>
    <w:rsid w:val="0027094C"/>
    <w:rsid w:val="00271493"/>
    <w:rsid w:val="0027309C"/>
    <w:rsid w:val="00273770"/>
    <w:rsid w:val="00273871"/>
    <w:rsid w:val="00273918"/>
    <w:rsid w:val="00273A1D"/>
    <w:rsid w:val="00273A92"/>
    <w:rsid w:val="00274545"/>
    <w:rsid w:val="002758F8"/>
    <w:rsid w:val="00275A4C"/>
    <w:rsid w:val="00275D9B"/>
    <w:rsid w:val="00275EA9"/>
    <w:rsid w:val="00275FC3"/>
    <w:rsid w:val="002769E3"/>
    <w:rsid w:val="00277478"/>
    <w:rsid w:val="002815FB"/>
    <w:rsid w:val="0028194C"/>
    <w:rsid w:val="002823DE"/>
    <w:rsid w:val="00283516"/>
    <w:rsid w:val="0028451E"/>
    <w:rsid w:val="002845BD"/>
    <w:rsid w:val="00284901"/>
    <w:rsid w:val="00284E2D"/>
    <w:rsid w:val="002855C3"/>
    <w:rsid w:val="002862CE"/>
    <w:rsid w:val="00286443"/>
    <w:rsid w:val="002865C0"/>
    <w:rsid w:val="00287CD9"/>
    <w:rsid w:val="00287CE5"/>
    <w:rsid w:val="00290E20"/>
    <w:rsid w:val="0029176C"/>
    <w:rsid w:val="00291FE5"/>
    <w:rsid w:val="00292F90"/>
    <w:rsid w:val="00293B75"/>
    <w:rsid w:val="00294441"/>
    <w:rsid w:val="00294861"/>
    <w:rsid w:val="002953A9"/>
    <w:rsid w:val="00296E08"/>
    <w:rsid w:val="002975D2"/>
    <w:rsid w:val="002A2106"/>
    <w:rsid w:val="002A263B"/>
    <w:rsid w:val="002A2E1D"/>
    <w:rsid w:val="002A2FEE"/>
    <w:rsid w:val="002A383F"/>
    <w:rsid w:val="002A46E3"/>
    <w:rsid w:val="002A47BB"/>
    <w:rsid w:val="002A48FF"/>
    <w:rsid w:val="002A54C7"/>
    <w:rsid w:val="002A56F3"/>
    <w:rsid w:val="002A6629"/>
    <w:rsid w:val="002A6BAA"/>
    <w:rsid w:val="002A795B"/>
    <w:rsid w:val="002B01ED"/>
    <w:rsid w:val="002B01F6"/>
    <w:rsid w:val="002B0B11"/>
    <w:rsid w:val="002B0FFF"/>
    <w:rsid w:val="002B115D"/>
    <w:rsid w:val="002B1703"/>
    <w:rsid w:val="002B1A6B"/>
    <w:rsid w:val="002B273B"/>
    <w:rsid w:val="002B3132"/>
    <w:rsid w:val="002B3870"/>
    <w:rsid w:val="002B3892"/>
    <w:rsid w:val="002B38AD"/>
    <w:rsid w:val="002B580F"/>
    <w:rsid w:val="002B5ADD"/>
    <w:rsid w:val="002B5D67"/>
    <w:rsid w:val="002B615F"/>
    <w:rsid w:val="002B61FA"/>
    <w:rsid w:val="002B641C"/>
    <w:rsid w:val="002B67D7"/>
    <w:rsid w:val="002B75BE"/>
    <w:rsid w:val="002B7688"/>
    <w:rsid w:val="002B76C9"/>
    <w:rsid w:val="002C02FF"/>
    <w:rsid w:val="002C08EC"/>
    <w:rsid w:val="002C1398"/>
    <w:rsid w:val="002C31B0"/>
    <w:rsid w:val="002C3699"/>
    <w:rsid w:val="002C3B00"/>
    <w:rsid w:val="002C3FBA"/>
    <w:rsid w:val="002C4298"/>
    <w:rsid w:val="002C47AB"/>
    <w:rsid w:val="002C4A74"/>
    <w:rsid w:val="002C5AAC"/>
    <w:rsid w:val="002C73C6"/>
    <w:rsid w:val="002C750C"/>
    <w:rsid w:val="002C7C5D"/>
    <w:rsid w:val="002C7C67"/>
    <w:rsid w:val="002D0C96"/>
    <w:rsid w:val="002D0D3A"/>
    <w:rsid w:val="002D1840"/>
    <w:rsid w:val="002D2912"/>
    <w:rsid w:val="002D3940"/>
    <w:rsid w:val="002D4614"/>
    <w:rsid w:val="002D47C7"/>
    <w:rsid w:val="002D5098"/>
    <w:rsid w:val="002D672C"/>
    <w:rsid w:val="002D6C05"/>
    <w:rsid w:val="002D6E7C"/>
    <w:rsid w:val="002D79B7"/>
    <w:rsid w:val="002D79F1"/>
    <w:rsid w:val="002D7BF3"/>
    <w:rsid w:val="002E0173"/>
    <w:rsid w:val="002E05F7"/>
    <w:rsid w:val="002E0F4B"/>
    <w:rsid w:val="002E17DE"/>
    <w:rsid w:val="002E1951"/>
    <w:rsid w:val="002E22EA"/>
    <w:rsid w:val="002E2821"/>
    <w:rsid w:val="002E2D87"/>
    <w:rsid w:val="002E2FEC"/>
    <w:rsid w:val="002E3E28"/>
    <w:rsid w:val="002E59FB"/>
    <w:rsid w:val="002E6D66"/>
    <w:rsid w:val="002E71C7"/>
    <w:rsid w:val="002E7297"/>
    <w:rsid w:val="002F1121"/>
    <w:rsid w:val="002F1131"/>
    <w:rsid w:val="002F173A"/>
    <w:rsid w:val="002F1804"/>
    <w:rsid w:val="002F191D"/>
    <w:rsid w:val="002F1B73"/>
    <w:rsid w:val="002F213A"/>
    <w:rsid w:val="002F2161"/>
    <w:rsid w:val="002F2667"/>
    <w:rsid w:val="002F2AE9"/>
    <w:rsid w:val="002F3A04"/>
    <w:rsid w:val="002F5504"/>
    <w:rsid w:val="002F6F54"/>
    <w:rsid w:val="002F7492"/>
    <w:rsid w:val="002F77FF"/>
    <w:rsid w:val="00300E08"/>
    <w:rsid w:val="00301BD8"/>
    <w:rsid w:val="00303D6F"/>
    <w:rsid w:val="00304324"/>
    <w:rsid w:val="00304BC1"/>
    <w:rsid w:val="003053B8"/>
    <w:rsid w:val="003072AA"/>
    <w:rsid w:val="003072D0"/>
    <w:rsid w:val="0031020D"/>
    <w:rsid w:val="00310611"/>
    <w:rsid w:val="0031074C"/>
    <w:rsid w:val="00311DEE"/>
    <w:rsid w:val="00312D15"/>
    <w:rsid w:val="003133C3"/>
    <w:rsid w:val="00313C10"/>
    <w:rsid w:val="00314970"/>
    <w:rsid w:val="00314CCF"/>
    <w:rsid w:val="00314F23"/>
    <w:rsid w:val="00315A78"/>
    <w:rsid w:val="00315BEC"/>
    <w:rsid w:val="00315C27"/>
    <w:rsid w:val="00316C8F"/>
    <w:rsid w:val="0032030A"/>
    <w:rsid w:val="00320809"/>
    <w:rsid w:val="00321784"/>
    <w:rsid w:val="003217D7"/>
    <w:rsid w:val="003219E5"/>
    <w:rsid w:val="00321BF4"/>
    <w:rsid w:val="00321D27"/>
    <w:rsid w:val="003221A9"/>
    <w:rsid w:val="0032306C"/>
    <w:rsid w:val="00323135"/>
    <w:rsid w:val="00323787"/>
    <w:rsid w:val="003241B2"/>
    <w:rsid w:val="0032424D"/>
    <w:rsid w:val="003248C5"/>
    <w:rsid w:val="00325C8B"/>
    <w:rsid w:val="00326281"/>
    <w:rsid w:val="00326321"/>
    <w:rsid w:val="0032657F"/>
    <w:rsid w:val="003279B2"/>
    <w:rsid w:val="00330343"/>
    <w:rsid w:val="00333039"/>
    <w:rsid w:val="00334F47"/>
    <w:rsid w:val="003353D6"/>
    <w:rsid w:val="00335A33"/>
    <w:rsid w:val="00336065"/>
    <w:rsid w:val="003366F2"/>
    <w:rsid w:val="00337784"/>
    <w:rsid w:val="00340303"/>
    <w:rsid w:val="00341306"/>
    <w:rsid w:val="003416EE"/>
    <w:rsid w:val="00341840"/>
    <w:rsid w:val="00341AEA"/>
    <w:rsid w:val="003421C9"/>
    <w:rsid w:val="00342903"/>
    <w:rsid w:val="00342D62"/>
    <w:rsid w:val="00344A06"/>
    <w:rsid w:val="003454A2"/>
    <w:rsid w:val="00345BEF"/>
    <w:rsid w:val="00346763"/>
    <w:rsid w:val="00346FFF"/>
    <w:rsid w:val="003473A5"/>
    <w:rsid w:val="0034781D"/>
    <w:rsid w:val="00347B5B"/>
    <w:rsid w:val="0035041B"/>
    <w:rsid w:val="003523EC"/>
    <w:rsid w:val="00352665"/>
    <w:rsid w:val="0035356D"/>
    <w:rsid w:val="00353789"/>
    <w:rsid w:val="0035381F"/>
    <w:rsid w:val="00353A29"/>
    <w:rsid w:val="00354115"/>
    <w:rsid w:val="00355288"/>
    <w:rsid w:val="0035546D"/>
    <w:rsid w:val="0035567C"/>
    <w:rsid w:val="00356619"/>
    <w:rsid w:val="003573EF"/>
    <w:rsid w:val="00357ECD"/>
    <w:rsid w:val="0036014C"/>
    <w:rsid w:val="0036086D"/>
    <w:rsid w:val="00361BCD"/>
    <w:rsid w:val="00362970"/>
    <w:rsid w:val="00363C99"/>
    <w:rsid w:val="0036454D"/>
    <w:rsid w:val="00365F02"/>
    <w:rsid w:val="00366EC3"/>
    <w:rsid w:val="00367AE3"/>
    <w:rsid w:val="00367BDB"/>
    <w:rsid w:val="0037039B"/>
    <w:rsid w:val="00370B83"/>
    <w:rsid w:val="00370E71"/>
    <w:rsid w:val="003719B4"/>
    <w:rsid w:val="00372102"/>
    <w:rsid w:val="00372159"/>
    <w:rsid w:val="00372DE1"/>
    <w:rsid w:val="003731AC"/>
    <w:rsid w:val="00373CC1"/>
    <w:rsid w:val="003743A1"/>
    <w:rsid w:val="003750B3"/>
    <w:rsid w:val="00375AA3"/>
    <w:rsid w:val="003760C4"/>
    <w:rsid w:val="0037651D"/>
    <w:rsid w:val="0037674D"/>
    <w:rsid w:val="00377C3E"/>
    <w:rsid w:val="003800B8"/>
    <w:rsid w:val="0038057B"/>
    <w:rsid w:val="0038142F"/>
    <w:rsid w:val="0038399D"/>
    <w:rsid w:val="00384241"/>
    <w:rsid w:val="00384589"/>
    <w:rsid w:val="0038467A"/>
    <w:rsid w:val="003846BF"/>
    <w:rsid w:val="00384A9E"/>
    <w:rsid w:val="00384D0A"/>
    <w:rsid w:val="00384FDC"/>
    <w:rsid w:val="00385562"/>
    <w:rsid w:val="00385610"/>
    <w:rsid w:val="00385935"/>
    <w:rsid w:val="003864A9"/>
    <w:rsid w:val="00386961"/>
    <w:rsid w:val="003869A1"/>
    <w:rsid w:val="0038743E"/>
    <w:rsid w:val="0039061F"/>
    <w:rsid w:val="0039142E"/>
    <w:rsid w:val="00391DB3"/>
    <w:rsid w:val="00392429"/>
    <w:rsid w:val="0039256B"/>
    <w:rsid w:val="00392DFF"/>
    <w:rsid w:val="003933B4"/>
    <w:rsid w:val="0039424E"/>
    <w:rsid w:val="00394572"/>
    <w:rsid w:val="00394D99"/>
    <w:rsid w:val="00396688"/>
    <w:rsid w:val="00396EAB"/>
    <w:rsid w:val="00397D87"/>
    <w:rsid w:val="003A0563"/>
    <w:rsid w:val="003A0AC5"/>
    <w:rsid w:val="003A0CDC"/>
    <w:rsid w:val="003A2B67"/>
    <w:rsid w:val="003A2B75"/>
    <w:rsid w:val="003A2EDC"/>
    <w:rsid w:val="003A4966"/>
    <w:rsid w:val="003A52EB"/>
    <w:rsid w:val="003A64E0"/>
    <w:rsid w:val="003A671F"/>
    <w:rsid w:val="003A709D"/>
    <w:rsid w:val="003A73C1"/>
    <w:rsid w:val="003A7755"/>
    <w:rsid w:val="003A7934"/>
    <w:rsid w:val="003A7ADE"/>
    <w:rsid w:val="003B01D4"/>
    <w:rsid w:val="003B0366"/>
    <w:rsid w:val="003B0564"/>
    <w:rsid w:val="003B05DF"/>
    <w:rsid w:val="003B0B89"/>
    <w:rsid w:val="003B0D55"/>
    <w:rsid w:val="003B1F64"/>
    <w:rsid w:val="003B2578"/>
    <w:rsid w:val="003B2C79"/>
    <w:rsid w:val="003B3377"/>
    <w:rsid w:val="003B5371"/>
    <w:rsid w:val="003B6F91"/>
    <w:rsid w:val="003B75DD"/>
    <w:rsid w:val="003B7802"/>
    <w:rsid w:val="003B7958"/>
    <w:rsid w:val="003C065C"/>
    <w:rsid w:val="003C07B8"/>
    <w:rsid w:val="003C0E9E"/>
    <w:rsid w:val="003C2613"/>
    <w:rsid w:val="003C2FD2"/>
    <w:rsid w:val="003C3239"/>
    <w:rsid w:val="003C32FB"/>
    <w:rsid w:val="003C3439"/>
    <w:rsid w:val="003C40AD"/>
    <w:rsid w:val="003C5028"/>
    <w:rsid w:val="003C55B7"/>
    <w:rsid w:val="003C5F88"/>
    <w:rsid w:val="003C6B57"/>
    <w:rsid w:val="003C75B5"/>
    <w:rsid w:val="003C7F0E"/>
    <w:rsid w:val="003D03A0"/>
    <w:rsid w:val="003D082A"/>
    <w:rsid w:val="003D0BD1"/>
    <w:rsid w:val="003D0E92"/>
    <w:rsid w:val="003D1012"/>
    <w:rsid w:val="003D139E"/>
    <w:rsid w:val="003D2347"/>
    <w:rsid w:val="003D3EEF"/>
    <w:rsid w:val="003D4375"/>
    <w:rsid w:val="003D4A88"/>
    <w:rsid w:val="003D4D9E"/>
    <w:rsid w:val="003D53F8"/>
    <w:rsid w:val="003D5636"/>
    <w:rsid w:val="003D5674"/>
    <w:rsid w:val="003D57E3"/>
    <w:rsid w:val="003D5F5B"/>
    <w:rsid w:val="003D63A5"/>
    <w:rsid w:val="003D6666"/>
    <w:rsid w:val="003D67E6"/>
    <w:rsid w:val="003D7111"/>
    <w:rsid w:val="003E0550"/>
    <w:rsid w:val="003E0C08"/>
    <w:rsid w:val="003E2BCF"/>
    <w:rsid w:val="003E3518"/>
    <w:rsid w:val="003E4100"/>
    <w:rsid w:val="003E646D"/>
    <w:rsid w:val="003E76F7"/>
    <w:rsid w:val="003E7A6B"/>
    <w:rsid w:val="003F11A4"/>
    <w:rsid w:val="003F11ED"/>
    <w:rsid w:val="003F155B"/>
    <w:rsid w:val="003F180A"/>
    <w:rsid w:val="003F2003"/>
    <w:rsid w:val="003F26EA"/>
    <w:rsid w:val="003F2B7A"/>
    <w:rsid w:val="003F2BAA"/>
    <w:rsid w:val="003F4A10"/>
    <w:rsid w:val="003F65C6"/>
    <w:rsid w:val="003F6EDB"/>
    <w:rsid w:val="004001BD"/>
    <w:rsid w:val="00400A05"/>
    <w:rsid w:val="00400C57"/>
    <w:rsid w:val="0040106B"/>
    <w:rsid w:val="00402E38"/>
    <w:rsid w:val="004031E5"/>
    <w:rsid w:val="00403D2A"/>
    <w:rsid w:val="00403D47"/>
    <w:rsid w:val="0040446C"/>
    <w:rsid w:val="00404BE4"/>
    <w:rsid w:val="00404C11"/>
    <w:rsid w:val="00404FEF"/>
    <w:rsid w:val="00405292"/>
    <w:rsid w:val="0040546F"/>
    <w:rsid w:val="00406516"/>
    <w:rsid w:val="004100F4"/>
    <w:rsid w:val="00410142"/>
    <w:rsid w:val="00410B0E"/>
    <w:rsid w:val="00410BCE"/>
    <w:rsid w:val="004117ED"/>
    <w:rsid w:val="00412210"/>
    <w:rsid w:val="004123A3"/>
    <w:rsid w:val="00412FF0"/>
    <w:rsid w:val="004133E6"/>
    <w:rsid w:val="0041519B"/>
    <w:rsid w:val="004156F2"/>
    <w:rsid w:val="0041635E"/>
    <w:rsid w:val="0041773B"/>
    <w:rsid w:val="0042010D"/>
    <w:rsid w:val="00421A6B"/>
    <w:rsid w:val="00421D21"/>
    <w:rsid w:val="00422F20"/>
    <w:rsid w:val="00424137"/>
    <w:rsid w:val="00424FD1"/>
    <w:rsid w:val="004255F8"/>
    <w:rsid w:val="0042582B"/>
    <w:rsid w:val="00425C9F"/>
    <w:rsid w:val="00427287"/>
    <w:rsid w:val="004275D2"/>
    <w:rsid w:val="0042767C"/>
    <w:rsid w:val="00430332"/>
    <w:rsid w:val="00430578"/>
    <w:rsid w:val="00430BDF"/>
    <w:rsid w:val="0043309E"/>
    <w:rsid w:val="004341E7"/>
    <w:rsid w:val="004346B7"/>
    <w:rsid w:val="00434CD2"/>
    <w:rsid w:val="0043531C"/>
    <w:rsid w:val="004354F6"/>
    <w:rsid w:val="00435AAC"/>
    <w:rsid w:val="00435B1E"/>
    <w:rsid w:val="00436068"/>
    <w:rsid w:val="0043724C"/>
    <w:rsid w:val="004372D0"/>
    <w:rsid w:val="004406BF"/>
    <w:rsid w:val="004414D6"/>
    <w:rsid w:val="00441714"/>
    <w:rsid w:val="00441FB9"/>
    <w:rsid w:val="00442403"/>
    <w:rsid w:val="00442FE0"/>
    <w:rsid w:val="004441FD"/>
    <w:rsid w:val="00444D63"/>
    <w:rsid w:val="00445411"/>
    <w:rsid w:val="0044638C"/>
    <w:rsid w:val="00446635"/>
    <w:rsid w:val="004479C2"/>
    <w:rsid w:val="00447A67"/>
    <w:rsid w:val="004500D8"/>
    <w:rsid w:val="00450402"/>
    <w:rsid w:val="0045202F"/>
    <w:rsid w:val="004523C4"/>
    <w:rsid w:val="004525A1"/>
    <w:rsid w:val="00452795"/>
    <w:rsid w:val="00452CCC"/>
    <w:rsid w:val="004538ED"/>
    <w:rsid w:val="00453D34"/>
    <w:rsid w:val="00454388"/>
    <w:rsid w:val="0045707F"/>
    <w:rsid w:val="004572BE"/>
    <w:rsid w:val="0046009C"/>
    <w:rsid w:val="00460538"/>
    <w:rsid w:val="00461D56"/>
    <w:rsid w:val="00461EB5"/>
    <w:rsid w:val="0046392A"/>
    <w:rsid w:val="00463FA9"/>
    <w:rsid w:val="00464C08"/>
    <w:rsid w:val="00464D1E"/>
    <w:rsid w:val="004658F9"/>
    <w:rsid w:val="00465ACE"/>
    <w:rsid w:val="0046666F"/>
    <w:rsid w:val="00467CC7"/>
    <w:rsid w:val="00467D2C"/>
    <w:rsid w:val="0047003D"/>
    <w:rsid w:val="004700E4"/>
    <w:rsid w:val="0047098E"/>
    <w:rsid w:val="00470B65"/>
    <w:rsid w:val="00470C5D"/>
    <w:rsid w:val="00470F24"/>
    <w:rsid w:val="0047234A"/>
    <w:rsid w:val="00472CA3"/>
    <w:rsid w:val="00472F8A"/>
    <w:rsid w:val="00473206"/>
    <w:rsid w:val="004737CD"/>
    <w:rsid w:val="00473945"/>
    <w:rsid w:val="00473E2B"/>
    <w:rsid w:val="00474882"/>
    <w:rsid w:val="0047594E"/>
    <w:rsid w:val="00475BE3"/>
    <w:rsid w:val="004762C0"/>
    <w:rsid w:val="0047685B"/>
    <w:rsid w:val="00476C98"/>
    <w:rsid w:val="00477204"/>
    <w:rsid w:val="00477EF4"/>
    <w:rsid w:val="00480033"/>
    <w:rsid w:val="00481812"/>
    <w:rsid w:val="00482E90"/>
    <w:rsid w:val="00483765"/>
    <w:rsid w:val="00485935"/>
    <w:rsid w:val="004862BA"/>
    <w:rsid w:val="0048686C"/>
    <w:rsid w:val="00486B19"/>
    <w:rsid w:val="00486B4B"/>
    <w:rsid w:val="00486FFD"/>
    <w:rsid w:val="004871B7"/>
    <w:rsid w:val="00487A61"/>
    <w:rsid w:val="00490177"/>
    <w:rsid w:val="00492E20"/>
    <w:rsid w:val="004937ED"/>
    <w:rsid w:val="00493A2F"/>
    <w:rsid w:val="00493DE1"/>
    <w:rsid w:val="004945A4"/>
    <w:rsid w:val="00494BFC"/>
    <w:rsid w:val="00496DCD"/>
    <w:rsid w:val="00496E73"/>
    <w:rsid w:val="00496ED1"/>
    <w:rsid w:val="004970BE"/>
    <w:rsid w:val="004972B4"/>
    <w:rsid w:val="0049772A"/>
    <w:rsid w:val="0049788D"/>
    <w:rsid w:val="004A02AD"/>
    <w:rsid w:val="004A10B3"/>
    <w:rsid w:val="004A15FD"/>
    <w:rsid w:val="004A1C14"/>
    <w:rsid w:val="004A1FD6"/>
    <w:rsid w:val="004A249A"/>
    <w:rsid w:val="004A2503"/>
    <w:rsid w:val="004A2BA8"/>
    <w:rsid w:val="004A5086"/>
    <w:rsid w:val="004A5555"/>
    <w:rsid w:val="004A605F"/>
    <w:rsid w:val="004A7A4C"/>
    <w:rsid w:val="004A7A9D"/>
    <w:rsid w:val="004A7DB6"/>
    <w:rsid w:val="004A7EB0"/>
    <w:rsid w:val="004A7EB5"/>
    <w:rsid w:val="004A7FA0"/>
    <w:rsid w:val="004B0158"/>
    <w:rsid w:val="004B0230"/>
    <w:rsid w:val="004B0459"/>
    <w:rsid w:val="004B1949"/>
    <w:rsid w:val="004B27B8"/>
    <w:rsid w:val="004B2B4B"/>
    <w:rsid w:val="004B2FA4"/>
    <w:rsid w:val="004B31AC"/>
    <w:rsid w:val="004B3A2A"/>
    <w:rsid w:val="004B461D"/>
    <w:rsid w:val="004B5778"/>
    <w:rsid w:val="004B5EFD"/>
    <w:rsid w:val="004B6BE1"/>
    <w:rsid w:val="004B6D53"/>
    <w:rsid w:val="004B777F"/>
    <w:rsid w:val="004C09A6"/>
    <w:rsid w:val="004C0F79"/>
    <w:rsid w:val="004C1100"/>
    <w:rsid w:val="004C185F"/>
    <w:rsid w:val="004C2972"/>
    <w:rsid w:val="004C3830"/>
    <w:rsid w:val="004C3B5F"/>
    <w:rsid w:val="004C4012"/>
    <w:rsid w:val="004C425E"/>
    <w:rsid w:val="004C426C"/>
    <w:rsid w:val="004C444D"/>
    <w:rsid w:val="004C4E7D"/>
    <w:rsid w:val="004C5471"/>
    <w:rsid w:val="004C5DEA"/>
    <w:rsid w:val="004C6274"/>
    <w:rsid w:val="004C64D2"/>
    <w:rsid w:val="004C6518"/>
    <w:rsid w:val="004C6821"/>
    <w:rsid w:val="004C6EC6"/>
    <w:rsid w:val="004D03F6"/>
    <w:rsid w:val="004D09B8"/>
    <w:rsid w:val="004D0CE4"/>
    <w:rsid w:val="004D1011"/>
    <w:rsid w:val="004D206C"/>
    <w:rsid w:val="004D2456"/>
    <w:rsid w:val="004D30EB"/>
    <w:rsid w:val="004D3437"/>
    <w:rsid w:val="004D3520"/>
    <w:rsid w:val="004D511B"/>
    <w:rsid w:val="004D6313"/>
    <w:rsid w:val="004E0A42"/>
    <w:rsid w:val="004E0ABD"/>
    <w:rsid w:val="004E1C9D"/>
    <w:rsid w:val="004E2F1C"/>
    <w:rsid w:val="004E3166"/>
    <w:rsid w:val="004E387E"/>
    <w:rsid w:val="004E3DC8"/>
    <w:rsid w:val="004E5203"/>
    <w:rsid w:val="004E5FE8"/>
    <w:rsid w:val="004E7199"/>
    <w:rsid w:val="004E7656"/>
    <w:rsid w:val="004F0BD8"/>
    <w:rsid w:val="004F1947"/>
    <w:rsid w:val="004F1A0A"/>
    <w:rsid w:val="004F1D8B"/>
    <w:rsid w:val="004F38E1"/>
    <w:rsid w:val="004F3A81"/>
    <w:rsid w:val="004F3CB9"/>
    <w:rsid w:val="004F3EF2"/>
    <w:rsid w:val="004F4358"/>
    <w:rsid w:val="004F4608"/>
    <w:rsid w:val="004F5443"/>
    <w:rsid w:val="004F5A89"/>
    <w:rsid w:val="004F62F1"/>
    <w:rsid w:val="004F6D6C"/>
    <w:rsid w:val="004F7AFA"/>
    <w:rsid w:val="00500F34"/>
    <w:rsid w:val="00501290"/>
    <w:rsid w:val="00501FCC"/>
    <w:rsid w:val="00502079"/>
    <w:rsid w:val="005026BF"/>
    <w:rsid w:val="005041B8"/>
    <w:rsid w:val="00505A98"/>
    <w:rsid w:val="0050701C"/>
    <w:rsid w:val="005079CB"/>
    <w:rsid w:val="00507BA9"/>
    <w:rsid w:val="005106C4"/>
    <w:rsid w:val="00510743"/>
    <w:rsid w:val="0051089F"/>
    <w:rsid w:val="00510AFB"/>
    <w:rsid w:val="00511925"/>
    <w:rsid w:val="00511DD9"/>
    <w:rsid w:val="00512355"/>
    <w:rsid w:val="00512A42"/>
    <w:rsid w:val="00512A4E"/>
    <w:rsid w:val="00512D2C"/>
    <w:rsid w:val="00513AAA"/>
    <w:rsid w:val="00513FA0"/>
    <w:rsid w:val="0051545F"/>
    <w:rsid w:val="005157F9"/>
    <w:rsid w:val="005158AA"/>
    <w:rsid w:val="00516E7E"/>
    <w:rsid w:val="005173C4"/>
    <w:rsid w:val="00517AC1"/>
    <w:rsid w:val="00520678"/>
    <w:rsid w:val="005218F6"/>
    <w:rsid w:val="00521CE1"/>
    <w:rsid w:val="0052218E"/>
    <w:rsid w:val="00522622"/>
    <w:rsid w:val="00523401"/>
    <w:rsid w:val="00523863"/>
    <w:rsid w:val="005238DC"/>
    <w:rsid w:val="00523B0A"/>
    <w:rsid w:val="005240D2"/>
    <w:rsid w:val="00525EE7"/>
    <w:rsid w:val="005263EF"/>
    <w:rsid w:val="00526A6A"/>
    <w:rsid w:val="00527F6A"/>
    <w:rsid w:val="005306E1"/>
    <w:rsid w:val="0053098D"/>
    <w:rsid w:val="005314A4"/>
    <w:rsid w:val="005315D8"/>
    <w:rsid w:val="00531CF3"/>
    <w:rsid w:val="0053244A"/>
    <w:rsid w:val="00532824"/>
    <w:rsid w:val="00532D0B"/>
    <w:rsid w:val="00533415"/>
    <w:rsid w:val="00533C95"/>
    <w:rsid w:val="00534295"/>
    <w:rsid w:val="00535ADD"/>
    <w:rsid w:val="00535DB6"/>
    <w:rsid w:val="0053600F"/>
    <w:rsid w:val="00536A64"/>
    <w:rsid w:val="00536D4A"/>
    <w:rsid w:val="00537669"/>
    <w:rsid w:val="005409E3"/>
    <w:rsid w:val="00540E99"/>
    <w:rsid w:val="00541962"/>
    <w:rsid w:val="0054265C"/>
    <w:rsid w:val="0054393F"/>
    <w:rsid w:val="00543C3F"/>
    <w:rsid w:val="00544335"/>
    <w:rsid w:val="005456C3"/>
    <w:rsid w:val="005459E7"/>
    <w:rsid w:val="00546200"/>
    <w:rsid w:val="005463BE"/>
    <w:rsid w:val="0054683F"/>
    <w:rsid w:val="00546D1C"/>
    <w:rsid w:val="00547641"/>
    <w:rsid w:val="00547647"/>
    <w:rsid w:val="00547C29"/>
    <w:rsid w:val="005509F1"/>
    <w:rsid w:val="005509F4"/>
    <w:rsid w:val="00550D43"/>
    <w:rsid w:val="00551AB0"/>
    <w:rsid w:val="0055225E"/>
    <w:rsid w:val="005525A1"/>
    <w:rsid w:val="00552ADE"/>
    <w:rsid w:val="00553627"/>
    <w:rsid w:val="00553EF4"/>
    <w:rsid w:val="0055419C"/>
    <w:rsid w:val="005542A0"/>
    <w:rsid w:val="00554443"/>
    <w:rsid w:val="0055474E"/>
    <w:rsid w:val="00554D5F"/>
    <w:rsid w:val="005551B8"/>
    <w:rsid w:val="0055532E"/>
    <w:rsid w:val="0055544B"/>
    <w:rsid w:val="005557D6"/>
    <w:rsid w:val="005564ED"/>
    <w:rsid w:val="005565DF"/>
    <w:rsid w:val="0055669C"/>
    <w:rsid w:val="005566A2"/>
    <w:rsid w:val="005572AF"/>
    <w:rsid w:val="00557DB8"/>
    <w:rsid w:val="0056010E"/>
    <w:rsid w:val="00560665"/>
    <w:rsid w:val="005607FF"/>
    <w:rsid w:val="00560813"/>
    <w:rsid w:val="0056099A"/>
    <w:rsid w:val="005609F7"/>
    <w:rsid w:val="00560EA6"/>
    <w:rsid w:val="00560EBB"/>
    <w:rsid w:val="00561E52"/>
    <w:rsid w:val="00562A0D"/>
    <w:rsid w:val="005646C7"/>
    <w:rsid w:val="00565F65"/>
    <w:rsid w:val="005660B3"/>
    <w:rsid w:val="005675E7"/>
    <w:rsid w:val="005700BA"/>
    <w:rsid w:val="00570B82"/>
    <w:rsid w:val="005711D7"/>
    <w:rsid w:val="005714AF"/>
    <w:rsid w:val="0057192A"/>
    <w:rsid w:val="00571C93"/>
    <w:rsid w:val="00571EBC"/>
    <w:rsid w:val="005722E4"/>
    <w:rsid w:val="005733C1"/>
    <w:rsid w:val="005734E7"/>
    <w:rsid w:val="005736CC"/>
    <w:rsid w:val="0057464A"/>
    <w:rsid w:val="00574CC3"/>
    <w:rsid w:val="00576CEC"/>
    <w:rsid w:val="00577AEB"/>
    <w:rsid w:val="00580B82"/>
    <w:rsid w:val="00580DDC"/>
    <w:rsid w:val="00581177"/>
    <w:rsid w:val="00581D32"/>
    <w:rsid w:val="00581D93"/>
    <w:rsid w:val="005822ED"/>
    <w:rsid w:val="0058341F"/>
    <w:rsid w:val="00585305"/>
    <w:rsid w:val="00585810"/>
    <w:rsid w:val="00586CF8"/>
    <w:rsid w:val="00586E64"/>
    <w:rsid w:val="00587036"/>
    <w:rsid w:val="00587338"/>
    <w:rsid w:val="00587856"/>
    <w:rsid w:val="0059018A"/>
    <w:rsid w:val="00590555"/>
    <w:rsid w:val="005932C5"/>
    <w:rsid w:val="00593E67"/>
    <w:rsid w:val="00594389"/>
    <w:rsid w:val="0059438E"/>
    <w:rsid w:val="00594396"/>
    <w:rsid w:val="0059499C"/>
    <w:rsid w:val="00594CCE"/>
    <w:rsid w:val="00594E05"/>
    <w:rsid w:val="0059567B"/>
    <w:rsid w:val="00595CB9"/>
    <w:rsid w:val="00595F42"/>
    <w:rsid w:val="00596804"/>
    <w:rsid w:val="00596DB0"/>
    <w:rsid w:val="00597943"/>
    <w:rsid w:val="00597E0C"/>
    <w:rsid w:val="005A0061"/>
    <w:rsid w:val="005A111C"/>
    <w:rsid w:val="005A1201"/>
    <w:rsid w:val="005A1549"/>
    <w:rsid w:val="005A1DFD"/>
    <w:rsid w:val="005A20C1"/>
    <w:rsid w:val="005A25D0"/>
    <w:rsid w:val="005A2945"/>
    <w:rsid w:val="005A2E42"/>
    <w:rsid w:val="005A41A1"/>
    <w:rsid w:val="005A555F"/>
    <w:rsid w:val="005A612F"/>
    <w:rsid w:val="005A7DA3"/>
    <w:rsid w:val="005B07AB"/>
    <w:rsid w:val="005B095C"/>
    <w:rsid w:val="005B1194"/>
    <w:rsid w:val="005B2073"/>
    <w:rsid w:val="005B2524"/>
    <w:rsid w:val="005B285A"/>
    <w:rsid w:val="005B3071"/>
    <w:rsid w:val="005B30FB"/>
    <w:rsid w:val="005B3706"/>
    <w:rsid w:val="005B38BF"/>
    <w:rsid w:val="005B5352"/>
    <w:rsid w:val="005B7386"/>
    <w:rsid w:val="005B7875"/>
    <w:rsid w:val="005B7BF8"/>
    <w:rsid w:val="005B7E2B"/>
    <w:rsid w:val="005C01D4"/>
    <w:rsid w:val="005C0481"/>
    <w:rsid w:val="005C1371"/>
    <w:rsid w:val="005C2046"/>
    <w:rsid w:val="005C23E7"/>
    <w:rsid w:val="005C327D"/>
    <w:rsid w:val="005C432E"/>
    <w:rsid w:val="005C45E1"/>
    <w:rsid w:val="005C464A"/>
    <w:rsid w:val="005C4D8A"/>
    <w:rsid w:val="005C6BD8"/>
    <w:rsid w:val="005C6E0F"/>
    <w:rsid w:val="005D00F1"/>
    <w:rsid w:val="005D0949"/>
    <w:rsid w:val="005D0B79"/>
    <w:rsid w:val="005D0C62"/>
    <w:rsid w:val="005D124F"/>
    <w:rsid w:val="005D40DA"/>
    <w:rsid w:val="005D54B1"/>
    <w:rsid w:val="005D72EC"/>
    <w:rsid w:val="005E0820"/>
    <w:rsid w:val="005E2C76"/>
    <w:rsid w:val="005E2EF6"/>
    <w:rsid w:val="005E40F1"/>
    <w:rsid w:val="005E4309"/>
    <w:rsid w:val="005E44C8"/>
    <w:rsid w:val="005E47FC"/>
    <w:rsid w:val="005E516B"/>
    <w:rsid w:val="005E69FE"/>
    <w:rsid w:val="005E6A9B"/>
    <w:rsid w:val="005E7651"/>
    <w:rsid w:val="005E7EC1"/>
    <w:rsid w:val="005F067A"/>
    <w:rsid w:val="005F10D2"/>
    <w:rsid w:val="005F1518"/>
    <w:rsid w:val="005F1A18"/>
    <w:rsid w:val="005F1B8D"/>
    <w:rsid w:val="005F2035"/>
    <w:rsid w:val="005F3764"/>
    <w:rsid w:val="005F4A50"/>
    <w:rsid w:val="005F4E9B"/>
    <w:rsid w:val="005F5F92"/>
    <w:rsid w:val="005F6E8E"/>
    <w:rsid w:val="005F7B4D"/>
    <w:rsid w:val="00600306"/>
    <w:rsid w:val="0060078E"/>
    <w:rsid w:val="006007F6"/>
    <w:rsid w:val="006018FD"/>
    <w:rsid w:val="0060204B"/>
    <w:rsid w:val="00602368"/>
    <w:rsid w:val="006023F1"/>
    <w:rsid w:val="0060373F"/>
    <w:rsid w:val="006039E5"/>
    <w:rsid w:val="006046E5"/>
    <w:rsid w:val="00604AAC"/>
    <w:rsid w:val="006054ED"/>
    <w:rsid w:val="00605ABC"/>
    <w:rsid w:val="00606A85"/>
    <w:rsid w:val="00607199"/>
    <w:rsid w:val="00607A4C"/>
    <w:rsid w:val="00607D6A"/>
    <w:rsid w:val="00610A7E"/>
    <w:rsid w:val="00611FAA"/>
    <w:rsid w:val="00612366"/>
    <w:rsid w:val="00612E85"/>
    <w:rsid w:val="00613126"/>
    <w:rsid w:val="006136BF"/>
    <w:rsid w:val="00614293"/>
    <w:rsid w:val="00614CF0"/>
    <w:rsid w:val="006166B4"/>
    <w:rsid w:val="00616765"/>
    <w:rsid w:val="0061685A"/>
    <w:rsid w:val="006172FD"/>
    <w:rsid w:val="0062004F"/>
    <w:rsid w:val="00620134"/>
    <w:rsid w:val="00620E15"/>
    <w:rsid w:val="00620F17"/>
    <w:rsid w:val="006217D7"/>
    <w:rsid w:val="00621BC7"/>
    <w:rsid w:val="00622535"/>
    <w:rsid w:val="0062296B"/>
    <w:rsid w:val="006229A7"/>
    <w:rsid w:val="0062310B"/>
    <w:rsid w:val="00623289"/>
    <w:rsid w:val="00623A3F"/>
    <w:rsid w:val="00624767"/>
    <w:rsid w:val="006257D9"/>
    <w:rsid w:val="00630310"/>
    <w:rsid w:val="00630335"/>
    <w:rsid w:val="00630C13"/>
    <w:rsid w:val="00630C57"/>
    <w:rsid w:val="00630EEF"/>
    <w:rsid w:val="006314FA"/>
    <w:rsid w:val="00631C70"/>
    <w:rsid w:val="00633D60"/>
    <w:rsid w:val="00634218"/>
    <w:rsid w:val="0063476E"/>
    <w:rsid w:val="00634CC0"/>
    <w:rsid w:val="00636D8F"/>
    <w:rsid w:val="006371EA"/>
    <w:rsid w:val="0063748F"/>
    <w:rsid w:val="00640426"/>
    <w:rsid w:val="0064197B"/>
    <w:rsid w:val="00641AEB"/>
    <w:rsid w:val="00641C37"/>
    <w:rsid w:val="006438BC"/>
    <w:rsid w:val="00644758"/>
    <w:rsid w:val="00644E70"/>
    <w:rsid w:val="00644E7C"/>
    <w:rsid w:val="00644FCA"/>
    <w:rsid w:val="00645155"/>
    <w:rsid w:val="006451C7"/>
    <w:rsid w:val="00645944"/>
    <w:rsid w:val="00645ABD"/>
    <w:rsid w:val="006471C2"/>
    <w:rsid w:val="00647B62"/>
    <w:rsid w:val="00647BD1"/>
    <w:rsid w:val="00650484"/>
    <w:rsid w:val="00650AE2"/>
    <w:rsid w:val="00652E89"/>
    <w:rsid w:val="006533E5"/>
    <w:rsid w:val="00653CA9"/>
    <w:rsid w:val="006542C2"/>
    <w:rsid w:val="0065438C"/>
    <w:rsid w:val="00655972"/>
    <w:rsid w:val="00655A6D"/>
    <w:rsid w:val="00656964"/>
    <w:rsid w:val="00657835"/>
    <w:rsid w:val="00657BCF"/>
    <w:rsid w:val="00657C0E"/>
    <w:rsid w:val="006606CD"/>
    <w:rsid w:val="0066298F"/>
    <w:rsid w:val="00662F0B"/>
    <w:rsid w:val="00663ADA"/>
    <w:rsid w:val="00663D02"/>
    <w:rsid w:val="00664245"/>
    <w:rsid w:val="00667677"/>
    <w:rsid w:val="00667E6A"/>
    <w:rsid w:val="00670360"/>
    <w:rsid w:val="00670AF5"/>
    <w:rsid w:val="00670F74"/>
    <w:rsid w:val="00671952"/>
    <w:rsid w:val="0067211C"/>
    <w:rsid w:val="00672258"/>
    <w:rsid w:val="0067302F"/>
    <w:rsid w:val="00673239"/>
    <w:rsid w:val="006734FE"/>
    <w:rsid w:val="0067376F"/>
    <w:rsid w:val="0067389E"/>
    <w:rsid w:val="00673AE3"/>
    <w:rsid w:val="006758F5"/>
    <w:rsid w:val="00680E66"/>
    <w:rsid w:val="00681BB5"/>
    <w:rsid w:val="006827E7"/>
    <w:rsid w:val="00682B98"/>
    <w:rsid w:val="00682E6A"/>
    <w:rsid w:val="0068315D"/>
    <w:rsid w:val="006832B6"/>
    <w:rsid w:val="00684A86"/>
    <w:rsid w:val="00684AD0"/>
    <w:rsid w:val="00685B9B"/>
    <w:rsid w:val="00685D79"/>
    <w:rsid w:val="00686890"/>
    <w:rsid w:val="006871A2"/>
    <w:rsid w:val="00687C6F"/>
    <w:rsid w:val="00687E51"/>
    <w:rsid w:val="00690180"/>
    <w:rsid w:val="006901CD"/>
    <w:rsid w:val="00690A39"/>
    <w:rsid w:val="00690BAE"/>
    <w:rsid w:val="006914AF"/>
    <w:rsid w:val="00691AD4"/>
    <w:rsid w:val="00691C1C"/>
    <w:rsid w:val="0069245C"/>
    <w:rsid w:val="0069277B"/>
    <w:rsid w:val="006931CB"/>
    <w:rsid w:val="0069515B"/>
    <w:rsid w:val="0069527A"/>
    <w:rsid w:val="0069626E"/>
    <w:rsid w:val="00696A2E"/>
    <w:rsid w:val="00696C55"/>
    <w:rsid w:val="00696D9E"/>
    <w:rsid w:val="00696F8D"/>
    <w:rsid w:val="00697941"/>
    <w:rsid w:val="006A132B"/>
    <w:rsid w:val="006A194F"/>
    <w:rsid w:val="006A3479"/>
    <w:rsid w:val="006A4E31"/>
    <w:rsid w:val="006A5381"/>
    <w:rsid w:val="006A7161"/>
    <w:rsid w:val="006A78CF"/>
    <w:rsid w:val="006A7C9A"/>
    <w:rsid w:val="006B07E4"/>
    <w:rsid w:val="006B0B1E"/>
    <w:rsid w:val="006B127A"/>
    <w:rsid w:val="006B1F85"/>
    <w:rsid w:val="006B2868"/>
    <w:rsid w:val="006B2D98"/>
    <w:rsid w:val="006B2FE4"/>
    <w:rsid w:val="006B4196"/>
    <w:rsid w:val="006B4EA2"/>
    <w:rsid w:val="006B534B"/>
    <w:rsid w:val="006B538C"/>
    <w:rsid w:val="006B5DA6"/>
    <w:rsid w:val="006B74AF"/>
    <w:rsid w:val="006B7ECC"/>
    <w:rsid w:val="006C13D2"/>
    <w:rsid w:val="006C1DEA"/>
    <w:rsid w:val="006C27E9"/>
    <w:rsid w:val="006C2868"/>
    <w:rsid w:val="006C2DC8"/>
    <w:rsid w:val="006C36F2"/>
    <w:rsid w:val="006C398B"/>
    <w:rsid w:val="006C41CD"/>
    <w:rsid w:val="006C46B7"/>
    <w:rsid w:val="006C4D8F"/>
    <w:rsid w:val="006C4EB7"/>
    <w:rsid w:val="006C5734"/>
    <w:rsid w:val="006C619A"/>
    <w:rsid w:val="006C6C68"/>
    <w:rsid w:val="006C721F"/>
    <w:rsid w:val="006C7E5A"/>
    <w:rsid w:val="006C7F6C"/>
    <w:rsid w:val="006D0959"/>
    <w:rsid w:val="006D11D3"/>
    <w:rsid w:val="006D125B"/>
    <w:rsid w:val="006D1E5A"/>
    <w:rsid w:val="006D27ED"/>
    <w:rsid w:val="006D3228"/>
    <w:rsid w:val="006D3329"/>
    <w:rsid w:val="006D36AD"/>
    <w:rsid w:val="006D3783"/>
    <w:rsid w:val="006D4CC9"/>
    <w:rsid w:val="006D550D"/>
    <w:rsid w:val="006D5574"/>
    <w:rsid w:val="006D66E6"/>
    <w:rsid w:val="006D6E49"/>
    <w:rsid w:val="006E1109"/>
    <w:rsid w:val="006E123D"/>
    <w:rsid w:val="006E1509"/>
    <w:rsid w:val="006E1FF0"/>
    <w:rsid w:val="006E2730"/>
    <w:rsid w:val="006E2934"/>
    <w:rsid w:val="006E3061"/>
    <w:rsid w:val="006E3636"/>
    <w:rsid w:val="006E3788"/>
    <w:rsid w:val="006E4219"/>
    <w:rsid w:val="006E46D2"/>
    <w:rsid w:val="006E4D78"/>
    <w:rsid w:val="006E547A"/>
    <w:rsid w:val="006E5D32"/>
    <w:rsid w:val="006E6B38"/>
    <w:rsid w:val="006E6C39"/>
    <w:rsid w:val="006E7438"/>
    <w:rsid w:val="006E7A41"/>
    <w:rsid w:val="006E7E68"/>
    <w:rsid w:val="006E7FAF"/>
    <w:rsid w:val="006F04B3"/>
    <w:rsid w:val="006F1143"/>
    <w:rsid w:val="006F222D"/>
    <w:rsid w:val="006F23A1"/>
    <w:rsid w:val="006F2CA0"/>
    <w:rsid w:val="006F2FD0"/>
    <w:rsid w:val="006F3636"/>
    <w:rsid w:val="006F3716"/>
    <w:rsid w:val="006F40DC"/>
    <w:rsid w:val="006F521E"/>
    <w:rsid w:val="006F70ED"/>
    <w:rsid w:val="006F7862"/>
    <w:rsid w:val="006F7BE2"/>
    <w:rsid w:val="00700B54"/>
    <w:rsid w:val="00700FD1"/>
    <w:rsid w:val="0070269C"/>
    <w:rsid w:val="00703317"/>
    <w:rsid w:val="0070346B"/>
    <w:rsid w:val="0070456E"/>
    <w:rsid w:val="007054D8"/>
    <w:rsid w:val="00705671"/>
    <w:rsid w:val="00705C5B"/>
    <w:rsid w:val="00707457"/>
    <w:rsid w:val="00707759"/>
    <w:rsid w:val="007103FD"/>
    <w:rsid w:val="00710E91"/>
    <w:rsid w:val="00711B98"/>
    <w:rsid w:val="007124D9"/>
    <w:rsid w:val="00712BD0"/>
    <w:rsid w:val="00713064"/>
    <w:rsid w:val="007133BC"/>
    <w:rsid w:val="007136F1"/>
    <w:rsid w:val="00713AE3"/>
    <w:rsid w:val="00713FD6"/>
    <w:rsid w:val="00714313"/>
    <w:rsid w:val="00714670"/>
    <w:rsid w:val="00714A3E"/>
    <w:rsid w:val="00717456"/>
    <w:rsid w:val="00717924"/>
    <w:rsid w:val="00720619"/>
    <w:rsid w:val="00720DAD"/>
    <w:rsid w:val="00721491"/>
    <w:rsid w:val="00721CB9"/>
    <w:rsid w:val="00721DA5"/>
    <w:rsid w:val="00721F23"/>
    <w:rsid w:val="007224CF"/>
    <w:rsid w:val="00723171"/>
    <w:rsid w:val="00723CD3"/>
    <w:rsid w:val="00723D4D"/>
    <w:rsid w:val="00724556"/>
    <w:rsid w:val="007246F7"/>
    <w:rsid w:val="00724F11"/>
    <w:rsid w:val="0072579E"/>
    <w:rsid w:val="00725B11"/>
    <w:rsid w:val="007262CE"/>
    <w:rsid w:val="00726488"/>
    <w:rsid w:val="00726DB9"/>
    <w:rsid w:val="00727322"/>
    <w:rsid w:val="007305CD"/>
    <w:rsid w:val="007305E3"/>
    <w:rsid w:val="00730755"/>
    <w:rsid w:val="0073089A"/>
    <w:rsid w:val="00731498"/>
    <w:rsid w:val="00731524"/>
    <w:rsid w:val="00731857"/>
    <w:rsid w:val="0073189F"/>
    <w:rsid w:val="007344E2"/>
    <w:rsid w:val="00734A86"/>
    <w:rsid w:val="00735BC5"/>
    <w:rsid w:val="0074098A"/>
    <w:rsid w:val="00740C81"/>
    <w:rsid w:val="00740F88"/>
    <w:rsid w:val="00741A77"/>
    <w:rsid w:val="0074238F"/>
    <w:rsid w:val="00742633"/>
    <w:rsid w:val="00743351"/>
    <w:rsid w:val="00743ED7"/>
    <w:rsid w:val="0074461D"/>
    <w:rsid w:val="007446DB"/>
    <w:rsid w:val="00744A9E"/>
    <w:rsid w:val="00744B1F"/>
    <w:rsid w:val="00744E0E"/>
    <w:rsid w:val="007469F8"/>
    <w:rsid w:val="00747C99"/>
    <w:rsid w:val="00750029"/>
    <w:rsid w:val="007500A6"/>
    <w:rsid w:val="00750985"/>
    <w:rsid w:val="00750E92"/>
    <w:rsid w:val="0075188D"/>
    <w:rsid w:val="00752526"/>
    <w:rsid w:val="00752BB7"/>
    <w:rsid w:val="00752CFF"/>
    <w:rsid w:val="007530E4"/>
    <w:rsid w:val="00753217"/>
    <w:rsid w:val="007533A0"/>
    <w:rsid w:val="00753409"/>
    <w:rsid w:val="00753FFB"/>
    <w:rsid w:val="00754A79"/>
    <w:rsid w:val="00755F59"/>
    <w:rsid w:val="007579CD"/>
    <w:rsid w:val="00757A1C"/>
    <w:rsid w:val="00757BD8"/>
    <w:rsid w:val="00757EE3"/>
    <w:rsid w:val="00760C65"/>
    <w:rsid w:val="00761032"/>
    <w:rsid w:val="00761573"/>
    <w:rsid w:val="00761E43"/>
    <w:rsid w:val="00762559"/>
    <w:rsid w:val="00762718"/>
    <w:rsid w:val="007628B2"/>
    <w:rsid w:val="00762A26"/>
    <w:rsid w:val="00762ACE"/>
    <w:rsid w:val="00762D7D"/>
    <w:rsid w:val="00763305"/>
    <w:rsid w:val="00763909"/>
    <w:rsid w:val="00763961"/>
    <w:rsid w:val="007650B5"/>
    <w:rsid w:val="00765A35"/>
    <w:rsid w:val="00766187"/>
    <w:rsid w:val="007667D6"/>
    <w:rsid w:val="00766D59"/>
    <w:rsid w:val="007677FA"/>
    <w:rsid w:val="00767801"/>
    <w:rsid w:val="007708B1"/>
    <w:rsid w:val="00770C00"/>
    <w:rsid w:val="007713B6"/>
    <w:rsid w:val="00771663"/>
    <w:rsid w:val="00771B44"/>
    <w:rsid w:val="00772114"/>
    <w:rsid w:val="00772649"/>
    <w:rsid w:val="00772E0A"/>
    <w:rsid w:val="0077318B"/>
    <w:rsid w:val="007739A2"/>
    <w:rsid w:val="00773CA4"/>
    <w:rsid w:val="007740F7"/>
    <w:rsid w:val="0077491A"/>
    <w:rsid w:val="00774EDA"/>
    <w:rsid w:val="007750C1"/>
    <w:rsid w:val="00775461"/>
    <w:rsid w:val="0077579B"/>
    <w:rsid w:val="00775816"/>
    <w:rsid w:val="00775A91"/>
    <w:rsid w:val="00775DFC"/>
    <w:rsid w:val="007765FA"/>
    <w:rsid w:val="007766CD"/>
    <w:rsid w:val="0077687F"/>
    <w:rsid w:val="00777516"/>
    <w:rsid w:val="007776A5"/>
    <w:rsid w:val="00780E0D"/>
    <w:rsid w:val="0078117A"/>
    <w:rsid w:val="00781626"/>
    <w:rsid w:val="00781ABD"/>
    <w:rsid w:val="00782C06"/>
    <w:rsid w:val="007830C6"/>
    <w:rsid w:val="007846EA"/>
    <w:rsid w:val="00784AA2"/>
    <w:rsid w:val="00786810"/>
    <w:rsid w:val="00787E98"/>
    <w:rsid w:val="00790309"/>
    <w:rsid w:val="007904EE"/>
    <w:rsid w:val="00790B76"/>
    <w:rsid w:val="00791304"/>
    <w:rsid w:val="0079142F"/>
    <w:rsid w:val="00791B5C"/>
    <w:rsid w:val="00791EBC"/>
    <w:rsid w:val="00792432"/>
    <w:rsid w:val="00792C09"/>
    <w:rsid w:val="007933EA"/>
    <w:rsid w:val="0079340B"/>
    <w:rsid w:val="0079363D"/>
    <w:rsid w:val="007939AD"/>
    <w:rsid w:val="00795576"/>
    <w:rsid w:val="00795E01"/>
    <w:rsid w:val="00796AB5"/>
    <w:rsid w:val="007970F2"/>
    <w:rsid w:val="00797168"/>
    <w:rsid w:val="007972B6"/>
    <w:rsid w:val="00797708"/>
    <w:rsid w:val="007979A4"/>
    <w:rsid w:val="00797B70"/>
    <w:rsid w:val="00797CC2"/>
    <w:rsid w:val="007A0D1E"/>
    <w:rsid w:val="007A0E1E"/>
    <w:rsid w:val="007A4380"/>
    <w:rsid w:val="007A4C82"/>
    <w:rsid w:val="007A744A"/>
    <w:rsid w:val="007B0DB6"/>
    <w:rsid w:val="007B1B9B"/>
    <w:rsid w:val="007B223C"/>
    <w:rsid w:val="007B2BFE"/>
    <w:rsid w:val="007B2C03"/>
    <w:rsid w:val="007B2F15"/>
    <w:rsid w:val="007B2F49"/>
    <w:rsid w:val="007B3071"/>
    <w:rsid w:val="007B3CE7"/>
    <w:rsid w:val="007B41FC"/>
    <w:rsid w:val="007B42A9"/>
    <w:rsid w:val="007B48E3"/>
    <w:rsid w:val="007B4BB3"/>
    <w:rsid w:val="007B5067"/>
    <w:rsid w:val="007B5857"/>
    <w:rsid w:val="007B5BB1"/>
    <w:rsid w:val="007B7A53"/>
    <w:rsid w:val="007B7D25"/>
    <w:rsid w:val="007B7ED8"/>
    <w:rsid w:val="007B7F5F"/>
    <w:rsid w:val="007C0232"/>
    <w:rsid w:val="007C02C5"/>
    <w:rsid w:val="007C0615"/>
    <w:rsid w:val="007C0A54"/>
    <w:rsid w:val="007C1B77"/>
    <w:rsid w:val="007C1BF9"/>
    <w:rsid w:val="007C1CC8"/>
    <w:rsid w:val="007C32C3"/>
    <w:rsid w:val="007C3721"/>
    <w:rsid w:val="007C3B0B"/>
    <w:rsid w:val="007C477E"/>
    <w:rsid w:val="007C521D"/>
    <w:rsid w:val="007C5520"/>
    <w:rsid w:val="007C5528"/>
    <w:rsid w:val="007C5EE5"/>
    <w:rsid w:val="007D0E39"/>
    <w:rsid w:val="007D19B3"/>
    <w:rsid w:val="007D1BF6"/>
    <w:rsid w:val="007D1CCD"/>
    <w:rsid w:val="007D2C22"/>
    <w:rsid w:val="007D2FDD"/>
    <w:rsid w:val="007D3ABC"/>
    <w:rsid w:val="007D49B3"/>
    <w:rsid w:val="007D5321"/>
    <w:rsid w:val="007D5678"/>
    <w:rsid w:val="007D66AA"/>
    <w:rsid w:val="007D6934"/>
    <w:rsid w:val="007D6CE6"/>
    <w:rsid w:val="007E0DE3"/>
    <w:rsid w:val="007E0F6F"/>
    <w:rsid w:val="007E1950"/>
    <w:rsid w:val="007E208C"/>
    <w:rsid w:val="007E25B3"/>
    <w:rsid w:val="007E2C3A"/>
    <w:rsid w:val="007E34C5"/>
    <w:rsid w:val="007E38E5"/>
    <w:rsid w:val="007E415C"/>
    <w:rsid w:val="007E4CDA"/>
    <w:rsid w:val="007E61F1"/>
    <w:rsid w:val="007E6333"/>
    <w:rsid w:val="007E6AC5"/>
    <w:rsid w:val="007E7B29"/>
    <w:rsid w:val="007E7B6A"/>
    <w:rsid w:val="007F04A5"/>
    <w:rsid w:val="007F1FB6"/>
    <w:rsid w:val="007F23FE"/>
    <w:rsid w:val="007F2768"/>
    <w:rsid w:val="007F2FB3"/>
    <w:rsid w:val="007F34ED"/>
    <w:rsid w:val="007F5058"/>
    <w:rsid w:val="007F70AD"/>
    <w:rsid w:val="007F71A1"/>
    <w:rsid w:val="007F72B5"/>
    <w:rsid w:val="00800C13"/>
    <w:rsid w:val="00802262"/>
    <w:rsid w:val="00802364"/>
    <w:rsid w:val="00802705"/>
    <w:rsid w:val="008028A3"/>
    <w:rsid w:val="008032BC"/>
    <w:rsid w:val="008039CD"/>
    <w:rsid w:val="00803F65"/>
    <w:rsid w:val="00804603"/>
    <w:rsid w:val="00804930"/>
    <w:rsid w:val="008054FC"/>
    <w:rsid w:val="00805C32"/>
    <w:rsid w:val="00806318"/>
    <w:rsid w:val="00806C11"/>
    <w:rsid w:val="00806C6B"/>
    <w:rsid w:val="0080708F"/>
    <w:rsid w:val="008070D7"/>
    <w:rsid w:val="00807B9E"/>
    <w:rsid w:val="00807C4D"/>
    <w:rsid w:val="00810822"/>
    <w:rsid w:val="00811378"/>
    <w:rsid w:val="008116D0"/>
    <w:rsid w:val="00811EA2"/>
    <w:rsid w:val="008123EB"/>
    <w:rsid w:val="0081350E"/>
    <w:rsid w:val="0081357B"/>
    <w:rsid w:val="008139B6"/>
    <w:rsid w:val="00813B7A"/>
    <w:rsid w:val="008152E1"/>
    <w:rsid w:val="0081538A"/>
    <w:rsid w:val="008154AB"/>
    <w:rsid w:val="00816B62"/>
    <w:rsid w:val="00816FBE"/>
    <w:rsid w:val="00817D05"/>
    <w:rsid w:val="00820356"/>
    <w:rsid w:val="00820F7D"/>
    <w:rsid w:val="008213BB"/>
    <w:rsid w:val="008218FA"/>
    <w:rsid w:val="00821A89"/>
    <w:rsid w:val="00821FCB"/>
    <w:rsid w:val="008228B2"/>
    <w:rsid w:val="00823529"/>
    <w:rsid w:val="0082472D"/>
    <w:rsid w:val="008251A2"/>
    <w:rsid w:val="00825903"/>
    <w:rsid w:val="00825AF6"/>
    <w:rsid w:val="00825B6C"/>
    <w:rsid w:val="0082640C"/>
    <w:rsid w:val="00826968"/>
    <w:rsid w:val="0082771A"/>
    <w:rsid w:val="00827942"/>
    <w:rsid w:val="00827CA4"/>
    <w:rsid w:val="00830439"/>
    <w:rsid w:val="008315EA"/>
    <w:rsid w:val="00831D9F"/>
    <w:rsid w:val="00831E13"/>
    <w:rsid w:val="00831EE0"/>
    <w:rsid w:val="00832624"/>
    <w:rsid w:val="00833659"/>
    <w:rsid w:val="00833F7B"/>
    <w:rsid w:val="00834508"/>
    <w:rsid w:val="00834903"/>
    <w:rsid w:val="00834DB3"/>
    <w:rsid w:val="0083507D"/>
    <w:rsid w:val="008374DA"/>
    <w:rsid w:val="0083763C"/>
    <w:rsid w:val="0084061F"/>
    <w:rsid w:val="00842717"/>
    <w:rsid w:val="00842AED"/>
    <w:rsid w:val="00842FFA"/>
    <w:rsid w:val="008437FA"/>
    <w:rsid w:val="008453A0"/>
    <w:rsid w:val="00845C74"/>
    <w:rsid w:val="00846022"/>
    <w:rsid w:val="00846463"/>
    <w:rsid w:val="00846CD6"/>
    <w:rsid w:val="00847286"/>
    <w:rsid w:val="008477EC"/>
    <w:rsid w:val="00847F3C"/>
    <w:rsid w:val="00851260"/>
    <w:rsid w:val="00851C30"/>
    <w:rsid w:val="00852191"/>
    <w:rsid w:val="008521A8"/>
    <w:rsid w:val="00852279"/>
    <w:rsid w:val="00852A62"/>
    <w:rsid w:val="0085322E"/>
    <w:rsid w:val="00853BC4"/>
    <w:rsid w:val="00854423"/>
    <w:rsid w:val="00855B97"/>
    <w:rsid w:val="00855E56"/>
    <w:rsid w:val="00856CE0"/>
    <w:rsid w:val="00856F2F"/>
    <w:rsid w:val="00857E5D"/>
    <w:rsid w:val="008607A9"/>
    <w:rsid w:val="00860AF5"/>
    <w:rsid w:val="00860D16"/>
    <w:rsid w:val="008619F9"/>
    <w:rsid w:val="008623B4"/>
    <w:rsid w:val="00862A85"/>
    <w:rsid w:val="00863B8E"/>
    <w:rsid w:val="00863CC9"/>
    <w:rsid w:val="008653C2"/>
    <w:rsid w:val="008653F1"/>
    <w:rsid w:val="00865421"/>
    <w:rsid w:val="00865561"/>
    <w:rsid w:val="0086660A"/>
    <w:rsid w:val="008669F1"/>
    <w:rsid w:val="00866E25"/>
    <w:rsid w:val="00867749"/>
    <w:rsid w:val="00867DC6"/>
    <w:rsid w:val="0087028D"/>
    <w:rsid w:val="0087043B"/>
    <w:rsid w:val="0087090D"/>
    <w:rsid w:val="0087185B"/>
    <w:rsid w:val="0087192E"/>
    <w:rsid w:val="00872995"/>
    <w:rsid w:val="00872A78"/>
    <w:rsid w:val="0087377C"/>
    <w:rsid w:val="00874378"/>
    <w:rsid w:val="00874A49"/>
    <w:rsid w:val="00874AC3"/>
    <w:rsid w:val="00874CC6"/>
    <w:rsid w:val="008756FF"/>
    <w:rsid w:val="008766CA"/>
    <w:rsid w:val="00877580"/>
    <w:rsid w:val="008822B5"/>
    <w:rsid w:val="0088324E"/>
    <w:rsid w:val="00883530"/>
    <w:rsid w:val="00883A01"/>
    <w:rsid w:val="00886584"/>
    <w:rsid w:val="0088708D"/>
    <w:rsid w:val="00887195"/>
    <w:rsid w:val="008877C3"/>
    <w:rsid w:val="00887AB2"/>
    <w:rsid w:val="008907CC"/>
    <w:rsid w:val="00890B77"/>
    <w:rsid w:val="00892509"/>
    <w:rsid w:val="00893911"/>
    <w:rsid w:val="0089400A"/>
    <w:rsid w:val="008940ED"/>
    <w:rsid w:val="0089484A"/>
    <w:rsid w:val="00895753"/>
    <w:rsid w:val="00895B24"/>
    <w:rsid w:val="00895BFC"/>
    <w:rsid w:val="00895CB9"/>
    <w:rsid w:val="00896854"/>
    <w:rsid w:val="00896873"/>
    <w:rsid w:val="00896E22"/>
    <w:rsid w:val="00897B37"/>
    <w:rsid w:val="00897C73"/>
    <w:rsid w:val="008A02F0"/>
    <w:rsid w:val="008A0451"/>
    <w:rsid w:val="008A0B6E"/>
    <w:rsid w:val="008A0C1C"/>
    <w:rsid w:val="008A193A"/>
    <w:rsid w:val="008A1AD4"/>
    <w:rsid w:val="008A1B81"/>
    <w:rsid w:val="008A26AE"/>
    <w:rsid w:val="008A2C01"/>
    <w:rsid w:val="008A337B"/>
    <w:rsid w:val="008A3883"/>
    <w:rsid w:val="008A4280"/>
    <w:rsid w:val="008A439C"/>
    <w:rsid w:val="008A4904"/>
    <w:rsid w:val="008A4E66"/>
    <w:rsid w:val="008A4F71"/>
    <w:rsid w:val="008A5D91"/>
    <w:rsid w:val="008A5E3D"/>
    <w:rsid w:val="008A5F6E"/>
    <w:rsid w:val="008A61D0"/>
    <w:rsid w:val="008A67A7"/>
    <w:rsid w:val="008A6FE2"/>
    <w:rsid w:val="008A7DE4"/>
    <w:rsid w:val="008B0199"/>
    <w:rsid w:val="008B0396"/>
    <w:rsid w:val="008B0A96"/>
    <w:rsid w:val="008B0C47"/>
    <w:rsid w:val="008B0E7C"/>
    <w:rsid w:val="008B183E"/>
    <w:rsid w:val="008B1FAC"/>
    <w:rsid w:val="008B2266"/>
    <w:rsid w:val="008B2295"/>
    <w:rsid w:val="008B2484"/>
    <w:rsid w:val="008B24F7"/>
    <w:rsid w:val="008B2972"/>
    <w:rsid w:val="008B2FBC"/>
    <w:rsid w:val="008B33D0"/>
    <w:rsid w:val="008B376A"/>
    <w:rsid w:val="008B481D"/>
    <w:rsid w:val="008B48EA"/>
    <w:rsid w:val="008B530B"/>
    <w:rsid w:val="008B55D9"/>
    <w:rsid w:val="008B5916"/>
    <w:rsid w:val="008B65CA"/>
    <w:rsid w:val="008B669B"/>
    <w:rsid w:val="008B7116"/>
    <w:rsid w:val="008B71FA"/>
    <w:rsid w:val="008B7545"/>
    <w:rsid w:val="008B7801"/>
    <w:rsid w:val="008C0149"/>
    <w:rsid w:val="008C018F"/>
    <w:rsid w:val="008C01E3"/>
    <w:rsid w:val="008C0603"/>
    <w:rsid w:val="008C1CEC"/>
    <w:rsid w:val="008C210F"/>
    <w:rsid w:val="008C4745"/>
    <w:rsid w:val="008C4897"/>
    <w:rsid w:val="008C494A"/>
    <w:rsid w:val="008C7516"/>
    <w:rsid w:val="008C75E8"/>
    <w:rsid w:val="008D0965"/>
    <w:rsid w:val="008D1D22"/>
    <w:rsid w:val="008D1DB6"/>
    <w:rsid w:val="008D2564"/>
    <w:rsid w:val="008D2EE5"/>
    <w:rsid w:val="008D34AA"/>
    <w:rsid w:val="008D4063"/>
    <w:rsid w:val="008D4649"/>
    <w:rsid w:val="008D4651"/>
    <w:rsid w:val="008D4DBB"/>
    <w:rsid w:val="008D51FA"/>
    <w:rsid w:val="008D53D0"/>
    <w:rsid w:val="008D5692"/>
    <w:rsid w:val="008D579D"/>
    <w:rsid w:val="008D61F0"/>
    <w:rsid w:val="008D66AE"/>
    <w:rsid w:val="008D7780"/>
    <w:rsid w:val="008D7B06"/>
    <w:rsid w:val="008E0042"/>
    <w:rsid w:val="008E03E3"/>
    <w:rsid w:val="008E1798"/>
    <w:rsid w:val="008E263F"/>
    <w:rsid w:val="008E2C0A"/>
    <w:rsid w:val="008E305A"/>
    <w:rsid w:val="008E40A9"/>
    <w:rsid w:val="008E432B"/>
    <w:rsid w:val="008E48D5"/>
    <w:rsid w:val="008E4BD3"/>
    <w:rsid w:val="008E4E32"/>
    <w:rsid w:val="008E6783"/>
    <w:rsid w:val="008F0297"/>
    <w:rsid w:val="008F02EE"/>
    <w:rsid w:val="008F07F4"/>
    <w:rsid w:val="008F080D"/>
    <w:rsid w:val="008F0AB4"/>
    <w:rsid w:val="008F0E0C"/>
    <w:rsid w:val="008F0F7C"/>
    <w:rsid w:val="008F193F"/>
    <w:rsid w:val="008F1E75"/>
    <w:rsid w:val="008F22F5"/>
    <w:rsid w:val="008F2478"/>
    <w:rsid w:val="008F2615"/>
    <w:rsid w:val="008F33F1"/>
    <w:rsid w:val="008F3983"/>
    <w:rsid w:val="008F46C3"/>
    <w:rsid w:val="008F4C26"/>
    <w:rsid w:val="008F5394"/>
    <w:rsid w:val="008F5F91"/>
    <w:rsid w:val="008F5FD3"/>
    <w:rsid w:val="008F6505"/>
    <w:rsid w:val="008F7310"/>
    <w:rsid w:val="008F7439"/>
    <w:rsid w:val="0090125E"/>
    <w:rsid w:val="009012BB"/>
    <w:rsid w:val="00901574"/>
    <w:rsid w:val="0090267E"/>
    <w:rsid w:val="00902DC5"/>
    <w:rsid w:val="0090352A"/>
    <w:rsid w:val="00903F3E"/>
    <w:rsid w:val="00904DF9"/>
    <w:rsid w:val="009052D2"/>
    <w:rsid w:val="00906EB4"/>
    <w:rsid w:val="00907450"/>
    <w:rsid w:val="009076D8"/>
    <w:rsid w:val="00907BD4"/>
    <w:rsid w:val="00907FD1"/>
    <w:rsid w:val="00910599"/>
    <w:rsid w:val="00910725"/>
    <w:rsid w:val="00911B82"/>
    <w:rsid w:val="00911BDC"/>
    <w:rsid w:val="009121A3"/>
    <w:rsid w:val="0091281B"/>
    <w:rsid w:val="009133A1"/>
    <w:rsid w:val="00913687"/>
    <w:rsid w:val="00913B68"/>
    <w:rsid w:val="00913C1A"/>
    <w:rsid w:val="00913F2C"/>
    <w:rsid w:val="00914BBE"/>
    <w:rsid w:val="0091531B"/>
    <w:rsid w:val="009153D4"/>
    <w:rsid w:val="0091558B"/>
    <w:rsid w:val="0091576A"/>
    <w:rsid w:val="00916AD2"/>
    <w:rsid w:val="009174C8"/>
    <w:rsid w:val="00917606"/>
    <w:rsid w:val="00917912"/>
    <w:rsid w:val="00917B3A"/>
    <w:rsid w:val="00917EF7"/>
    <w:rsid w:val="00917F3D"/>
    <w:rsid w:val="00920157"/>
    <w:rsid w:val="00921044"/>
    <w:rsid w:val="00921F51"/>
    <w:rsid w:val="0092205D"/>
    <w:rsid w:val="00922A6B"/>
    <w:rsid w:val="00922D71"/>
    <w:rsid w:val="00922F70"/>
    <w:rsid w:val="00923398"/>
    <w:rsid w:val="009233B5"/>
    <w:rsid w:val="00923967"/>
    <w:rsid w:val="00923F5D"/>
    <w:rsid w:val="00924B1B"/>
    <w:rsid w:val="009268A1"/>
    <w:rsid w:val="009268CD"/>
    <w:rsid w:val="00926F98"/>
    <w:rsid w:val="00927696"/>
    <w:rsid w:val="00930F59"/>
    <w:rsid w:val="009312C7"/>
    <w:rsid w:val="00931ABA"/>
    <w:rsid w:val="009329A9"/>
    <w:rsid w:val="00933820"/>
    <w:rsid w:val="00933A55"/>
    <w:rsid w:val="00933C0C"/>
    <w:rsid w:val="009340E3"/>
    <w:rsid w:val="00934356"/>
    <w:rsid w:val="009346A8"/>
    <w:rsid w:val="00934880"/>
    <w:rsid w:val="00934BB9"/>
    <w:rsid w:val="00936834"/>
    <w:rsid w:val="00936B84"/>
    <w:rsid w:val="0093729E"/>
    <w:rsid w:val="009375DF"/>
    <w:rsid w:val="009376B0"/>
    <w:rsid w:val="00941396"/>
    <w:rsid w:val="00942843"/>
    <w:rsid w:val="009432AD"/>
    <w:rsid w:val="009444C3"/>
    <w:rsid w:val="00944C6A"/>
    <w:rsid w:val="00945071"/>
    <w:rsid w:val="00946019"/>
    <w:rsid w:val="0094636E"/>
    <w:rsid w:val="009473D8"/>
    <w:rsid w:val="00953275"/>
    <w:rsid w:val="00953DAC"/>
    <w:rsid w:val="00954591"/>
    <w:rsid w:val="00954D95"/>
    <w:rsid w:val="00955150"/>
    <w:rsid w:val="00955674"/>
    <w:rsid w:val="009556B7"/>
    <w:rsid w:val="00955993"/>
    <w:rsid w:val="00957407"/>
    <w:rsid w:val="00957A35"/>
    <w:rsid w:val="009605CB"/>
    <w:rsid w:val="009608C3"/>
    <w:rsid w:val="00960F3B"/>
    <w:rsid w:val="009625E1"/>
    <w:rsid w:val="009633B3"/>
    <w:rsid w:val="00964187"/>
    <w:rsid w:val="0096512D"/>
    <w:rsid w:val="009658D3"/>
    <w:rsid w:val="0096591E"/>
    <w:rsid w:val="00965AA1"/>
    <w:rsid w:val="009666A0"/>
    <w:rsid w:val="00966C85"/>
    <w:rsid w:val="00966E35"/>
    <w:rsid w:val="00967144"/>
    <w:rsid w:val="00967814"/>
    <w:rsid w:val="00967A42"/>
    <w:rsid w:val="00967F10"/>
    <w:rsid w:val="00970971"/>
    <w:rsid w:val="00971B49"/>
    <w:rsid w:val="00973303"/>
    <w:rsid w:val="00973531"/>
    <w:rsid w:val="00973AC9"/>
    <w:rsid w:val="00973B07"/>
    <w:rsid w:val="00974D8F"/>
    <w:rsid w:val="00975CBD"/>
    <w:rsid w:val="00976400"/>
    <w:rsid w:val="00976B39"/>
    <w:rsid w:val="00976C2C"/>
    <w:rsid w:val="00976FE7"/>
    <w:rsid w:val="009773BA"/>
    <w:rsid w:val="00977EF4"/>
    <w:rsid w:val="009801E6"/>
    <w:rsid w:val="009812F1"/>
    <w:rsid w:val="00981B14"/>
    <w:rsid w:val="00982143"/>
    <w:rsid w:val="00982155"/>
    <w:rsid w:val="00982B72"/>
    <w:rsid w:val="0098311A"/>
    <w:rsid w:val="00983449"/>
    <w:rsid w:val="00983927"/>
    <w:rsid w:val="00983CA7"/>
    <w:rsid w:val="00984AFB"/>
    <w:rsid w:val="00984BD2"/>
    <w:rsid w:val="00986F55"/>
    <w:rsid w:val="009875AB"/>
    <w:rsid w:val="00987D36"/>
    <w:rsid w:val="00987E77"/>
    <w:rsid w:val="00990601"/>
    <w:rsid w:val="00990B08"/>
    <w:rsid w:val="00991752"/>
    <w:rsid w:val="00991F91"/>
    <w:rsid w:val="009920DB"/>
    <w:rsid w:val="0099225A"/>
    <w:rsid w:val="00992515"/>
    <w:rsid w:val="00993837"/>
    <w:rsid w:val="00995369"/>
    <w:rsid w:val="00995E76"/>
    <w:rsid w:val="0099673E"/>
    <w:rsid w:val="009971C6"/>
    <w:rsid w:val="0099723C"/>
    <w:rsid w:val="00997590"/>
    <w:rsid w:val="00997FA3"/>
    <w:rsid w:val="009A03BA"/>
    <w:rsid w:val="009A0410"/>
    <w:rsid w:val="009A108E"/>
    <w:rsid w:val="009A1D8F"/>
    <w:rsid w:val="009A2EE8"/>
    <w:rsid w:val="009A31F3"/>
    <w:rsid w:val="009A3D69"/>
    <w:rsid w:val="009A45D6"/>
    <w:rsid w:val="009A466A"/>
    <w:rsid w:val="009A49D2"/>
    <w:rsid w:val="009A5BCA"/>
    <w:rsid w:val="009A5EBF"/>
    <w:rsid w:val="009A6440"/>
    <w:rsid w:val="009A7088"/>
    <w:rsid w:val="009A7414"/>
    <w:rsid w:val="009A78AB"/>
    <w:rsid w:val="009B1A24"/>
    <w:rsid w:val="009B1C23"/>
    <w:rsid w:val="009B25FD"/>
    <w:rsid w:val="009B27C6"/>
    <w:rsid w:val="009B36D3"/>
    <w:rsid w:val="009B3DF2"/>
    <w:rsid w:val="009B4142"/>
    <w:rsid w:val="009B4F5A"/>
    <w:rsid w:val="009B5040"/>
    <w:rsid w:val="009B593B"/>
    <w:rsid w:val="009B6621"/>
    <w:rsid w:val="009B682B"/>
    <w:rsid w:val="009C0F95"/>
    <w:rsid w:val="009C1245"/>
    <w:rsid w:val="009C1A0D"/>
    <w:rsid w:val="009C34DB"/>
    <w:rsid w:val="009C3C6C"/>
    <w:rsid w:val="009C4E94"/>
    <w:rsid w:val="009C5308"/>
    <w:rsid w:val="009C6D2A"/>
    <w:rsid w:val="009C750F"/>
    <w:rsid w:val="009D085F"/>
    <w:rsid w:val="009D0F31"/>
    <w:rsid w:val="009D1C39"/>
    <w:rsid w:val="009D2C04"/>
    <w:rsid w:val="009D380A"/>
    <w:rsid w:val="009D4EE0"/>
    <w:rsid w:val="009D5B12"/>
    <w:rsid w:val="009D62C8"/>
    <w:rsid w:val="009D78E9"/>
    <w:rsid w:val="009D7AD3"/>
    <w:rsid w:val="009D7CEC"/>
    <w:rsid w:val="009E00D3"/>
    <w:rsid w:val="009E0904"/>
    <w:rsid w:val="009E0935"/>
    <w:rsid w:val="009E10DF"/>
    <w:rsid w:val="009E12C9"/>
    <w:rsid w:val="009E15A5"/>
    <w:rsid w:val="009E1EFE"/>
    <w:rsid w:val="009E2378"/>
    <w:rsid w:val="009E298F"/>
    <w:rsid w:val="009E2BA3"/>
    <w:rsid w:val="009E30B4"/>
    <w:rsid w:val="009E31C0"/>
    <w:rsid w:val="009E369B"/>
    <w:rsid w:val="009E3A30"/>
    <w:rsid w:val="009E4106"/>
    <w:rsid w:val="009E4267"/>
    <w:rsid w:val="009E50D9"/>
    <w:rsid w:val="009E67EC"/>
    <w:rsid w:val="009E6A08"/>
    <w:rsid w:val="009E706A"/>
    <w:rsid w:val="009E7C72"/>
    <w:rsid w:val="009F0079"/>
    <w:rsid w:val="009F02AD"/>
    <w:rsid w:val="009F04A4"/>
    <w:rsid w:val="009F057F"/>
    <w:rsid w:val="009F0A22"/>
    <w:rsid w:val="009F0DBC"/>
    <w:rsid w:val="009F140A"/>
    <w:rsid w:val="009F1D5C"/>
    <w:rsid w:val="009F2F7B"/>
    <w:rsid w:val="009F330C"/>
    <w:rsid w:val="009F3C5F"/>
    <w:rsid w:val="009F3DAA"/>
    <w:rsid w:val="009F431C"/>
    <w:rsid w:val="009F47DD"/>
    <w:rsid w:val="009F4842"/>
    <w:rsid w:val="009F52CE"/>
    <w:rsid w:val="009F595C"/>
    <w:rsid w:val="009F5A53"/>
    <w:rsid w:val="00A007B3"/>
    <w:rsid w:val="00A008F5"/>
    <w:rsid w:val="00A00C43"/>
    <w:rsid w:val="00A022D0"/>
    <w:rsid w:val="00A02604"/>
    <w:rsid w:val="00A0393C"/>
    <w:rsid w:val="00A04BB1"/>
    <w:rsid w:val="00A05D6B"/>
    <w:rsid w:val="00A05ECF"/>
    <w:rsid w:val="00A06E08"/>
    <w:rsid w:val="00A07838"/>
    <w:rsid w:val="00A07CBF"/>
    <w:rsid w:val="00A10315"/>
    <w:rsid w:val="00A127D3"/>
    <w:rsid w:val="00A12AA0"/>
    <w:rsid w:val="00A1397E"/>
    <w:rsid w:val="00A13F43"/>
    <w:rsid w:val="00A155F8"/>
    <w:rsid w:val="00A15695"/>
    <w:rsid w:val="00A15B18"/>
    <w:rsid w:val="00A15D57"/>
    <w:rsid w:val="00A16622"/>
    <w:rsid w:val="00A17ABB"/>
    <w:rsid w:val="00A21703"/>
    <w:rsid w:val="00A21C1F"/>
    <w:rsid w:val="00A23164"/>
    <w:rsid w:val="00A2423D"/>
    <w:rsid w:val="00A24C7C"/>
    <w:rsid w:val="00A24DD5"/>
    <w:rsid w:val="00A25E69"/>
    <w:rsid w:val="00A26657"/>
    <w:rsid w:val="00A26C4E"/>
    <w:rsid w:val="00A273D3"/>
    <w:rsid w:val="00A27679"/>
    <w:rsid w:val="00A30566"/>
    <w:rsid w:val="00A306F8"/>
    <w:rsid w:val="00A3120D"/>
    <w:rsid w:val="00A313A5"/>
    <w:rsid w:val="00A31591"/>
    <w:rsid w:val="00A31F20"/>
    <w:rsid w:val="00A322CF"/>
    <w:rsid w:val="00A322FD"/>
    <w:rsid w:val="00A32799"/>
    <w:rsid w:val="00A32A15"/>
    <w:rsid w:val="00A33214"/>
    <w:rsid w:val="00A3344A"/>
    <w:rsid w:val="00A34257"/>
    <w:rsid w:val="00A348A5"/>
    <w:rsid w:val="00A34EF9"/>
    <w:rsid w:val="00A36EB8"/>
    <w:rsid w:val="00A37F81"/>
    <w:rsid w:val="00A405B4"/>
    <w:rsid w:val="00A4086D"/>
    <w:rsid w:val="00A40B06"/>
    <w:rsid w:val="00A429A5"/>
    <w:rsid w:val="00A42EDF"/>
    <w:rsid w:val="00A4305E"/>
    <w:rsid w:val="00A43E88"/>
    <w:rsid w:val="00A450C8"/>
    <w:rsid w:val="00A46930"/>
    <w:rsid w:val="00A46A6E"/>
    <w:rsid w:val="00A46E4E"/>
    <w:rsid w:val="00A47979"/>
    <w:rsid w:val="00A47A04"/>
    <w:rsid w:val="00A47D52"/>
    <w:rsid w:val="00A50406"/>
    <w:rsid w:val="00A51B14"/>
    <w:rsid w:val="00A51C36"/>
    <w:rsid w:val="00A530E5"/>
    <w:rsid w:val="00A53839"/>
    <w:rsid w:val="00A54594"/>
    <w:rsid w:val="00A5507D"/>
    <w:rsid w:val="00A554B1"/>
    <w:rsid w:val="00A55D96"/>
    <w:rsid w:val="00A56445"/>
    <w:rsid w:val="00A56E93"/>
    <w:rsid w:val="00A56F02"/>
    <w:rsid w:val="00A5787C"/>
    <w:rsid w:val="00A57C0B"/>
    <w:rsid w:val="00A6069F"/>
    <w:rsid w:val="00A62587"/>
    <w:rsid w:val="00A628B1"/>
    <w:rsid w:val="00A632C4"/>
    <w:rsid w:val="00A63D89"/>
    <w:rsid w:val="00A644B7"/>
    <w:rsid w:val="00A660DD"/>
    <w:rsid w:val="00A6657A"/>
    <w:rsid w:val="00A66739"/>
    <w:rsid w:val="00A66D78"/>
    <w:rsid w:val="00A67307"/>
    <w:rsid w:val="00A678C4"/>
    <w:rsid w:val="00A679AB"/>
    <w:rsid w:val="00A67BD1"/>
    <w:rsid w:val="00A67E65"/>
    <w:rsid w:val="00A709D7"/>
    <w:rsid w:val="00A70EC3"/>
    <w:rsid w:val="00A71513"/>
    <w:rsid w:val="00A71A37"/>
    <w:rsid w:val="00A7258C"/>
    <w:rsid w:val="00A725EC"/>
    <w:rsid w:val="00A7298A"/>
    <w:rsid w:val="00A72ACB"/>
    <w:rsid w:val="00A72ACD"/>
    <w:rsid w:val="00A72DB6"/>
    <w:rsid w:val="00A73230"/>
    <w:rsid w:val="00A73835"/>
    <w:rsid w:val="00A73977"/>
    <w:rsid w:val="00A73E19"/>
    <w:rsid w:val="00A75334"/>
    <w:rsid w:val="00A76685"/>
    <w:rsid w:val="00A766E1"/>
    <w:rsid w:val="00A76F4A"/>
    <w:rsid w:val="00A77278"/>
    <w:rsid w:val="00A77AAB"/>
    <w:rsid w:val="00A77C93"/>
    <w:rsid w:val="00A80269"/>
    <w:rsid w:val="00A8063C"/>
    <w:rsid w:val="00A80CF4"/>
    <w:rsid w:val="00A81140"/>
    <w:rsid w:val="00A821A4"/>
    <w:rsid w:val="00A82818"/>
    <w:rsid w:val="00A82E50"/>
    <w:rsid w:val="00A83415"/>
    <w:rsid w:val="00A83AAB"/>
    <w:rsid w:val="00A84521"/>
    <w:rsid w:val="00A84883"/>
    <w:rsid w:val="00A84BD2"/>
    <w:rsid w:val="00A84E77"/>
    <w:rsid w:val="00A85955"/>
    <w:rsid w:val="00A86DA5"/>
    <w:rsid w:val="00A86E06"/>
    <w:rsid w:val="00A86FDB"/>
    <w:rsid w:val="00A8775B"/>
    <w:rsid w:val="00A8798E"/>
    <w:rsid w:val="00A87ED1"/>
    <w:rsid w:val="00A90AAB"/>
    <w:rsid w:val="00A90DE7"/>
    <w:rsid w:val="00A9174D"/>
    <w:rsid w:val="00A91C8B"/>
    <w:rsid w:val="00A92C7F"/>
    <w:rsid w:val="00A93012"/>
    <w:rsid w:val="00A9448A"/>
    <w:rsid w:val="00A950B9"/>
    <w:rsid w:val="00A950BF"/>
    <w:rsid w:val="00A96666"/>
    <w:rsid w:val="00A97DB1"/>
    <w:rsid w:val="00AA0E2F"/>
    <w:rsid w:val="00AA388C"/>
    <w:rsid w:val="00AA3EE0"/>
    <w:rsid w:val="00AA432C"/>
    <w:rsid w:val="00AA6534"/>
    <w:rsid w:val="00AA7DCA"/>
    <w:rsid w:val="00AB0043"/>
    <w:rsid w:val="00AB0645"/>
    <w:rsid w:val="00AB0818"/>
    <w:rsid w:val="00AB08F2"/>
    <w:rsid w:val="00AB114A"/>
    <w:rsid w:val="00AB164C"/>
    <w:rsid w:val="00AB27C4"/>
    <w:rsid w:val="00AB42D9"/>
    <w:rsid w:val="00AB4329"/>
    <w:rsid w:val="00AB5B33"/>
    <w:rsid w:val="00AB6576"/>
    <w:rsid w:val="00AB9B59"/>
    <w:rsid w:val="00AC0E65"/>
    <w:rsid w:val="00AC1BBA"/>
    <w:rsid w:val="00AC2BB9"/>
    <w:rsid w:val="00AC2E05"/>
    <w:rsid w:val="00AC314C"/>
    <w:rsid w:val="00AC3654"/>
    <w:rsid w:val="00AC3D05"/>
    <w:rsid w:val="00AC3D61"/>
    <w:rsid w:val="00AC3F87"/>
    <w:rsid w:val="00AC45A7"/>
    <w:rsid w:val="00AC468C"/>
    <w:rsid w:val="00AC5358"/>
    <w:rsid w:val="00AC67B4"/>
    <w:rsid w:val="00AC688C"/>
    <w:rsid w:val="00AC6BC9"/>
    <w:rsid w:val="00AC75AE"/>
    <w:rsid w:val="00AC7F87"/>
    <w:rsid w:val="00AD0F0E"/>
    <w:rsid w:val="00AD0F31"/>
    <w:rsid w:val="00AD130B"/>
    <w:rsid w:val="00AD274D"/>
    <w:rsid w:val="00AD33CA"/>
    <w:rsid w:val="00AD3903"/>
    <w:rsid w:val="00AD45E3"/>
    <w:rsid w:val="00AD4CBF"/>
    <w:rsid w:val="00AD4D99"/>
    <w:rsid w:val="00AD5BCB"/>
    <w:rsid w:val="00AD5D09"/>
    <w:rsid w:val="00AD6E9C"/>
    <w:rsid w:val="00AD752F"/>
    <w:rsid w:val="00AD7E3E"/>
    <w:rsid w:val="00AE0002"/>
    <w:rsid w:val="00AE02C3"/>
    <w:rsid w:val="00AE07E7"/>
    <w:rsid w:val="00AE2BDD"/>
    <w:rsid w:val="00AE2E53"/>
    <w:rsid w:val="00AE3544"/>
    <w:rsid w:val="00AE3754"/>
    <w:rsid w:val="00AE3882"/>
    <w:rsid w:val="00AE48EC"/>
    <w:rsid w:val="00AE4B17"/>
    <w:rsid w:val="00AE5447"/>
    <w:rsid w:val="00AE5813"/>
    <w:rsid w:val="00AE596A"/>
    <w:rsid w:val="00AE5A22"/>
    <w:rsid w:val="00AE758D"/>
    <w:rsid w:val="00AE7AEC"/>
    <w:rsid w:val="00AF0162"/>
    <w:rsid w:val="00AF08D9"/>
    <w:rsid w:val="00AF171D"/>
    <w:rsid w:val="00AF1957"/>
    <w:rsid w:val="00AF1F5B"/>
    <w:rsid w:val="00AF2B7B"/>
    <w:rsid w:val="00AF3656"/>
    <w:rsid w:val="00AF38E1"/>
    <w:rsid w:val="00AF3E3E"/>
    <w:rsid w:val="00AF48FF"/>
    <w:rsid w:val="00AF4F66"/>
    <w:rsid w:val="00AF5A41"/>
    <w:rsid w:val="00AF5C6A"/>
    <w:rsid w:val="00AF74D5"/>
    <w:rsid w:val="00AF754B"/>
    <w:rsid w:val="00AF75E0"/>
    <w:rsid w:val="00B0061C"/>
    <w:rsid w:val="00B00812"/>
    <w:rsid w:val="00B00F95"/>
    <w:rsid w:val="00B01DA0"/>
    <w:rsid w:val="00B03157"/>
    <w:rsid w:val="00B03310"/>
    <w:rsid w:val="00B03913"/>
    <w:rsid w:val="00B0457D"/>
    <w:rsid w:val="00B0467E"/>
    <w:rsid w:val="00B04B4E"/>
    <w:rsid w:val="00B05190"/>
    <w:rsid w:val="00B05863"/>
    <w:rsid w:val="00B05AFD"/>
    <w:rsid w:val="00B05DA4"/>
    <w:rsid w:val="00B07098"/>
    <w:rsid w:val="00B10457"/>
    <w:rsid w:val="00B11131"/>
    <w:rsid w:val="00B118B3"/>
    <w:rsid w:val="00B11F90"/>
    <w:rsid w:val="00B12D0E"/>
    <w:rsid w:val="00B13360"/>
    <w:rsid w:val="00B15225"/>
    <w:rsid w:val="00B15D5A"/>
    <w:rsid w:val="00B16370"/>
    <w:rsid w:val="00B16DAA"/>
    <w:rsid w:val="00B16E56"/>
    <w:rsid w:val="00B173B3"/>
    <w:rsid w:val="00B17878"/>
    <w:rsid w:val="00B22EA0"/>
    <w:rsid w:val="00B2445C"/>
    <w:rsid w:val="00B25228"/>
    <w:rsid w:val="00B26439"/>
    <w:rsid w:val="00B26EDC"/>
    <w:rsid w:val="00B26FA6"/>
    <w:rsid w:val="00B27238"/>
    <w:rsid w:val="00B27C16"/>
    <w:rsid w:val="00B27EF8"/>
    <w:rsid w:val="00B30E5C"/>
    <w:rsid w:val="00B318FE"/>
    <w:rsid w:val="00B31C35"/>
    <w:rsid w:val="00B31F1B"/>
    <w:rsid w:val="00B3249E"/>
    <w:rsid w:val="00B32D43"/>
    <w:rsid w:val="00B33BAB"/>
    <w:rsid w:val="00B340CA"/>
    <w:rsid w:val="00B3413E"/>
    <w:rsid w:val="00B34B80"/>
    <w:rsid w:val="00B3588A"/>
    <w:rsid w:val="00B3613A"/>
    <w:rsid w:val="00B375B5"/>
    <w:rsid w:val="00B378B7"/>
    <w:rsid w:val="00B37FE6"/>
    <w:rsid w:val="00B4008E"/>
    <w:rsid w:val="00B4037B"/>
    <w:rsid w:val="00B4078F"/>
    <w:rsid w:val="00B411C5"/>
    <w:rsid w:val="00B42BF5"/>
    <w:rsid w:val="00B44A79"/>
    <w:rsid w:val="00B4560E"/>
    <w:rsid w:val="00B46B21"/>
    <w:rsid w:val="00B46C38"/>
    <w:rsid w:val="00B4705D"/>
    <w:rsid w:val="00B47B4A"/>
    <w:rsid w:val="00B47D06"/>
    <w:rsid w:val="00B50022"/>
    <w:rsid w:val="00B509B7"/>
    <w:rsid w:val="00B50A32"/>
    <w:rsid w:val="00B50BEB"/>
    <w:rsid w:val="00B50E01"/>
    <w:rsid w:val="00B526DB"/>
    <w:rsid w:val="00B529F1"/>
    <w:rsid w:val="00B53D52"/>
    <w:rsid w:val="00B54413"/>
    <w:rsid w:val="00B54B30"/>
    <w:rsid w:val="00B54D97"/>
    <w:rsid w:val="00B551E9"/>
    <w:rsid w:val="00B5541F"/>
    <w:rsid w:val="00B562EC"/>
    <w:rsid w:val="00B56446"/>
    <w:rsid w:val="00B603D6"/>
    <w:rsid w:val="00B6076B"/>
    <w:rsid w:val="00B60ED3"/>
    <w:rsid w:val="00B61C2E"/>
    <w:rsid w:val="00B628BB"/>
    <w:rsid w:val="00B628E3"/>
    <w:rsid w:val="00B6431B"/>
    <w:rsid w:val="00B64D61"/>
    <w:rsid w:val="00B65F63"/>
    <w:rsid w:val="00B664D2"/>
    <w:rsid w:val="00B66F09"/>
    <w:rsid w:val="00B6713A"/>
    <w:rsid w:val="00B67661"/>
    <w:rsid w:val="00B67951"/>
    <w:rsid w:val="00B67A6D"/>
    <w:rsid w:val="00B70788"/>
    <w:rsid w:val="00B70DE4"/>
    <w:rsid w:val="00B70EAB"/>
    <w:rsid w:val="00B724CD"/>
    <w:rsid w:val="00B72BEE"/>
    <w:rsid w:val="00B72E2F"/>
    <w:rsid w:val="00B734AC"/>
    <w:rsid w:val="00B74047"/>
    <w:rsid w:val="00B74B9A"/>
    <w:rsid w:val="00B7568D"/>
    <w:rsid w:val="00B7650A"/>
    <w:rsid w:val="00B769DD"/>
    <w:rsid w:val="00B8050C"/>
    <w:rsid w:val="00B807BD"/>
    <w:rsid w:val="00B82727"/>
    <w:rsid w:val="00B82AD9"/>
    <w:rsid w:val="00B83762"/>
    <w:rsid w:val="00B83E7E"/>
    <w:rsid w:val="00B83F53"/>
    <w:rsid w:val="00B8493A"/>
    <w:rsid w:val="00B84F05"/>
    <w:rsid w:val="00B854B5"/>
    <w:rsid w:val="00B8590E"/>
    <w:rsid w:val="00B85C6C"/>
    <w:rsid w:val="00B86930"/>
    <w:rsid w:val="00B87119"/>
    <w:rsid w:val="00B9062B"/>
    <w:rsid w:val="00B92386"/>
    <w:rsid w:val="00B93384"/>
    <w:rsid w:val="00B9359E"/>
    <w:rsid w:val="00B9377E"/>
    <w:rsid w:val="00B940FF"/>
    <w:rsid w:val="00B9434C"/>
    <w:rsid w:val="00B94B7B"/>
    <w:rsid w:val="00B95026"/>
    <w:rsid w:val="00B950D9"/>
    <w:rsid w:val="00B95253"/>
    <w:rsid w:val="00B959F3"/>
    <w:rsid w:val="00B96422"/>
    <w:rsid w:val="00B97173"/>
    <w:rsid w:val="00B97446"/>
    <w:rsid w:val="00B97DA8"/>
    <w:rsid w:val="00BA0E5E"/>
    <w:rsid w:val="00BA0EE1"/>
    <w:rsid w:val="00BA1BA9"/>
    <w:rsid w:val="00BA2AD7"/>
    <w:rsid w:val="00BA2ED9"/>
    <w:rsid w:val="00BA3B15"/>
    <w:rsid w:val="00BA406B"/>
    <w:rsid w:val="00BA5357"/>
    <w:rsid w:val="00BA58A2"/>
    <w:rsid w:val="00BA6A9E"/>
    <w:rsid w:val="00BA732F"/>
    <w:rsid w:val="00BA7778"/>
    <w:rsid w:val="00BA7B54"/>
    <w:rsid w:val="00BA7C0C"/>
    <w:rsid w:val="00BA7FC9"/>
    <w:rsid w:val="00BB06AD"/>
    <w:rsid w:val="00BB1351"/>
    <w:rsid w:val="00BB270C"/>
    <w:rsid w:val="00BB2824"/>
    <w:rsid w:val="00BB2D44"/>
    <w:rsid w:val="00BB3413"/>
    <w:rsid w:val="00BB3CDD"/>
    <w:rsid w:val="00BB4454"/>
    <w:rsid w:val="00BB457A"/>
    <w:rsid w:val="00BB51CA"/>
    <w:rsid w:val="00BB5532"/>
    <w:rsid w:val="00BB59FE"/>
    <w:rsid w:val="00BB66B4"/>
    <w:rsid w:val="00BB76A2"/>
    <w:rsid w:val="00BB77EB"/>
    <w:rsid w:val="00BB7C78"/>
    <w:rsid w:val="00BC02F9"/>
    <w:rsid w:val="00BC0390"/>
    <w:rsid w:val="00BC0968"/>
    <w:rsid w:val="00BC1D4B"/>
    <w:rsid w:val="00BC1D64"/>
    <w:rsid w:val="00BC2470"/>
    <w:rsid w:val="00BC2914"/>
    <w:rsid w:val="00BC294C"/>
    <w:rsid w:val="00BC2DBF"/>
    <w:rsid w:val="00BC4F99"/>
    <w:rsid w:val="00BC54A1"/>
    <w:rsid w:val="00BC585E"/>
    <w:rsid w:val="00BC6D46"/>
    <w:rsid w:val="00BC7719"/>
    <w:rsid w:val="00BC79A6"/>
    <w:rsid w:val="00BC7DFF"/>
    <w:rsid w:val="00BD1688"/>
    <w:rsid w:val="00BD1DD0"/>
    <w:rsid w:val="00BD1E73"/>
    <w:rsid w:val="00BD2B43"/>
    <w:rsid w:val="00BD3320"/>
    <w:rsid w:val="00BD3614"/>
    <w:rsid w:val="00BD4451"/>
    <w:rsid w:val="00BD4E49"/>
    <w:rsid w:val="00BD4E9C"/>
    <w:rsid w:val="00BD5CE1"/>
    <w:rsid w:val="00BD62C4"/>
    <w:rsid w:val="00BD648C"/>
    <w:rsid w:val="00BD66A7"/>
    <w:rsid w:val="00BD756F"/>
    <w:rsid w:val="00BD7C8B"/>
    <w:rsid w:val="00BE085C"/>
    <w:rsid w:val="00BE0A7E"/>
    <w:rsid w:val="00BE111F"/>
    <w:rsid w:val="00BE17A9"/>
    <w:rsid w:val="00BE2593"/>
    <w:rsid w:val="00BE27BE"/>
    <w:rsid w:val="00BE3002"/>
    <w:rsid w:val="00BE3088"/>
    <w:rsid w:val="00BE38AB"/>
    <w:rsid w:val="00BE3966"/>
    <w:rsid w:val="00BE4743"/>
    <w:rsid w:val="00BE4AD0"/>
    <w:rsid w:val="00BE548A"/>
    <w:rsid w:val="00BE59DA"/>
    <w:rsid w:val="00BE61C2"/>
    <w:rsid w:val="00BE63F0"/>
    <w:rsid w:val="00BE7871"/>
    <w:rsid w:val="00BF0277"/>
    <w:rsid w:val="00BF0390"/>
    <w:rsid w:val="00BF03A6"/>
    <w:rsid w:val="00BF06BD"/>
    <w:rsid w:val="00BF08E3"/>
    <w:rsid w:val="00BF0FC3"/>
    <w:rsid w:val="00BF14E6"/>
    <w:rsid w:val="00BF1951"/>
    <w:rsid w:val="00BF2450"/>
    <w:rsid w:val="00BF2ABD"/>
    <w:rsid w:val="00BF2ED9"/>
    <w:rsid w:val="00BF5198"/>
    <w:rsid w:val="00BF5B2F"/>
    <w:rsid w:val="00BF76BA"/>
    <w:rsid w:val="00BF7EC2"/>
    <w:rsid w:val="00C0258C"/>
    <w:rsid w:val="00C029C9"/>
    <w:rsid w:val="00C037A0"/>
    <w:rsid w:val="00C03A68"/>
    <w:rsid w:val="00C04E0C"/>
    <w:rsid w:val="00C05247"/>
    <w:rsid w:val="00C0549A"/>
    <w:rsid w:val="00C05A4E"/>
    <w:rsid w:val="00C05FB0"/>
    <w:rsid w:val="00C0610A"/>
    <w:rsid w:val="00C0633B"/>
    <w:rsid w:val="00C07660"/>
    <w:rsid w:val="00C11C34"/>
    <w:rsid w:val="00C12566"/>
    <w:rsid w:val="00C129F8"/>
    <w:rsid w:val="00C13566"/>
    <w:rsid w:val="00C153E9"/>
    <w:rsid w:val="00C15850"/>
    <w:rsid w:val="00C176DB"/>
    <w:rsid w:val="00C17842"/>
    <w:rsid w:val="00C20045"/>
    <w:rsid w:val="00C2028B"/>
    <w:rsid w:val="00C2195F"/>
    <w:rsid w:val="00C219F6"/>
    <w:rsid w:val="00C21A0E"/>
    <w:rsid w:val="00C23F5F"/>
    <w:rsid w:val="00C24C41"/>
    <w:rsid w:val="00C250C5"/>
    <w:rsid w:val="00C25540"/>
    <w:rsid w:val="00C255BC"/>
    <w:rsid w:val="00C259FE"/>
    <w:rsid w:val="00C25B99"/>
    <w:rsid w:val="00C25E7E"/>
    <w:rsid w:val="00C2667F"/>
    <w:rsid w:val="00C26E34"/>
    <w:rsid w:val="00C27088"/>
    <w:rsid w:val="00C30708"/>
    <w:rsid w:val="00C320DE"/>
    <w:rsid w:val="00C329F2"/>
    <w:rsid w:val="00C333DF"/>
    <w:rsid w:val="00C335D3"/>
    <w:rsid w:val="00C33CB1"/>
    <w:rsid w:val="00C33D3E"/>
    <w:rsid w:val="00C34161"/>
    <w:rsid w:val="00C3453C"/>
    <w:rsid w:val="00C345C8"/>
    <w:rsid w:val="00C352AB"/>
    <w:rsid w:val="00C36AA5"/>
    <w:rsid w:val="00C36B70"/>
    <w:rsid w:val="00C36CBC"/>
    <w:rsid w:val="00C37F41"/>
    <w:rsid w:val="00C4003E"/>
    <w:rsid w:val="00C406EF"/>
    <w:rsid w:val="00C40739"/>
    <w:rsid w:val="00C40E0E"/>
    <w:rsid w:val="00C435BC"/>
    <w:rsid w:val="00C43B8D"/>
    <w:rsid w:val="00C43FC3"/>
    <w:rsid w:val="00C443BE"/>
    <w:rsid w:val="00C4470C"/>
    <w:rsid w:val="00C44C4F"/>
    <w:rsid w:val="00C44E7B"/>
    <w:rsid w:val="00C450FA"/>
    <w:rsid w:val="00C45890"/>
    <w:rsid w:val="00C46258"/>
    <w:rsid w:val="00C4686C"/>
    <w:rsid w:val="00C46C8D"/>
    <w:rsid w:val="00C477A1"/>
    <w:rsid w:val="00C47AF2"/>
    <w:rsid w:val="00C5008C"/>
    <w:rsid w:val="00C5018E"/>
    <w:rsid w:val="00C5041C"/>
    <w:rsid w:val="00C50610"/>
    <w:rsid w:val="00C50731"/>
    <w:rsid w:val="00C507B7"/>
    <w:rsid w:val="00C50EAF"/>
    <w:rsid w:val="00C5158C"/>
    <w:rsid w:val="00C51599"/>
    <w:rsid w:val="00C527C5"/>
    <w:rsid w:val="00C52F54"/>
    <w:rsid w:val="00C53617"/>
    <w:rsid w:val="00C53FEA"/>
    <w:rsid w:val="00C55C6B"/>
    <w:rsid w:val="00C60B30"/>
    <w:rsid w:val="00C61724"/>
    <w:rsid w:val="00C61E47"/>
    <w:rsid w:val="00C62105"/>
    <w:rsid w:val="00C621B3"/>
    <w:rsid w:val="00C636A4"/>
    <w:rsid w:val="00C64263"/>
    <w:rsid w:val="00C64780"/>
    <w:rsid w:val="00C647C4"/>
    <w:rsid w:val="00C64943"/>
    <w:rsid w:val="00C64B35"/>
    <w:rsid w:val="00C65630"/>
    <w:rsid w:val="00C657EB"/>
    <w:rsid w:val="00C662A4"/>
    <w:rsid w:val="00C672B8"/>
    <w:rsid w:val="00C70340"/>
    <w:rsid w:val="00C70D75"/>
    <w:rsid w:val="00C722F5"/>
    <w:rsid w:val="00C72620"/>
    <w:rsid w:val="00C72B2B"/>
    <w:rsid w:val="00C72C5E"/>
    <w:rsid w:val="00C73565"/>
    <w:rsid w:val="00C73E2D"/>
    <w:rsid w:val="00C749D5"/>
    <w:rsid w:val="00C75D5B"/>
    <w:rsid w:val="00C764C6"/>
    <w:rsid w:val="00C77815"/>
    <w:rsid w:val="00C77D20"/>
    <w:rsid w:val="00C8012A"/>
    <w:rsid w:val="00C8264C"/>
    <w:rsid w:val="00C8293A"/>
    <w:rsid w:val="00C83A8C"/>
    <w:rsid w:val="00C84A68"/>
    <w:rsid w:val="00C84F0B"/>
    <w:rsid w:val="00C85058"/>
    <w:rsid w:val="00C869E0"/>
    <w:rsid w:val="00C86A93"/>
    <w:rsid w:val="00C87443"/>
    <w:rsid w:val="00C90F28"/>
    <w:rsid w:val="00C91255"/>
    <w:rsid w:val="00C91678"/>
    <w:rsid w:val="00C92B8A"/>
    <w:rsid w:val="00C93510"/>
    <w:rsid w:val="00C93E22"/>
    <w:rsid w:val="00C952EF"/>
    <w:rsid w:val="00C95348"/>
    <w:rsid w:val="00C95AD8"/>
    <w:rsid w:val="00C95C20"/>
    <w:rsid w:val="00C9605B"/>
    <w:rsid w:val="00C965A7"/>
    <w:rsid w:val="00CA0091"/>
    <w:rsid w:val="00CA0AFF"/>
    <w:rsid w:val="00CA1120"/>
    <w:rsid w:val="00CA288A"/>
    <w:rsid w:val="00CA336C"/>
    <w:rsid w:val="00CA388F"/>
    <w:rsid w:val="00CA5755"/>
    <w:rsid w:val="00CA583E"/>
    <w:rsid w:val="00CA6463"/>
    <w:rsid w:val="00CB0A3F"/>
    <w:rsid w:val="00CB1BEB"/>
    <w:rsid w:val="00CB247A"/>
    <w:rsid w:val="00CB292E"/>
    <w:rsid w:val="00CB2CE1"/>
    <w:rsid w:val="00CB7B4B"/>
    <w:rsid w:val="00CC011B"/>
    <w:rsid w:val="00CC029F"/>
    <w:rsid w:val="00CC053B"/>
    <w:rsid w:val="00CC0F81"/>
    <w:rsid w:val="00CC1A19"/>
    <w:rsid w:val="00CC2F77"/>
    <w:rsid w:val="00CC45DC"/>
    <w:rsid w:val="00CC4D6F"/>
    <w:rsid w:val="00CC4F8E"/>
    <w:rsid w:val="00CC51D4"/>
    <w:rsid w:val="00CC6C24"/>
    <w:rsid w:val="00CD01A4"/>
    <w:rsid w:val="00CD08E8"/>
    <w:rsid w:val="00CD0F11"/>
    <w:rsid w:val="00CD0F44"/>
    <w:rsid w:val="00CD2149"/>
    <w:rsid w:val="00CD37DF"/>
    <w:rsid w:val="00CD4FF0"/>
    <w:rsid w:val="00CD563F"/>
    <w:rsid w:val="00CD618B"/>
    <w:rsid w:val="00CD618D"/>
    <w:rsid w:val="00CD6A31"/>
    <w:rsid w:val="00CE0245"/>
    <w:rsid w:val="00CE0961"/>
    <w:rsid w:val="00CE1975"/>
    <w:rsid w:val="00CE198D"/>
    <w:rsid w:val="00CE1DE4"/>
    <w:rsid w:val="00CE264A"/>
    <w:rsid w:val="00CE326E"/>
    <w:rsid w:val="00CE3393"/>
    <w:rsid w:val="00CE34BF"/>
    <w:rsid w:val="00CE38E2"/>
    <w:rsid w:val="00CE3D4F"/>
    <w:rsid w:val="00CE4E60"/>
    <w:rsid w:val="00CE54AF"/>
    <w:rsid w:val="00CE5E05"/>
    <w:rsid w:val="00CE7519"/>
    <w:rsid w:val="00CE7C61"/>
    <w:rsid w:val="00CF0A79"/>
    <w:rsid w:val="00CF0D2B"/>
    <w:rsid w:val="00CF0F22"/>
    <w:rsid w:val="00CF1036"/>
    <w:rsid w:val="00CF1411"/>
    <w:rsid w:val="00CF16FF"/>
    <w:rsid w:val="00CF1F8E"/>
    <w:rsid w:val="00CF2644"/>
    <w:rsid w:val="00CF2A07"/>
    <w:rsid w:val="00CF2F0D"/>
    <w:rsid w:val="00CF3033"/>
    <w:rsid w:val="00CF34D7"/>
    <w:rsid w:val="00CF3F0F"/>
    <w:rsid w:val="00CF5A81"/>
    <w:rsid w:val="00CF5B18"/>
    <w:rsid w:val="00CF5DAB"/>
    <w:rsid w:val="00CF6ECA"/>
    <w:rsid w:val="00CF6FC7"/>
    <w:rsid w:val="00CF73E1"/>
    <w:rsid w:val="00CF7409"/>
    <w:rsid w:val="00CF7641"/>
    <w:rsid w:val="00CF7A1D"/>
    <w:rsid w:val="00CF7AC7"/>
    <w:rsid w:val="00D00835"/>
    <w:rsid w:val="00D01AC8"/>
    <w:rsid w:val="00D02748"/>
    <w:rsid w:val="00D030DE"/>
    <w:rsid w:val="00D033E8"/>
    <w:rsid w:val="00D03944"/>
    <w:rsid w:val="00D04374"/>
    <w:rsid w:val="00D04A66"/>
    <w:rsid w:val="00D05658"/>
    <w:rsid w:val="00D05C1F"/>
    <w:rsid w:val="00D05E39"/>
    <w:rsid w:val="00D06BCD"/>
    <w:rsid w:val="00D0761D"/>
    <w:rsid w:val="00D07834"/>
    <w:rsid w:val="00D07F78"/>
    <w:rsid w:val="00D1039D"/>
    <w:rsid w:val="00D1041C"/>
    <w:rsid w:val="00D10B24"/>
    <w:rsid w:val="00D10F3B"/>
    <w:rsid w:val="00D11034"/>
    <w:rsid w:val="00D11B2E"/>
    <w:rsid w:val="00D12F6C"/>
    <w:rsid w:val="00D1335D"/>
    <w:rsid w:val="00D13E39"/>
    <w:rsid w:val="00D13F23"/>
    <w:rsid w:val="00D14353"/>
    <w:rsid w:val="00D14AE0"/>
    <w:rsid w:val="00D15297"/>
    <w:rsid w:val="00D15E87"/>
    <w:rsid w:val="00D1662F"/>
    <w:rsid w:val="00D172EF"/>
    <w:rsid w:val="00D1779E"/>
    <w:rsid w:val="00D17D3C"/>
    <w:rsid w:val="00D17F6B"/>
    <w:rsid w:val="00D20752"/>
    <w:rsid w:val="00D20E8D"/>
    <w:rsid w:val="00D21110"/>
    <w:rsid w:val="00D2187B"/>
    <w:rsid w:val="00D2198F"/>
    <w:rsid w:val="00D21BDA"/>
    <w:rsid w:val="00D21E47"/>
    <w:rsid w:val="00D23E96"/>
    <w:rsid w:val="00D2629A"/>
    <w:rsid w:val="00D26D13"/>
    <w:rsid w:val="00D26EC3"/>
    <w:rsid w:val="00D30BD4"/>
    <w:rsid w:val="00D31130"/>
    <w:rsid w:val="00D31DA9"/>
    <w:rsid w:val="00D32EB2"/>
    <w:rsid w:val="00D33803"/>
    <w:rsid w:val="00D355CD"/>
    <w:rsid w:val="00D35E13"/>
    <w:rsid w:val="00D364D0"/>
    <w:rsid w:val="00D371AD"/>
    <w:rsid w:val="00D40567"/>
    <w:rsid w:val="00D40836"/>
    <w:rsid w:val="00D42AB4"/>
    <w:rsid w:val="00D43005"/>
    <w:rsid w:val="00D478C3"/>
    <w:rsid w:val="00D47996"/>
    <w:rsid w:val="00D47BE0"/>
    <w:rsid w:val="00D50654"/>
    <w:rsid w:val="00D50E9B"/>
    <w:rsid w:val="00D517DE"/>
    <w:rsid w:val="00D52583"/>
    <w:rsid w:val="00D527BA"/>
    <w:rsid w:val="00D52C8D"/>
    <w:rsid w:val="00D5453E"/>
    <w:rsid w:val="00D55344"/>
    <w:rsid w:val="00D56388"/>
    <w:rsid w:val="00D56E53"/>
    <w:rsid w:val="00D56E8C"/>
    <w:rsid w:val="00D611F2"/>
    <w:rsid w:val="00D62060"/>
    <w:rsid w:val="00D62C4E"/>
    <w:rsid w:val="00D6388A"/>
    <w:rsid w:val="00D651B8"/>
    <w:rsid w:val="00D652EF"/>
    <w:rsid w:val="00D658F3"/>
    <w:rsid w:val="00D65E12"/>
    <w:rsid w:val="00D66038"/>
    <w:rsid w:val="00D66106"/>
    <w:rsid w:val="00D66755"/>
    <w:rsid w:val="00D66BFC"/>
    <w:rsid w:val="00D66CC7"/>
    <w:rsid w:val="00D7034E"/>
    <w:rsid w:val="00D709FC"/>
    <w:rsid w:val="00D70B76"/>
    <w:rsid w:val="00D729BE"/>
    <w:rsid w:val="00D72E8D"/>
    <w:rsid w:val="00D731BE"/>
    <w:rsid w:val="00D73752"/>
    <w:rsid w:val="00D73F16"/>
    <w:rsid w:val="00D741CB"/>
    <w:rsid w:val="00D7422A"/>
    <w:rsid w:val="00D748A3"/>
    <w:rsid w:val="00D74AD8"/>
    <w:rsid w:val="00D74B67"/>
    <w:rsid w:val="00D760F5"/>
    <w:rsid w:val="00D76297"/>
    <w:rsid w:val="00D76330"/>
    <w:rsid w:val="00D76C6A"/>
    <w:rsid w:val="00D801A0"/>
    <w:rsid w:val="00D804E3"/>
    <w:rsid w:val="00D808B6"/>
    <w:rsid w:val="00D80DC4"/>
    <w:rsid w:val="00D81CF8"/>
    <w:rsid w:val="00D82A6C"/>
    <w:rsid w:val="00D82DA1"/>
    <w:rsid w:val="00D83EC3"/>
    <w:rsid w:val="00D845C2"/>
    <w:rsid w:val="00D860CE"/>
    <w:rsid w:val="00D8617C"/>
    <w:rsid w:val="00D87219"/>
    <w:rsid w:val="00D87345"/>
    <w:rsid w:val="00D873CF"/>
    <w:rsid w:val="00D87C93"/>
    <w:rsid w:val="00D90BB4"/>
    <w:rsid w:val="00D91246"/>
    <w:rsid w:val="00D9128B"/>
    <w:rsid w:val="00D91957"/>
    <w:rsid w:val="00D92DE5"/>
    <w:rsid w:val="00D92E0B"/>
    <w:rsid w:val="00D9343A"/>
    <w:rsid w:val="00D935BD"/>
    <w:rsid w:val="00D94146"/>
    <w:rsid w:val="00D941DF"/>
    <w:rsid w:val="00D94874"/>
    <w:rsid w:val="00D94FA4"/>
    <w:rsid w:val="00D96161"/>
    <w:rsid w:val="00D9687D"/>
    <w:rsid w:val="00D9694C"/>
    <w:rsid w:val="00D96FEE"/>
    <w:rsid w:val="00D972C1"/>
    <w:rsid w:val="00D97301"/>
    <w:rsid w:val="00DA0CDD"/>
    <w:rsid w:val="00DA1CFF"/>
    <w:rsid w:val="00DA268A"/>
    <w:rsid w:val="00DA27B1"/>
    <w:rsid w:val="00DA2DF7"/>
    <w:rsid w:val="00DA386E"/>
    <w:rsid w:val="00DA3940"/>
    <w:rsid w:val="00DA3A77"/>
    <w:rsid w:val="00DA3AF6"/>
    <w:rsid w:val="00DA4150"/>
    <w:rsid w:val="00DA4C11"/>
    <w:rsid w:val="00DA50D3"/>
    <w:rsid w:val="00DA5906"/>
    <w:rsid w:val="00DA5BDC"/>
    <w:rsid w:val="00DA6403"/>
    <w:rsid w:val="00DA6FAB"/>
    <w:rsid w:val="00DA706E"/>
    <w:rsid w:val="00DA727E"/>
    <w:rsid w:val="00DA7F2C"/>
    <w:rsid w:val="00DA7F60"/>
    <w:rsid w:val="00DB0530"/>
    <w:rsid w:val="00DB0BDD"/>
    <w:rsid w:val="00DB0ECC"/>
    <w:rsid w:val="00DB1CA8"/>
    <w:rsid w:val="00DB2C36"/>
    <w:rsid w:val="00DB3D09"/>
    <w:rsid w:val="00DB42E1"/>
    <w:rsid w:val="00DB572F"/>
    <w:rsid w:val="00DB5928"/>
    <w:rsid w:val="00DB6481"/>
    <w:rsid w:val="00DB77E0"/>
    <w:rsid w:val="00DC034C"/>
    <w:rsid w:val="00DC03EF"/>
    <w:rsid w:val="00DC1039"/>
    <w:rsid w:val="00DC14AF"/>
    <w:rsid w:val="00DC2142"/>
    <w:rsid w:val="00DC5216"/>
    <w:rsid w:val="00DC6C14"/>
    <w:rsid w:val="00DC6F92"/>
    <w:rsid w:val="00DC7441"/>
    <w:rsid w:val="00DC7683"/>
    <w:rsid w:val="00DC76D9"/>
    <w:rsid w:val="00DD012A"/>
    <w:rsid w:val="00DD04B8"/>
    <w:rsid w:val="00DD0E21"/>
    <w:rsid w:val="00DD10F5"/>
    <w:rsid w:val="00DD2527"/>
    <w:rsid w:val="00DD2627"/>
    <w:rsid w:val="00DD277B"/>
    <w:rsid w:val="00DD3B0E"/>
    <w:rsid w:val="00DD4344"/>
    <w:rsid w:val="00DD4785"/>
    <w:rsid w:val="00DD4AB8"/>
    <w:rsid w:val="00DD5AD2"/>
    <w:rsid w:val="00DD5CA9"/>
    <w:rsid w:val="00DD5DEC"/>
    <w:rsid w:val="00DD6ACF"/>
    <w:rsid w:val="00DD7332"/>
    <w:rsid w:val="00DD7B9A"/>
    <w:rsid w:val="00DD7D04"/>
    <w:rsid w:val="00DD7DCE"/>
    <w:rsid w:val="00DE1820"/>
    <w:rsid w:val="00DE27BC"/>
    <w:rsid w:val="00DE30DD"/>
    <w:rsid w:val="00DE3700"/>
    <w:rsid w:val="00DE404A"/>
    <w:rsid w:val="00DE566F"/>
    <w:rsid w:val="00DE61C5"/>
    <w:rsid w:val="00DE7135"/>
    <w:rsid w:val="00DE79ED"/>
    <w:rsid w:val="00DE7DC3"/>
    <w:rsid w:val="00DF19B4"/>
    <w:rsid w:val="00DF2386"/>
    <w:rsid w:val="00DF2958"/>
    <w:rsid w:val="00DF3091"/>
    <w:rsid w:val="00DF4BEF"/>
    <w:rsid w:val="00DF597E"/>
    <w:rsid w:val="00DF6849"/>
    <w:rsid w:val="00DF689A"/>
    <w:rsid w:val="00DF7401"/>
    <w:rsid w:val="00DF7C6E"/>
    <w:rsid w:val="00E0057A"/>
    <w:rsid w:val="00E00A4A"/>
    <w:rsid w:val="00E00A6F"/>
    <w:rsid w:val="00E00B71"/>
    <w:rsid w:val="00E00D76"/>
    <w:rsid w:val="00E00F07"/>
    <w:rsid w:val="00E00F9C"/>
    <w:rsid w:val="00E02802"/>
    <w:rsid w:val="00E03D49"/>
    <w:rsid w:val="00E03F65"/>
    <w:rsid w:val="00E043FA"/>
    <w:rsid w:val="00E045D9"/>
    <w:rsid w:val="00E046EB"/>
    <w:rsid w:val="00E04BD5"/>
    <w:rsid w:val="00E05D24"/>
    <w:rsid w:val="00E05F3E"/>
    <w:rsid w:val="00E06064"/>
    <w:rsid w:val="00E06A9B"/>
    <w:rsid w:val="00E06DEB"/>
    <w:rsid w:val="00E101C5"/>
    <w:rsid w:val="00E11014"/>
    <w:rsid w:val="00E110D1"/>
    <w:rsid w:val="00E1167A"/>
    <w:rsid w:val="00E11F65"/>
    <w:rsid w:val="00E12282"/>
    <w:rsid w:val="00E12E10"/>
    <w:rsid w:val="00E13F2F"/>
    <w:rsid w:val="00E144BF"/>
    <w:rsid w:val="00E14C85"/>
    <w:rsid w:val="00E14F40"/>
    <w:rsid w:val="00E1541E"/>
    <w:rsid w:val="00E15874"/>
    <w:rsid w:val="00E15F0E"/>
    <w:rsid w:val="00E1619C"/>
    <w:rsid w:val="00E164B3"/>
    <w:rsid w:val="00E1656A"/>
    <w:rsid w:val="00E1727C"/>
    <w:rsid w:val="00E207A5"/>
    <w:rsid w:val="00E209B0"/>
    <w:rsid w:val="00E215B4"/>
    <w:rsid w:val="00E2363A"/>
    <w:rsid w:val="00E23987"/>
    <w:rsid w:val="00E23A2D"/>
    <w:rsid w:val="00E23EA1"/>
    <w:rsid w:val="00E24191"/>
    <w:rsid w:val="00E250B8"/>
    <w:rsid w:val="00E270BC"/>
    <w:rsid w:val="00E2725E"/>
    <w:rsid w:val="00E2796B"/>
    <w:rsid w:val="00E27BFB"/>
    <w:rsid w:val="00E30AD2"/>
    <w:rsid w:val="00E31376"/>
    <w:rsid w:val="00E31429"/>
    <w:rsid w:val="00E3195C"/>
    <w:rsid w:val="00E32C6D"/>
    <w:rsid w:val="00E3339B"/>
    <w:rsid w:val="00E33953"/>
    <w:rsid w:val="00E339CE"/>
    <w:rsid w:val="00E34EE1"/>
    <w:rsid w:val="00E35995"/>
    <w:rsid w:val="00E35A66"/>
    <w:rsid w:val="00E35BA6"/>
    <w:rsid w:val="00E3603E"/>
    <w:rsid w:val="00E36B56"/>
    <w:rsid w:val="00E36F19"/>
    <w:rsid w:val="00E3757C"/>
    <w:rsid w:val="00E40FC0"/>
    <w:rsid w:val="00E41C6E"/>
    <w:rsid w:val="00E42441"/>
    <w:rsid w:val="00E42A4E"/>
    <w:rsid w:val="00E44A02"/>
    <w:rsid w:val="00E44ADC"/>
    <w:rsid w:val="00E44FB6"/>
    <w:rsid w:val="00E452BE"/>
    <w:rsid w:val="00E45525"/>
    <w:rsid w:val="00E46492"/>
    <w:rsid w:val="00E46DCB"/>
    <w:rsid w:val="00E475B4"/>
    <w:rsid w:val="00E4777B"/>
    <w:rsid w:val="00E47CAD"/>
    <w:rsid w:val="00E500A3"/>
    <w:rsid w:val="00E50573"/>
    <w:rsid w:val="00E508E3"/>
    <w:rsid w:val="00E52187"/>
    <w:rsid w:val="00E521C4"/>
    <w:rsid w:val="00E52605"/>
    <w:rsid w:val="00E52A0A"/>
    <w:rsid w:val="00E535C2"/>
    <w:rsid w:val="00E535FE"/>
    <w:rsid w:val="00E536CE"/>
    <w:rsid w:val="00E560D7"/>
    <w:rsid w:val="00E5705D"/>
    <w:rsid w:val="00E57563"/>
    <w:rsid w:val="00E57B17"/>
    <w:rsid w:val="00E60633"/>
    <w:rsid w:val="00E610CF"/>
    <w:rsid w:val="00E619B0"/>
    <w:rsid w:val="00E6229C"/>
    <w:rsid w:val="00E62854"/>
    <w:rsid w:val="00E62A77"/>
    <w:rsid w:val="00E6365C"/>
    <w:rsid w:val="00E65B80"/>
    <w:rsid w:val="00E6763B"/>
    <w:rsid w:val="00E702C0"/>
    <w:rsid w:val="00E709F9"/>
    <w:rsid w:val="00E70C6F"/>
    <w:rsid w:val="00E70F0F"/>
    <w:rsid w:val="00E7170E"/>
    <w:rsid w:val="00E724D9"/>
    <w:rsid w:val="00E72971"/>
    <w:rsid w:val="00E72FB8"/>
    <w:rsid w:val="00E73693"/>
    <w:rsid w:val="00E73D84"/>
    <w:rsid w:val="00E7430D"/>
    <w:rsid w:val="00E745DB"/>
    <w:rsid w:val="00E74B88"/>
    <w:rsid w:val="00E74BFA"/>
    <w:rsid w:val="00E74C48"/>
    <w:rsid w:val="00E74FB2"/>
    <w:rsid w:val="00E75001"/>
    <w:rsid w:val="00E7538C"/>
    <w:rsid w:val="00E75A0F"/>
    <w:rsid w:val="00E7669E"/>
    <w:rsid w:val="00E76DF4"/>
    <w:rsid w:val="00E7721E"/>
    <w:rsid w:val="00E77EE2"/>
    <w:rsid w:val="00E81140"/>
    <w:rsid w:val="00E8162F"/>
    <w:rsid w:val="00E82953"/>
    <w:rsid w:val="00E8310E"/>
    <w:rsid w:val="00E83BAE"/>
    <w:rsid w:val="00E840B3"/>
    <w:rsid w:val="00E851DF"/>
    <w:rsid w:val="00E852DC"/>
    <w:rsid w:val="00E85877"/>
    <w:rsid w:val="00E85C7C"/>
    <w:rsid w:val="00E85CDC"/>
    <w:rsid w:val="00E86C10"/>
    <w:rsid w:val="00E87301"/>
    <w:rsid w:val="00E87E18"/>
    <w:rsid w:val="00E9007D"/>
    <w:rsid w:val="00E9057A"/>
    <w:rsid w:val="00E912C7"/>
    <w:rsid w:val="00E923FF"/>
    <w:rsid w:val="00E92419"/>
    <w:rsid w:val="00E92808"/>
    <w:rsid w:val="00E93525"/>
    <w:rsid w:val="00E937F3"/>
    <w:rsid w:val="00E94905"/>
    <w:rsid w:val="00E9493F"/>
    <w:rsid w:val="00E95382"/>
    <w:rsid w:val="00E9553B"/>
    <w:rsid w:val="00E95C79"/>
    <w:rsid w:val="00E95E02"/>
    <w:rsid w:val="00E96AE3"/>
    <w:rsid w:val="00E96D9D"/>
    <w:rsid w:val="00E972C2"/>
    <w:rsid w:val="00E975CA"/>
    <w:rsid w:val="00EA05F5"/>
    <w:rsid w:val="00EA07BC"/>
    <w:rsid w:val="00EA1147"/>
    <w:rsid w:val="00EA159C"/>
    <w:rsid w:val="00EA1699"/>
    <w:rsid w:val="00EA1FD1"/>
    <w:rsid w:val="00EA3092"/>
    <w:rsid w:val="00EA4AB8"/>
    <w:rsid w:val="00EA5FE7"/>
    <w:rsid w:val="00EA710D"/>
    <w:rsid w:val="00EA7497"/>
    <w:rsid w:val="00EB09BA"/>
    <w:rsid w:val="00EB1D9D"/>
    <w:rsid w:val="00EB2325"/>
    <w:rsid w:val="00EB2685"/>
    <w:rsid w:val="00EB3334"/>
    <w:rsid w:val="00EB36EA"/>
    <w:rsid w:val="00EB433B"/>
    <w:rsid w:val="00EB479A"/>
    <w:rsid w:val="00EB4D61"/>
    <w:rsid w:val="00EB5C89"/>
    <w:rsid w:val="00EB6440"/>
    <w:rsid w:val="00EB64AA"/>
    <w:rsid w:val="00EB6D57"/>
    <w:rsid w:val="00EB70C7"/>
    <w:rsid w:val="00EB76FD"/>
    <w:rsid w:val="00EC002C"/>
    <w:rsid w:val="00EC030D"/>
    <w:rsid w:val="00EC4051"/>
    <w:rsid w:val="00EC47BA"/>
    <w:rsid w:val="00EC4F78"/>
    <w:rsid w:val="00EC51BB"/>
    <w:rsid w:val="00EC53F3"/>
    <w:rsid w:val="00EC7A94"/>
    <w:rsid w:val="00ED0706"/>
    <w:rsid w:val="00ED0BF7"/>
    <w:rsid w:val="00ED148B"/>
    <w:rsid w:val="00ED2941"/>
    <w:rsid w:val="00ED2E6A"/>
    <w:rsid w:val="00ED3901"/>
    <w:rsid w:val="00ED4983"/>
    <w:rsid w:val="00ED6218"/>
    <w:rsid w:val="00ED6A2D"/>
    <w:rsid w:val="00ED6BF8"/>
    <w:rsid w:val="00ED7972"/>
    <w:rsid w:val="00ED7BFD"/>
    <w:rsid w:val="00EE0B99"/>
    <w:rsid w:val="00EE0F5B"/>
    <w:rsid w:val="00EE197B"/>
    <w:rsid w:val="00EE1A29"/>
    <w:rsid w:val="00EE2C84"/>
    <w:rsid w:val="00EE3288"/>
    <w:rsid w:val="00EE3489"/>
    <w:rsid w:val="00EE3DD0"/>
    <w:rsid w:val="00EE51C9"/>
    <w:rsid w:val="00EE533C"/>
    <w:rsid w:val="00EE72A1"/>
    <w:rsid w:val="00EE73C1"/>
    <w:rsid w:val="00EE7D7D"/>
    <w:rsid w:val="00EF0507"/>
    <w:rsid w:val="00EF0EF7"/>
    <w:rsid w:val="00EF20A9"/>
    <w:rsid w:val="00EF2669"/>
    <w:rsid w:val="00EF3C74"/>
    <w:rsid w:val="00EF5C6C"/>
    <w:rsid w:val="00EF6045"/>
    <w:rsid w:val="00EF6EF7"/>
    <w:rsid w:val="00EF6F63"/>
    <w:rsid w:val="00EF7D0C"/>
    <w:rsid w:val="00F007ED"/>
    <w:rsid w:val="00F00F7A"/>
    <w:rsid w:val="00F01B75"/>
    <w:rsid w:val="00F01C7B"/>
    <w:rsid w:val="00F0217A"/>
    <w:rsid w:val="00F02C77"/>
    <w:rsid w:val="00F037E0"/>
    <w:rsid w:val="00F0441C"/>
    <w:rsid w:val="00F05482"/>
    <w:rsid w:val="00F0784E"/>
    <w:rsid w:val="00F11156"/>
    <w:rsid w:val="00F120E2"/>
    <w:rsid w:val="00F13431"/>
    <w:rsid w:val="00F13A34"/>
    <w:rsid w:val="00F14092"/>
    <w:rsid w:val="00F152AA"/>
    <w:rsid w:val="00F157A4"/>
    <w:rsid w:val="00F17135"/>
    <w:rsid w:val="00F17781"/>
    <w:rsid w:val="00F17850"/>
    <w:rsid w:val="00F20997"/>
    <w:rsid w:val="00F237B9"/>
    <w:rsid w:val="00F241D5"/>
    <w:rsid w:val="00F24C03"/>
    <w:rsid w:val="00F25CB0"/>
    <w:rsid w:val="00F26852"/>
    <w:rsid w:val="00F26C2A"/>
    <w:rsid w:val="00F26E1C"/>
    <w:rsid w:val="00F27043"/>
    <w:rsid w:val="00F27196"/>
    <w:rsid w:val="00F2742A"/>
    <w:rsid w:val="00F3036E"/>
    <w:rsid w:val="00F304BB"/>
    <w:rsid w:val="00F305F6"/>
    <w:rsid w:val="00F30DBD"/>
    <w:rsid w:val="00F31FA2"/>
    <w:rsid w:val="00F32545"/>
    <w:rsid w:val="00F33352"/>
    <w:rsid w:val="00F3404D"/>
    <w:rsid w:val="00F345CA"/>
    <w:rsid w:val="00F3463D"/>
    <w:rsid w:val="00F3633A"/>
    <w:rsid w:val="00F364D9"/>
    <w:rsid w:val="00F36D3E"/>
    <w:rsid w:val="00F3767B"/>
    <w:rsid w:val="00F43F01"/>
    <w:rsid w:val="00F44960"/>
    <w:rsid w:val="00F458DD"/>
    <w:rsid w:val="00F4591A"/>
    <w:rsid w:val="00F45BE6"/>
    <w:rsid w:val="00F46082"/>
    <w:rsid w:val="00F4619F"/>
    <w:rsid w:val="00F47795"/>
    <w:rsid w:val="00F478D9"/>
    <w:rsid w:val="00F50399"/>
    <w:rsid w:val="00F505BE"/>
    <w:rsid w:val="00F51106"/>
    <w:rsid w:val="00F527BD"/>
    <w:rsid w:val="00F52FE9"/>
    <w:rsid w:val="00F5307C"/>
    <w:rsid w:val="00F53141"/>
    <w:rsid w:val="00F5366F"/>
    <w:rsid w:val="00F5463F"/>
    <w:rsid w:val="00F54F5B"/>
    <w:rsid w:val="00F5536B"/>
    <w:rsid w:val="00F5553D"/>
    <w:rsid w:val="00F559BC"/>
    <w:rsid w:val="00F55A6C"/>
    <w:rsid w:val="00F606BB"/>
    <w:rsid w:val="00F62974"/>
    <w:rsid w:val="00F63B9F"/>
    <w:rsid w:val="00F664DC"/>
    <w:rsid w:val="00F67252"/>
    <w:rsid w:val="00F672C0"/>
    <w:rsid w:val="00F67431"/>
    <w:rsid w:val="00F70938"/>
    <w:rsid w:val="00F70DFD"/>
    <w:rsid w:val="00F71A24"/>
    <w:rsid w:val="00F728D5"/>
    <w:rsid w:val="00F736A2"/>
    <w:rsid w:val="00F73D59"/>
    <w:rsid w:val="00F73FC2"/>
    <w:rsid w:val="00F7486B"/>
    <w:rsid w:val="00F750C6"/>
    <w:rsid w:val="00F7511E"/>
    <w:rsid w:val="00F75A6F"/>
    <w:rsid w:val="00F75C8D"/>
    <w:rsid w:val="00F7652B"/>
    <w:rsid w:val="00F77157"/>
    <w:rsid w:val="00F7759C"/>
    <w:rsid w:val="00F77D7C"/>
    <w:rsid w:val="00F80543"/>
    <w:rsid w:val="00F81B46"/>
    <w:rsid w:val="00F82F3C"/>
    <w:rsid w:val="00F84D7F"/>
    <w:rsid w:val="00F85119"/>
    <w:rsid w:val="00F85360"/>
    <w:rsid w:val="00F85458"/>
    <w:rsid w:val="00F85CDE"/>
    <w:rsid w:val="00F862DC"/>
    <w:rsid w:val="00F8E4FD"/>
    <w:rsid w:val="00F9142E"/>
    <w:rsid w:val="00F914A8"/>
    <w:rsid w:val="00F92639"/>
    <w:rsid w:val="00F92766"/>
    <w:rsid w:val="00F927B2"/>
    <w:rsid w:val="00F93A43"/>
    <w:rsid w:val="00F95222"/>
    <w:rsid w:val="00F95C47"/>
    <w:rsid w:val="00F96BCB"/>
    <w:rsid w:val="00F97978"/>
    <w:rsid w:val="00FA001C"/>
    <w:rsid w:val="00FA069F"/>
    <w:rsid w:val="00FA06F4"/>
    <w:rsid w:val="00FA1014"/>
    <w:rsid w:val="00FA17EB"/>
    <w:rsid w:val="00FA3215"/>
    <w:rsid w:val="00FA407C"/>
    <w:rsid w:val="00FA4EDC"/>
    <w:rsid w:val="00FA5081"/>
    <w:rsid w:val="00FA543B"/>
    <w:rsid w:val="00FA55DD"/>
    <w:rsid w:val="00FA5BBF"/>
    <w:rsid w:val="00FA7A8A"/>
    <w:rsid w:val="00FA7DF7"/>
    <w:rsid w:val="00FB00CB"/>
    <w:rsid w:val="00FB1B8B"/>
    <w:rsid w:val="00FB257D"/>
    <w:rsid w:val="00FB26ED"/>
    <w:rsid w:val="00FB2709"/>
    <w:rsid w:val="00FB27F2"/>
    <w:rsid w:val="00FB4399"/>
    <w:rsid w:val="00FB4E72"/>
    <w:rsid w:val="00FB5194"/>
    <w:rsid w:val="00FB579C"/>
    <w:rsid w:val="00FB60FF"/>
    <w:rsid w:val="00FB6989"/>
    <w:rsid w:val="00FB70C2"/>
    <w:rsid w:val="00FB7854"/>
    <w:rsid w:val="00FB7B55"/>
    <w:rsid w:val="00FB7C7C"/>
    <w:rsid w:val="00FB7E1C"/>
    <w:rsid w:val="00FB7E4C"/>
    <w:rsid w:val="00FB7E71"/>
    <w:rsid w:val="00FC00B5"/>
    <w:rsid w:val="00FC0DB1"/>
    <w:rsid w:val="00FC15DD"/>
    <w:rsid w:val="00FC1DB6"/>
    <w:rsid w:val="00FC27CD"/>
    <w:rsid w:val="00FC32E1"/>
    <w:rsid w:val="00FC3B6B"/>
    <w:rsid w:val="00FC3BAE"/>
    <w:rsid w:val="00FC4169"/>
    <w:rsid w:val="00FC41E1"/>
    <w:rsid w:val="00FC6C5D"/>
    <w:rsid w:val="00FC7816"/>
    <w:rsid w:val="00FD0AAB"/>
    <w:rsid w:val="00FD0EF1"/>
    <w:rsid w:val="00FD0F87"/>
    <w:rsid w:val="00FD58B0"/>
    <w:rsid w:val="00FD5EEC"/>
    <w:rsid w:val="00FD5F44"/>
    <w:rsid w:val="00FD5FB0"/>
    <w:rsid w:val="00FD6C87"/>
    <w:rsid w:val="00FD6D6C"/>
    <w:rsid w:val="00FD6DC9"/>
    <w:rsid w:val="00FD731D"/>
    <w:rsid w:val="00FE03EE"/>
    <w:rsid w:val="00FE0A2D"/>
    <w:rsid w:val="00FE0E1A"/>
    <w:rsid w:val="00FE1B0D"/>
    <w:rsid w:val="00FE26A3"/>
    <w:rsid w:val="00FE272E"/>
    <w:rsid w:val="00FE29E1"/>
    <w:rsid w:val="00FE3E97"/>
    <w:rsid w:val="00FE4E62"/>
    <w:rsid w:val="00FE5083"/>
    <w:rsid w:val="00FE5475"/>
    <w:rsid w:val="00FE5AEA"/>
    <w:rsid w:val="00FE5DF4"/>
    <w:rsid w:val="00FE6366"/>
    <w:rsid w:val="00FE687D"/>
    <w:rsid w:val="00FE6B48"/>
    <w:rsid w:val="00FE76D6"/>
    <w:rsid w:val="00FE7F4E"/>
    <w:rsid w:val="00FF0A69"/>
    <w:rsid w:val="00FF0B43"/>
    <w:rsid w:val="00FF10C8"/>
    <w:rsid w:val="00FF1331"/>
    <w:rsid w:val="00FF1AB6"/>
    <w:rsid w:val="00FF1EEB"/>
    <w:rsid w:val="00FF442E"/>
    <w:rsid w:val="00FF5227"/>
    <w:rsid w:val="00FF55DE"/>
    <w:rsid w:val="00FF6C3B"/>
    <w:rsid w:val="01438976"/>
    <w:rsid w:val="016A6553"/>
    <w:rsid w:val="018A8E81"/>
    <w:rsid w:val="01D55856"/>
    <w:rsid w:val="01E550A8"/>
    <w:rsid w:val="0224C827"/>
    <w:rsid w:val="02A10995"/>
    <w:rsid w:val="02A305E4"/>
    <w:rsid w:val="02DCF12C"/>
    <w:rsid w:val="02E1D59F"/>
    <w:rsid w:val="031D63C5"/>
    <w:rsid w:val="033EB330"/>
    <w:rsid w:val="038CC664"/>
    <w:rsid w:val="04552AFC"/>
    <w:rsid w:val="04716AA6"/>
    <w:rsid w:val="0492ED33"/>
    <w:rsid w:val="05029420"/>
    <w:rsid w:val="0523BFE6"/>
    <w:rsid w:val="054BFF82"/>
    <w:rsid w:val="05C7D959"/>
    <w:rsid w:val="05DBA77A"/>
    <w:rsid w:val="0624BDE3"/>
    <w:rsid w:val="06696E1F"/>
    <w:rsid w:val="06834C53"/>
    <w:rsid w:val="0695AD06"/>
    <w:rsid w:val="0701BDCB"/>
    <w:rsid w:val="07730E65"/>
    <w:rsid w:val="08094F0D"/>
    <w:rsid w:val="0818DD37"/>
    <w:rsid w:val="08228E0B"/>
    <w:rsid w:val="08B434BB"/>
    <w:rsid w:val="08BF0882"/>
    <w:rsid w:val="0903017A"/>
    <w:rsid w:val="092F1CAE"/>
    <w:rsid w:val="09EC42CD"/>
    <w:rsid w:val="0A08C6BE"/>
    <w:rsid w:val="0A8E74AB"/>
    <w:rsid w:val="0A9BF54E"/>
    <w:rsid w:val="0AA6317A"/>
    <w:rsid w:val="0BA01663"/>
    <w:rsid w:val="0BB747AA"/>
    <w:rsid w:val="0BC313E8"/>
    <w:rsid w:val="0C5826C4"/>
    <w:rsid w:val="0C67F916"/>
    <w:rsid w:val="0CBB2834"/>
    <w:rsid w:val="0CD34594"/>
    <w:rsid w:val="0CDEB9AB"/>
    <w:rsid w:val="0CF16CE0"/>
    <w:rsid w:val="0D079A9A"/>
    <w:rsid w:val="0D1434B3"/>
    <w:rsid w:val="0D759597"/>
    <w:rsid w:val="0D81ACC4"/>
    <w:rsid w:val="0DA6386C"/>
    <w:rsid w:val="0DC0C868"/>
    <w:rsid w:val="0DEF3DE3"/>
    <w:rsid w:val="0E09BFE0"/>
    <w:rsid w:val="0E1FCE44"/>
    <w:rsid w:val="0E508F9A"/>
    <w:rsid w:val="0E54881B"/>
    <w:rsid w:val="0E5A03DD"/>
    <w:rsid w:val="0E9DB74E"/>
    <w:rsid w:val="0EC01369"/>
    <w:rsid w:val="0F1AF768"/>
    <w:rsid w:val="0F33D420"/>
    <w:rsid w:val="0F7C3070"/>
    <w:rsid w:val="0FC56D34"/>
    <w:rsid w:val="0FC8C901"/>
    <w:rsid w:val="0FF4294A"/>
    <w:rsid w:val="0FFC0CAA"/>
    <w:rsid w:val="1033E26C"/>
    <w:rsid w:val="10695E80"/>
    <w:rsid w:val="10B40FC6"/>
    <w:rsid w:val="11132FCD"/>
    <w:rsid w:val="111DF04C"/>
    <w:rsid w:val="1125DD2E"/>
    <w:rsid w:val="11873EF4"/>
    <w:rsid w:val="11985E9D"/>
    <w:rsid w:val="11ACDDAB"/>
    <w:rsid w:val="11F140FB"/>
    <w:rsid w:val="11F67902"/>
    <w:rsid w:val="12097CFA"/>
    <w:rsid w:val="12BF46BD"/>
    <w:rsid w:val="12D34812"/>
    <w:rsid w:val="12DFAE03"/>
    <w:rsid w:val="13075A8A"/>
    <w:rsid w:val="1329BB2E"/>
    <w:rsid w:val="132F2FAF"/>
    <w:rsid w:val="13746BEF"/>
    <w:rsid w:val="1393F0D4"/>
    <w:rsid w:val="13FA7354"/>
    <w:rsid w:val="145D6865"/>
    <w:rsid w:val="14A9B38D"/>
    <w:rsid w:val="14B574B8"/>
    <w:rsid w:val="14C39867"/>
    <w:rsid w:val="14D9193D"/>
    <w:rsid w:val="150519A8"/>
    <w:rsid w:val="150667D9"/>
    <w:rsid w:val="1544E314"/>
    <w:rsid w:val="15AAC12B"/>
    <w:rsid w:val="163E8FF9"/>
    <w:rsid w:val="1648E9B2"/>
    <w:rsid w:val="167ACE47"/>
    <w:rsid w:val="16AAAF93"/>
    <w:rsid w:val="16BCF8E0"/>
    <w:rsid w:val="16CC3584"/>
    <w:rsid w:val="16DA3A44"/>
    <w:rsid w:val="17593497"/>
    <w:rsid w:val="176A0408"/>
    <w:rsid w:val="1780EBD9"/>
    <w:rsid w:val="17C7FC31"/>
    <w:rsid w:val="17D59B3B"/>
    <w:rsid w:val="1802769E"/>
    <w:rsid w:val="1818CEDE"/>
    <w:rsid w:val="183A1E8F"/>
    <w:rsid w:val="1847F6A6"/>
    <w:rsid w:val="188A62DE"/>
    <w:rsid w:val="18AEF7A4"/>
    <w:rsid w:val="18D26449"/>
    <w:rsid w:val="18E588A4"/>
    <w:rsid w:val="1927BCA5"/>
    <w:rsid w:val="1946FED5"/>
    <w:rsid w:val="19658BC0"/>
    <w:rsid w:val="198D788B"/>
    <w:rsid w:val="19A82913"/>
    <w:rsid w:val="19B6B7B1"/>
    <w:rsid w:val="1A4B65B9"/>
    <w:rsid w:val="1AAA7E8F"/>
    <w:rsid w:val="1AC51417"/>
    <w:rsid w:val="1ACA1A74"/>
    <w:rsid w:val="1AD0D5C2"/>
    <w:rsid w:val="1AEACEBA"/>
    <w:rsid w:val="1B514AB3"/>
    <w:rsid w:val="1B5DC11E"/>
    <w:rsid w:val="1B626B15"/>
    <w:rsid w:val="1BAFF526"/>
    <w:rsid w:val="1BEDEF86"/>
    <w:rsid w:val="1C42D422"/>
    <w:rsid w:val="1C516DD1"/>
    <w:rsid w:val="1C8FEE4E"/>
    <w:rsid w:val="1C979078"/>
    <w:rsid w:val="1CCCAC48"/>
    <w:rsid w:val="1D2CC068"/>
    <w:rsid w:val="1D66E159"/>
    <w:rsid w:val="1D6E4115"/>
    <w:rsid w:val="1D7CC21F"/>
    <w:rsid w:val="1E1CD1B3"/>
    <w:rsid w:val="1E542660"/>
    <w:rsid w:val="1E6C15D4"/>
    <w:rsid w:val="1EAC8CB5"/>
    <w:rsid w:val="1F13687A"/>
    <w:rsid w:val="1FCCB887"/>
    <w:rsid w:val="1FDED35E"/>
    <w:rsid w:val="1FFA08A6"/>
    <w:rsid w:val="20C3C804"/>
    <w:rsid w:val="20C5181D"/>
    <w:rsid w:val="20CE180C"/>
    <w:rsid w:val="21263579"/>
    <w:rsid w:val="21A2D82A"/>
    <w:rsid w:val="21A5A4C4"/>
    <w:rsid w:val="21DC2855"/>
    <w:rsid w:val="21E6DFE1"/>
    <w:rsid w:val="22C0BC23"/>
    <w:rsid w:val="22EBF303"/>
    <w:rsid w:val="230BC9B8"/>
    <w:rsid w:val="23D15BEF"/>
    <w:rsid w:val="23D2D932"/>
    <w:rsid w:val="23DEFD8B"/>
    <w:rsid w:val="2410B409"/>
    <w:rsid w:val="246E8EEC"/>
    <w:rsid w:val="249669A6"/>
    <w:rsid w:val="249C354D"/>
    <w:rsid w:val="24AEF31A"/>
    <w:rsid w:val="24C7CEBB"/>
    <w:rsid w:val="251E519E"/>
    <w:rsid w:val="251F8F8F"/>
    <w:rsid w:val="256158A5"/>
    <w:rsid w:val="25DC5967"/>
    <w:rsid w:val="25E835F0"/>
    <w:rsid w:val="260E0239"/>
    <w:rsid w:val="2640D03A"/>
    <w:rsid w:val="26653879"/>
    <w:rsid w:val="266827B6"/>
    <w:rsid w:val="2698C532"/>
    <w:rsid w:val="26A9E12C"/>
    <w:rsid w:val="27023576"/>
    <w:rsid w:val="271A0A4D"/>
    <w:rsid w:val="27325971"/>
    <w:rsid w:val="275A2576"/>
    <w:rsid w:val="277ED0A2"/>
    <w:rsid w:val="2798E67F"/>
    <w:rsid w:val="27B6920C"/>
    <w:rsid w:val="27B6A30C"/>
    <w:rsid w:val="27BE2D02"/>
    <w:rsid w:val="27C5A3B0"/>
    <w:rsid w:val="27D3DD90"/>
    <w:rsid w:val="281EEB49"/>
    <w:rsid w:val="283C3CB1"/>
    <w:rsid w:val="28798999"/>
    <w:rsid w:val="299144A4"/>
    <w:rsid w:val="29DDC00C"/>
    <w:rsid w:val="2A50910F"/>
    <w:rsid w:val="2A889A63"/>
    <w:rsid w:val="2AC0A24F"/>
    <w:rsid w:val="2ACD2F2D"/>
    <w:rsid w:val="2B482ECC"/>
    <w:rsid w:val="2BE2D9F8"/>
    <w:rsid w:val="2C1C98B3"/>
    <w:rsid w:val="2C5E8ACE"/>
    <w:rsid w:val="2C6D1FF4"/>
    <w:rsid w:val="2C8878BA"/>
    <w:rsid w:val="2CF4DF11"/>
    <w:rsid w:val="2D405EED"/>
    <w:rsid w:val="2D41C17F"/>
    <w:rsid w:val="2D7EDC26"/>
    <w:rsid w:val="2DB62971"/>
    <w:rsid w:val="2DC45E26"/>
    <w:rsid w:val="2DC624C5"/>
    <w:rsid w:val="2EE2EDF9"/>
    <w:rsid w:val="2F43527C"/>
    <w:rsid w:val="2FE39ABC"/>
    <w:rsid w:val="2FED465C"/>
    <w:rsid w:val="30B28DB8"/>
    <w:rsid w:val="30DE5A82"/>
    <w:rsid w:val="30E90D89"/>
    <w:rsid w:val="31299A99"/>
    <w:rsid w:val="314B6CFF"/>
    <w:rsid w:val="319B4508"/>
    <w:rsid w:val="31D82254"/>
    <w:rsid w:val="31D873A5"/>
    <w:rsid w:val="327339AA"/>
    <w:rsid w:val="32821496"/>
    <w:rsid w:val="3296241E"/>
    <w:rsid w:val="329C684D"/>
    <w:rsid w:val="32D687F9"/>
    <w:rsid w:val="32DD3E24"/>
    <w:rsid w:val="32ECC53B"/>
    <w:rsid w:val="3315B09C"/>
    <w:rsid w:val="331A42DB"/>
    <w:rsid w:val="33605EE0"/>
    <w:rsid w:val="3375E70E"/>
    <w:rsid w:val="33A22130"/>
    <w:rsid w:val="33AC706D"/>
    <w:rsid w:val="33F8EA2A"/>
    <w:rsid w:val="340A87A9"/>
    <w:rsid w:val="34338D7E"/>
    <w:rsid w:val="34AF2379"/>
    <w:rsid w:val="34DB27A7"/>
    <w:rsid w:val="34F02999"/>
    <w:rsid w:val="3541EB19"/>
    <w:rsid w:val="356A4646"/>
    <w:rsid w:val="359E3D23"/>
    <w:rsid w:val="35B1068E"/>
    <w:rsid w:val="35E55EF7"/>
    <w:rsid w:val="3642958B"/>
    <w:rsid w:val="36901218"/>
    <w:rsid w:val="36B78D94"/>
    <w:rsid w:val="36BEBFE0"/>
    <w:rsid w:val="36D0653E"/>
    <w:rsid w:val="3790FAD8"/>
    <w:rsid w:val="389EBBC3"/>
    <w:rsid w:val="3914D1AF"/>
    <w:rsid w:val="394E574D"/>
    <w:rsid w:val="39676078"/>
    <w:rsid w:val="3972C6B6"/>
    <w:rsid w:val="39CA339A"/>
    <w:rsid w:val="39E80E1A"/>
    <w:rsid w:val="39ECDC57"/>
    <w:rsid w:val="3A69EEB6"/>
    <w:rsid w:val="3ADA74DA"/>
    <w:rsid w:val="3B236FEC"/>
    <w:rsid w:val="3B4342E3"/>
    <w:rsid w:val="3BE0104B"/>
    <w:rsid w:val="3C0E5A99"/>
    <w:rsid w:val="3CCCF3A5"/>
    <w:rsid w:val="3D292B07"/>
    <w:rsid w:val="3D65874E"/>
    <w:rsid w:val="3D83F0D7"/>
    <w:rsid w:val="3DC2F071"/>
    <w:rsid w:val="3E0449BF"/>
    <w:rsid w:val="3E18C760"/>
    <w:rsid w:val="3E72BF6A"/>
    <w:rsid w:val="3E8623BF"/>
    <w:rsid w:val="3E94305A"/>
    <w:rsid w:val="3EBC728E"/>
    <w:rsid w:val="3EE67769"/>
    <w:rsid w:val="3F02A308"/>
    <w:rsid w:val="3F02F997"/>
    <w:rsid w:val="3F23CA66"/>
    <w:rsid w:val="3F694B90"/>
    <w:rsid w:val="3FE5BB7A"/>
    <w:rsid w:val="3FF9C3EE"/>
    <w:rsid w:val="3FFC8B16"/>
    <w:rsid w:val="404C2F4E"/>
    <w:rsid w:val="408885DA"/>
    <w:rsid w:val="4127302E"/>
    <w:rsid w:val="41290BEF"/>
    <w:rsid w:val="413292D7"/>
    <w:rsid w:val="414271C9"/>
    <w:rsid w:val="41575634"/>
    <w:rsid w:val="4158CF07"/>
    <w:rsid w:val="417EC676"/>
    <w:rsid w:val="418741FD"/>
    <w:rsid w:val="41CD01B1"/>
    <w:rsid w:val="42126C13"/>
    <w:rsid w:val="422B41BC"/>
    <w:rsid w:val="423D1BD2"/>
    <w:rsid w:val="42D7D94A"/>
    <w:rsid w:val="432534DD"/>
    <w:rsid w:val="43504DCE"/>
    <w:rsid w:val="43547668"/>
    <w:rsid w:val="43AB0137"/>
    <w:rsid w:val="44352127"/>
    <w:rsid w:val="444A7567"/>
    <w:rsid w:val="44974E2A"/>
    <w:rsid w:val="450A499B"/>
    <w:rsid w:val="451457A5"/>
    <w:rsid w:val="452920B8"/>
    <w:rsid w:val="453B491E"/>
    <w:rsid w:val="45841BE8"/>
    <w:rsid w:val="45870C9C"/>
    <w:rsid w:val="45B0D463"/>
    <w:rsid w:val="45D8A7E7"/>
    <w:rsid w:val="45E5B059"/>
    <w:rsid w:val="460EC16F"/>
    <w:rsid w:val="461D3565"/>
    <w:rsid w:val="468B4172"/>
    <w:rsid w:val="46A067AA"/>
    <w:rsid w:val="477871A9"/>
    <w:rsid w:val="47C0176F"/>
    <w:rsid w:val="47CBEC70"/>
    <w:rsid w:val="48BEB9F5"/>
    <w:rsid w:val="4909EBF9"/>
    <w:rsid w:val="498A82BC"/>
    <w:rsid w:val="49A68B68"/>
    <w:rsid w:val="49B8820B"/>
    <w:rsid w:val="49BCFD97"/>
    <w:rsid w:val="49EAEEDC"/>
    <w:rsid w:val="4A194349"/>
    <w:rsid w:val="4A3AAC72"/>
    <w:rsid w:val="4AC81B9F"/>
    <w:rsid w:val="4B14BDAC"/>
    <w:rsid w:val="4B56E0AC"/>
    <w:rsid w:val="4BAA75FD"/>
    <w:rsid w:val="4C36CA46"/>
    <w:rsid w:val="4C6EFAC9"/>
    <w:rsid w:val="4CEC54B6"/>
    <w:rsid w:val="4D104883"/>
    <w:rsid w:val="4D29CD29"/>
    <w:rsid w:val="4D525833"/>
    <w:rsid w:val="4D73C068"/>
    <w:rsid w:val="4DCADE31"/>
    <w:rsid w:val="4E39B0FC"/>
    <w:rsid w:val="4E5CA8F1"/>
    <w:rsid w:val="4E87E8CC"/>
    <w:rsid w:val="4EA209EA"/>
    <w:rsid w:val="4EC21A78"/>
    <w:rsid w:val="4EF24EC1"/>
    <w:rsid w:val="500A860A"/>
    <w:rsid w:val="5061518B"/>
    <w:rsid w:val="50AE911C"/>
    <w:rsid w:val="50C712E4"/>
    <w:rsid w:val="50CA6103"/>
    <w:rsid w:val="5153C044"/>
    <w:rsid w:val="519DBCB1"/>
    <w:rsid w:val="51D3F988"/>
    <w:rsid w:val="5213366A"/>
    <w:rsid w:val="524DB6C0"/>
    <w:rsid w:val="526ED8D7"/>
    <w:rsid w:val="52919497"/>
    <w:rsid w:val="52BEE323"/>
    <w:rsid w:val="52D6D0D5"/>
    <w:rsid w:val="52ECAB45"/>
    <w:rsid w:val="52FF80D3"/>
    <w:rsid w:val="547238A3"/>
    <w:rsid w:val="5491CC75"/>
    <w:rsid w:val="54E64293"/>
    <w:rsid w:val="54E9992A"/>
    <w:rsid w:val="552EEE9D"/>
    <w:rsid w:val="5542E1F0"/>
    <w:rsid w:val="55FA5807"/>
    <w:rsid w:val="569C7E16"/>
    <w:rsid w:val="56C1B8CB"/>
    <w:rsid w:val="56D38D7D"/>
    <w:rsid w:val="57708C34"/>
    <w:rsid w:val="57AA6DB8"/>
    <w:rsid w:val="586FA42C"/>
    <w:rsid w:val="588A3A37"/>
    <w:rsid w:val="58A96C34"/>
    <w:rsid w:val="58BCA4D9"/>
    <w:rsid w:val="58C529B0"/>
    <w:rsid w:val="59FF519C"/>
    <w:rsid w:val="5A0FFBA6"/>
    <w:rsid w:val="5A17E229"/>
    <w:rsid w:val="5A38A7CE"/>
    <w:rsid w:val="5A564D6A"/>
    <w:rsid w:val="5A6EC2AE"/>
    <w:rsid w:val="5AA5526A"/>
    <w:rsid w:val="5AD335FA"/>
    <w:rsid w:val="5B1E5EC9"/>
    <w:rsid w:val="5B3E0B32"/>
    <w:rsid w:val="5B753975"/>
    <w:rsid w:val="5BAEC19F"/>
    <w:rsid w:val="5C44B844"/>
    <w:rsid w:val="5CD11EAC"/>
    <w:rsid w:val="5CF6EE80"/>
    <w:rsid w:val="5D5B28D4"/>
    <w:rsid w:val="5D5F2430"/>
    <w:rsid w:val="5D801482"/>
    <w:rsid w:val="5D8F12C1"/>
    <w:rsid w:val="5DC382E4"/>
    <w:rsid w:val="5DCA7174"/>
    <w:rsid w:val="5DF1F15F"/>
    <w:rsid w:val="5E0AE94C"/>
    <w:rsid w:val="5E186F21"/>
    <w:rsid w:val="5E48DD53"/>
    <w:rsid w:val="5E97A19D"/>
    <w:rsid w:val="5E9D31A0"/>
    <w:rsid w:val="5EC882FA"/>
    <w:rsid w:val="5F11942D"/>
    <w:rsid w:val="5F656D80"/>
    <w:rsid w:val="5F84AADA"/>
    <w:rsid w:val="606AF8BA"/>
    <w:rsid w:val="607CCA8C"/>
    <w:rsid w:val="60B783EC"/>
    <w:rsid w:val="60BD9686"/>
    <w:rsid w:val="60BE028E"/>
    <w:rsid w:val="60C19D2C"/>
    <w:rsid w:val="612902AC"/>
    <w:rsid w:val="6168E276"/>
    <w:rsid w:val="616D8CD6"/>
    <w:rsid w:val="617132EE"/>
    <w:rsid w:val="622FB6DA"/>
    <w:rsid w:val="6240177B"/>
    <w:rsid w:val="625BF580"/>
    <w:rsid w:val="626E5B76"/>
    <w:rsid w:val="627B1315"/>
    <w:rsid w:val="62CF6E4B"/>
    <w:rsid w:val="62D7EB27"/>
    <w:rsid w:val="630F68EA"/>
    <w:rsid w:val="641D2AA8"/>
    <w:rsid w:val="65216A89"/>
    <w:rsid w:val="6597E3C6"/>
    <w:rsid w:val="6682D840"/>
    <w:rsid w:val="66A15F25"/>
    <w:rsid w:val="6722E394"/>
    <w:rsid w:val="67BBB69C"/>
    <w:rsid w:val="67CDE9C3"/>
    <w:rsid w:val="67CE7E5B"/>
    <w:rsid w:val="681B7C7C"/>
    <w:rsid w:val="68453936"/>
    <w:rsid w:val="6897758D"/>
    <w:rsid w:val="68D6D86D"/>
    <w:rsid w:val="68DB99AD"/>
    <w:rsid w:val="69381A07"/>
    <w:rsid w:val="69385A80"/>
    <w:rsid w:val="693F203E"/>
    <w:rsid w:val="69558EF9"/>
    <w:rsid w:val="6964BED6"/>
    <w:rsid w:val="6A4DB8C3"/>
    <w:rsid w:val="6A75D929"/>
    <w:rsid w:val="6A97AB39"/>
    <w:rsid w:val="6ABC8736"/>
    <w:rsid w:val="6AE203D8"/>
    <w:rsid w:val="6AF03E95"/>
    <w:rsid w:val="6B0EF02F"/>
    <w:rsid w:val="6B4E125D"/>
    <w:rsid w:val="6B5D18FF"/>
    <w:rsid w:val="6B5FFF5B"/>
    <w:rsid w:val="6BA1F9AB"/>
    <w:rsid w:val="6BF376C1"/>
    <w:rsid w:val="6C68A263"/>
    <w:rsid w:val="6CB8A762"/>
    <w:rsid w:val="6D48524C"/>
    <w:rsid w:val="6D9DFA3A"/>
    <w:rsid w:val="6D9EFAC6"/>
    <w:rsid w:val="6E37D638"/>
    <w:rsid w:val="6EBB7CA5"/>
    <w:rsid w:val="6EED58B8"/>
    <w:rsid w:val="6EFF7929"/>
    <w:rsid w:val="6F0729D4"/>
    <w:rsid w:val="6F133EAA"/>
    <w:rsid w:val="6F1FEA14"/>
    <w:rsid w:val="6F2B9DEB"/>
    <w:rsid w:val="6F7321DE"/>
    <w:rsid w:val="6F8D9C5B"/>
    <w:rsid w:val="6FE38E90"/>
    <w:rsid w:val="6FFFFCCF"/>
    <w:rsid w:val="70087511"/>
    <w:rsid w:val="707FC4B3"/>
    <w:rsid w:val="70C4B854"/>
    <w:rsid w:val="713FD636"/>
    <w:rsid w:val="717BF451"/>
    <w:rsid w:val="718E7EC6"/>
    <w:rsid w:val="7190C511"/>
    <w:rsid w:val="71CFC479"/>
    <w:rsid w:val="71EF4023"/>
    <w:rsid w:val="7214427E"/>
    <w:rsid w:val="722237C5"/>
    <w:rsid w:val="7233AAB6"/>
    <w:rsid w:val="7257BB53"/>
    <w:rsid w:val="72AFA83E"/>
    <w:rsid w:val="72C19916"/>
    <w:rsid w:val="73421390"/>
    <w:rsid w:val="7384A8B1"/>
    <w:rsid w:val="7395B40F"/>
    <w:rsid w:val="73A50840"/>
    <w:rsid w:val="73BA0294"/>
    <w:rsid w:val="74294B15"/>
    <w:rsid w:val="7469403F"/>
    <w:rsid w:val="74C5D732"/>
    <w:rsid w:val="74EAD638"/>
    <w:rsid w:val="74F78437"/>
    <w:rsid w:val="75010261"/>
    <w:rsid w:val="7510854C"/>
    <w:rsid w:val="7515AE33"/>
    <w:rsid w:val="759AECAB"/>
    <w:rsid w:val="75AFFA18"/>
    <w:rsid w:val="75CE5647"/>
    <w:rsid w:val="75D54F15"/>
    <w:rsid w:val="761171BA"/>
    <w:rsid w:val="76673FDF"/>
    <w:rsid w:val="767F3FDC"/>
    <w:rsid w:val="76C4C4D2"/>
    <w:rsid w:val="76CBE28B"/>
    <w:rsid w:val="77028762"/>
    <w:rsid w:val="77055812"/>
    <w:rsid w:val="77140307"/>
    <w:rsid w:val="77585515"/>
    <w:rsid w:val="77A24162"/>
    <w:rsid w:val="7842C35E"/>
    <w:rsid w:val="787D7083"/>
    <w:rsid w:val="78E04D7E"/>
    <w:rsid w:val="790CA9B4"/>
    <w:rsid w:val="790CC0CE"/>
    <w:rsid w:val="79483F3A"/>
    <w:rsid w:val="794CD899"/>
    <w:rsid w:val="79D391A1"/>
    <w:rsid w:val="7A3C1FEA"/>
    <w:rsid w:val="7A648AC9"/>
    <w:rsid w:val="7A8D932E"/>
    <w:rsid w:val="7A939613"/>
    <w:rsid w:val="7ADE6EFB"/>
    <w:rsid w:val="7B108BA7"/>
    <w:rsid w:val="7B1C1874"/>
    <w:rsid w:val="7B4274A0"/>
    <w:rsid w:val="7B59B15C"/>
    <w:rsid w:val="7B702538"/>
    <w:rsid w:val="7B88B511"/>
    <w:rsid w:val="7BC947D7"/>
    <w:rsid w:val="7BE39512"/>
    <w:rsid w:val="7C129E91"/>
    <w:rsid w:val="7C5B30E4"/>
    <w:rsid w:val="7C868ABE"/>
    <w:rsid w:val="7C8DD237"/>
    <w:rsid w:val="7CEB7407"/>
    <w:rsid w:val="7D04D58A"/>
    <w:rsid w:val="7D1B4F06"/>
    <w:rsid w:val="7D2659DB"/>
    <w:rsid w:val="7D7B518D"/>
    <w:rsid w:val="7D86F992"/>
    <w:rsid w:val="7D96EFC9"/>
    <w:rsid w:val="7DCE79AA"/>
    <w:rsid w:val="7DE52544"/>
    <w:rsid w:val="7DEA6149"/>
    <w:rsid w:val="7DF62E61"/>
    <w:rsid w:val="7E19F6F3"/>
    <w:rsid w:val="7EAC74EA"/>
    <w:rsid w:val="7F19F835"/>
    <w:rsid w:val="7F461B46"/>
    <w:rsid w:val="7F51F5C5"/>
    <w:rsid w:val="7F656937"/>
    <w:rsid w:val="7FBB9DBE"/>
    <w:rsid w:val="7FC3F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2FEAC"/>
  <w15:chartTrackingRefBased/>
  <w15:docId w15:val="{45E6C286-1D19-4E86-A540-0B551DA90847}"/>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EC1"/>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10"/>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paragraph" w:styleId="FootnoteText">
    <w:name w:val="footnote text"/>
    <w:basedOn w:val="Normal"/>
    <w:link w:val="FootnoteTextChar"/>
    <w:uiPriority w:val="99"/>
    <w:unhideWhenUsed/>
    <w:rsid w:val="00913687"/>
    <w:pPr>
      <w:spacing w:after="0" w:line="240" w:lineRule="auto"/>
    </w:pPr>
    <w:rPr>
      <w:sz w:val="20"/>
      <w:szCs w:val="20"/>
    </w:rPr>
  </w:style>
  <w:style w:type="character" w:customStyle="1" w:styleId="FootnoteTextChar">
    <w:name w:val="Footnote Text Char"/>
    <w:basedOn w:val="DefaultParagraphFont"/>
    <w:link w:val="FootnoteText"/>
    <w:uiPriority w:val="99"/>
    <w:rsid w:val="00913687"/>
    <w:rPr>
      <w:sz w:val="20"/>
      <w:szCs w:val="20"/>
    </w:rPr>
  </w:style>
  <w:style w:type="character" w:styleId="FootnoteReference">
    <w:name w:val="footnote reference"/>
    <w:basedOn w:val="DefaultParagraphFont"/>
    <w:uiPriority w:val="99"/>
    <w:semiHidden/>
    <w:unhideWhenUsed/>
    <w:rsid w:val="00913687"/>
    <w:rPr>
      <w:vertAlign w:val="superscript"/>
    </w:rPr>
  </w:style>
  <w:style w:type="character" w:styleId="UnresolvedMention">
    <w:name w:val="Unresolved Mention"/>
    <w:basedOn w:val="DefaultParagraphFont"/>
    <w:uiPriority w:val="99"/>
    <w:semiHidden/>
    <w:unhideWhenUsed/>
    <w:rsid w:val="00933A55"/>
    <w:rPr>
      <w:color w:val="605E5C"/>
      <w:shd w:val="clear" w:color="auto" w:fill="E1DFDD"/>
    </w:rPr>
  </w:style>
  <w:style w:type="character" w:styleId="FollowedHyperlink">
    <w:name w:val="FollowedHyperlink"/>
    <w:basedOn w:val="DefaultParagraphFont"/>
    <w:uiPriority w:val="99"/>
    <w:semiHidden/>
    <w:unhideWhenUsed/>
    <w:rsid w:val="002F191D"/>
    <w:rPr>
      <w:color w:val="96607D" w:themeColor="followedHyperlink"/>
      <w:u w:val="single"/>
    </w:rPr>
  </w:style>
  <w:style w:type="table" w:styleId="TableGrid">
    <w:name w:val="Table Grid"/>
    <w:basedOn w:val="TableNormal"/>
    <w:uiPriority w:val="39"/>
    <w:rsid w:val="00A15D57"/>
    <w:pPr>
      <w:spacing w:after="0" w:line="240" w:lineRule="auto"/>
    </w:pPr>
    <w:rPr>
      <w:rFonts w:ascii="Century Gothic" w:hAnsi="Century Gothic" w:cs="Segoe UI"/>
      <w:bCs/>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672B8"/>
    <w:rPr>
      <w:color w:val="2B579A"/>
      <w:shd w:val="clear" w:color="auto" w:fill="E1DFDD"/>
    </w:rPr>
  </w:style>
  <w:style w:type="paragraph" w:styleId="Revision">
    <w:name w:val="Revision"/>
    <w:hidden/>
    <w:uiPriority w:val="99"/>
    <w:semiHidden/>
    <w:rsid w:val="000973FF"/>
    <w:pPr>
      <w:spacing w:after="0" w:line="240" w:lineRule="auto"/>
    </w:pPr>
  </w:style>
  <w:style w:type="table" w:customStyle="1" w:styleId="TableGrid1">
    <w:name w:val="Table Grid1"/>
    <w:basedOn w:val="TableNormal"/>
    <w:next w:val="TableGrid"/>
    <w:uiPriority w:val="39"/>
    <w:rsid w:val="00F037E0"/>
    <w:pPr>
      <w:spacing w:after="0" w:line="240" w:lineRule="auto"/>
    </w:pPr>
    <w:rPr>
      <w:rFonts w:ascii="Century Gothic" w:hAnsi="Century Gothic" w:cs="Segoe UI"/>
      <w:bCs/>
      <w:kern w:val="0"/>
      <w14:ligatures w14:val="none"/>
    </w:rPr>
    <w:tblPr/>
  </w:style>
  <w:style w:type="paragraph" w:customStyle="1" w:styleId="paragraph">
    <w:name w:val="paragraph"/>
    <w:basedOn w:val="Normal"/>
    <w:rsid w:val="00860D1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60D16"/>
  </w:style>
  <w:style w:type="character" w:customStyle="1" w:styleId="eop">
    <w:name w:val="eop"/>
    <w:basedOn w:val="DefaultParagraphFont"/>
    <w:rsid w:val="00860D16"/>
  </w:style>
  <w:style w:type="character" w:customStyle="1" w:styleId="superscript">
    <w:name w:val="superscript"/>
    <w:basedOn w:val="DefaultParagraphFont"/>
    <w:rsid w:val="00860D16"/>
  </w:style>
  <w:style w:type="paragraph" w:styleId="EndnoteText">
    <w:name w:val="endnote text"/>
    <w:basedOn w:val="Normal"/>
    <w:link w:val="EndnoteTextChar"/>
    <w:uiPriority w:val="99"/>
    <w:semiHidden/>
    <w:unhideWhenUsed/>
    <w:rsid w:val="00860D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60D16"/>
    <w:rPr>
      <w:sz w:val="20"/>
      <w:szCs w:val="20"/>
    </w:rPr>
  </w:style>
  <w:style w:type="character" w:styleId="EndnoteReference">
    <w:name w:val="endnote reference"/>
    <w:basedOn w:val="DefaultParagraphFont"/>
    <w:uiPriority w:val="99"/>
    <w:semiHidden/>
    <w:unhideWhenUsed/>
    <w:rsid w:val="00860D16"/>
    <w:rPr>
      <w:vertAlign w:val="superscript"/>
    </w:rPr>
  </w:style>
  <w:style w:type="paragraph" w:styleId="NormalWeb">
    <w:name w:val="Normal (Web)"/>
    <w:basedOn w:val="Normal"/>
    <w:uiPriority w:val="99"/>
    <w:semiHidden/>
    <w:unhideWhenUsed/>
    <w:rsid w:val="00860D1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puc.ca.gov/PublishedDocs/Published/G000/M316/K704/316704666.PDF" TargetMode="External"/><Relationship Id="rId21" Type="http://schemas.openxmlformats.org/officeDocument/2006/relationships/hyperlink" Target="https://docs.cpuc.ca.gov/PublishedDocs/Published/G000/M521/K196/521196139.PDF" TargetMode="External"/><Relationship Id="rId42" Type="http://schemas.openxmlformats.org/officeDocument/2006/relationships/hyperlink" Target="https://docs.cpuc.ca.gov/PublishedDocs/Published/G000/M372/K329/372329202.PDF" TargetMode="External"/><Relationship Id="rId63" Type="http://schemas.openxmlformats.org/officeDocument/2006/relationships/header" Target="header6.xml"/><Relationship Id="rId84" Type="http://schemas.openxmlformats.org/officeDocument/2006/relationships/hyperlink" Target="https://docs.cpuc.ca.gov/PublishedDocs/Published/G000/M521/K196/521196139.PDF" TargetMode="External"/><Relationship Id="rId138" Type="http://schemas.openxmlformats.org/officeDocument/2006/relationships/hyperlink" Target="https://docs.cpuc.ca.gov/PublishedDocs/Published/G000/M316/K704/316704666.PDF" TargetMode="External"/><Relationship Id="rId159" Type="http://schemas.openxmlformats.org/officeDocument/2006/relationships/fontTable" Target="fontTable.xml"/><Relationship Id="rId107" Type="http://schemas.openxmlformats.org/officeDocument/2006/relationships/hyperlink" Target="https://docs.cpuc.ca.gov/PublishedDocs/Published/G000/M521/K196/521196139.PDF" TargetMode="External"/><Relationship Id="rId11" Type="http://schemas.openxmlformats.org/officeDocument/2006/relationships/header" Target="header1.xml"/><Relationship Id="rId32" Type="http://schemas.openxmlformats.org/officeDocument/2006/relationships/hyperlink" Target="https://docs.cpuc.ca.gov/PublishedDocs/Published/G000/M503/K914/503914324.PDF" TargetMode="External"/><Relationship Id="rId53" Type="http://schemas.openxmlformats.org/officeDocument/2006/relationships/hyperlink" Target="https://docs.cpuc.ca.gov/PublishedDocs/Published/G000/M350/K789/350789679.PDF" TargetMode="External"/><Relationship Id="rId74" Type="http://schemas.openxmlformats.org/officeDocument/2006/relationships/hyperlink" Target="https://docs.cpuc.ca.gov/PublishedDocs/Published/G000/M461/K921/461921821.PDF" TargetMode="External"/><Relationship Id="rId128" Type="http://schemas.openxmlformats.org/officeDocument/2006/relationships/hyperlink" Target="https://docs.cpuc.ca.gov/PublishedDocs/Published/G000/M521/K196/521196139.PDF" TargetMode="External"/><Relationship Id="rId149" Type="http://schemas.openxmlformats.org/officeDocument/2006/relationships/hyperlink" Target="https://docs.cpuc.ca.gov/PublishedDocs/Published/G000/M521/K196/521196139.PDF" TargetMode="External"/><Relationship Id="rId5" Type="http://schemas.openxmlformats.org/officeDocument/2006/relationships/numbering" Target="numbering.xml"/><Relationship Id="rId95" Type="http://schemas.openxmlformats.org/officeDocument/2006/relationships/hyperlink" Target="https://docs.cpuc.ca.gov/PublishedDocs/Published/G000/M316/K704/316704666.PDF" TargetMode="External"/><Relationship Id="rId160" Type="http://schemas.openxmlformats.org/officeDocument/2006/relationships/theme" Target="theme/theme1.xml"/><Relationship Id="rId22" Type="http://schemas.openxmlformats.org/officeDocument/2006/relationships/footer" Target="footer5.xml"/><Relationship Id="rId43" Type="http://schemas.openxmlformats.org/officeDocument/2006/relationships/hyperlink" Target="https://docs.cpuc.ca.gov/PublishedDocs/Published/G000/M461/K921/461921821.PDF" TargetMode="External"/><Relationship Id="rId64" Type="http://schemas.openxmlformats.org/officeDocument/2006/relationships/footer" Target="footer11.xml"/><Relationship Id="rId118" Type="http://schemas.openxmlformats.org/officeDocument/2006/relationships/hyperlink" Target="https://docs.cpuc.ca.gov/PublishedDocs/Published/G000/M316/K704/316704666.PDF" TargetMode="External"/><Relationship Id="rId139" Type="http://schemas.openxmlformats.org/officeDocument/2006/relationships/hyperlink" Target="https://docs.cpuc.ca.gov/PublishedDocs/Published/G000/M316/K704/316704666.PDF" TargetMode="External"/><Relationship Id="rId80" Type="http://schemas.openxmlformats.org/officeDocument/2006/relationships/hyperlink" Target="https://docs.cpuc.ca.gov/PublishedDocs/Published/G000/M521/K196/521196139.PDF" TargetMode="External"/><Relationship Id="rId85" Type="http://schemas.openxmlformats.org/officeDocument/2006/relationships/hyperlink" Target="https://docs.cpuc.ca.gov/PublishedDocs/Published/G000/M521/K196/521196139.PDF" TargetMode="External"/><Relationship Id="rId150" Type="http://schemas.openxmlformats.org/officeDocument/2006/relationships/hyperlink" Target="https://docs.cpuc.ca.gov/PublishedDocs/Published/G000/M521/K196/521196139.PDF" TargetMode="External"/><Relationship Id="rId155" Type="http://schemas.openxmlformats.org/officeDocument/2006/relationships/hyperlink" Target="https://docs.cpuc.ca.gov/PublishedDocs/Published/G000/M521/K196/521196139.PDF" TargetMode="External"/><Relationship Id="rId12" Type="http://schemas.openxmlformats.org/officeDocument/2006/relationships/footer" Target="footer1.xml"/><Relationship Id="rId17" Type="http://schemas.openxmlformats.org/officeDocument/2006/relationships/header" Target="header4.xml"/><Relationship Id="rId33" Type="http://schemas.openxmlformats.org/officeDocument/2006/relationships/hyperlink" Target="https://docs.cpuc.ca.gov/PublishedDocs/Published/G000/M521/K196/521196139.PDF" TargetMode="External"/><Relationship Id="rId38" Type="http://schemas.openxmlformats.org/officeDocument/2006/relationships/hyperlink" Target="https://docs.cpuc.ca.gov/PublishedDocs/Published/G000/M372/K329/372329202.PDF" TargetMode="External"/><Relationship Id="rId59" Type="http://schemas.openxmlformats.org/officeDocument/2006/relationships/hyperlink" Target="https://docs.cpuc.ca.gov/PublishedDocs/Published/G000/M520/K896/520896345.pdf" TargetMode="External"/><Relationship Id="rId103" Type="http://schemas.openxmlformats.org/officeDocument/2006/relationships/hyperlink" Target="https://docs.cpuc.ca.gov/PublishedDocs/Published/G000/M521/K196/521196139.PDF" TargetMode="External"/><Relationship Id="rId108" Type="http://schemas.openxmlformats.org/officeDocument/2006/relationships/hyperlink" Target="https://docs.cpuc.ca.gov/PublishedDocs/Published/G000/M521/K196/521196139.PDF" TargetMode="External"/><Relationship Id="rId124" Type="http://schemas.openxmlformats.org/officeDocument/2006/relationships/hyperlink" Target="https://docs.cpuc.ca.gov/PublishedDocs/Published/G000/M461/K921/461921821.PDF" TargetMode="External"/><Relationship Id="rId129" Type="http://schemas.openxmlformats.org/officeDocument/2006/relationships/hyperlink" Target="https://docs.cpuc.ca.gov/PublishedDocs/Published/G000/M521/K196/521196139.PDF" TargetMode="External"/><Relationship Id="rId54" Type="http://schemas.openxmlformats.org/officeDocument/2006/relationships/hyperlink" Target="https://docs.cpuc.ca.gov/PublishedDocs/Published/G000/M372/K329/372329202.PDF" TargetMode="External"/><Relationship Id="rId70" Type="http://schemas.openxmlformats.org/officeDocument/2006/relationships/hyperlink" Target="https://docs.cpuc.ca.gov/PublishedDocs/Published/G000/M372/K329/372329202.PDF" TargetMode="External"/><Relationship Id="rId75" Type="http://schemas.openxmlformats.org/officeDocument/2006/relationships/hyperlink" Target="https://docs.cpuc.ca.gov/PublishedDocs/Published/G000/M521/K196/521196139.PDF" TargetMode="External"/><Relationship Id="rId91" Type="http://schemas.openxmlformats.org/officeDocument/2006/relationships/footer" Target="footer14.xml"/><Relationship Id="rId96" Type="http://schemas.openxmlformats.org/officeDocument/2006/relationships/hyperlink" Target="https://docs.cpuc.ca.gov/PublishedDocs/Published/G000/M550/K485/550485071.pdf" TargetMode="External"/><Relationship Id="rId140" Type="http://schemas.openxmlformats.org/officeDocument/2006/relationships/hyperlink" Target="https://docs.cpuc.ca.gov/PublishedDocs/Published/G000/M316/K704/316704666.PDF" TargetMode="External"/><Relationship Id="rId145" Type="http://schemas.openxmlformats.org/officeDocument/2006/relationships/hyperlink" Target="https://docs.cpuc.ca.gov/PublishedDocs/Published/G000/M461/K921/461921821.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5.xml"/><Relationship Id="rId28" Type="http://schemas.openxmlformats.org/officeDocument/2006/relationships/hyperlink" Target="https://docs.cpuc.ca.gov/PublishedDocs/Published/G000/M350/K789/350789679.PDF" TargetMode="External"/><Relationship Id="rId49" Type="http://schemas.openxmlformats.org/officeDocument/2006/relationships/hyperlink" Target="https://docs.cpuc.ca.gov/PublishedDocs/Published/G000/M316/K704/316704666.PDF" TargetMode="External"/><Relationship Id="rId114" Type="http://schemas.openxmlformats.org/officeDocument/2006/relationships/footer" Target="footer17.xml"/><Relationship Id="rId119" Type="http://schemas.openxmlformats.org/officeDocument/2006/relationships/hyperlink" Target="https://docs.cpuc.ca.gov/PublishedDocs/Published/G000/M316/K704/316704666.PDF" TargetMode="External"/><Relationship Id="rId44" Type="http://schemas.openxmlformats.org/officeDocument/2006/relationships/hyperlink" Target="https://docs.cpuc.ca.gov/PublishedDocs/Published/G000/M503/K914/503914324.PDF" TargetMode="External"/><Relationship Id="rId60" Type="http://schemas.openxmlformats.org/officeDocument/2006/relationships/footer" Target="footer9.xml"/><Relationship Id="rId65" Type="http://schemas.openxmlformats.org/officeDocument/2006/relationships/hyperlink" Target="https://docs.cpuc.ca.gov/PublishedDocs/Published/G000/M316/K704/316704666.PDF" TargetMode="External"/><Relationship Id="rId81" Type="http://schemas.openxmlformats.org/officeDocument/2006/relationships/hyperlink" Target="https://docs.cpuc.ca.gov/PublishedDocs/Published/G000/M521/K196/521196139.PDF" TargetMode="External"/><Relationship Id="rId86" Type="http://schemas.openxmlformats.org/officeDocument/2006/relationships/hyperlink" Target="https://docs.cpuc.ca.gov/PublishedDocs/Published/G000/M521/K196/521196139.PDF" TargetMode="External"/><Relationship Id="rId130" Type="http://schemas.openxmlformats.org/officeDocument/2006/relationships/hyperlink" Target="https://docs.cpuc.ca.gov/PublishedDocs/Published/G000/M521/K196/521196139.PDF" TargetMode="External"/><Relationship Id="rId135" Type="http://schemas.openxmlformats.org/officeDocument/2006/relationships/hyperlink" Target="https://docs.cpuc.ca.gov/PublishedDocs/Published/G000/M521/K196/521196139.PDF" TargetMode="External"/><Relationship Id="rId151" Type="http://schemas.openxmlformats.org/officeDocument/2006/relationships/hyperlink" Target="https://docs.cpuc.ca.gov/PublishedDocs/Published/G000/M521/K196/521196139.PDF" TargetMode="External"/><Relationship Id="rId156" Type="http://schemas.openxmlformats.org/officeDocument/2006/relationships/hyperlink" Target="https://docs.cpuc.ca.gov/PublishedDocs/Published/G000/M521/K196/521196139.PDF" TargetMode="External"/><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hyperlink" Target="https://docs.cpuc.ca.gov/PublishedDocs/Published/G000/M521/K196/521196139.PDF" TargetMode="External"/><Relationship Id="rId109" Type="http://schemas.openxmlformats.org/officeDocument/2006/relationships/hyperlink" Target="https://docs.cpuc.ca.gov/PublishedDocs/Published/G000/M521/K196/521196139.PDF" TargetMode="External"/><Relationship Id="rId34" Type="http://schemas.openxmlformats.org/officeDocument/2006/relationships/hyperlink" Target="https://docs.cpuc.ca.gov/PublishedDocs/Published/G000/M520/K896/520896345.pdf" TargetMode="External"/><Relationship Id="rId50" Type="http://schemas.openxmlformats.org/officeDocument/2006/relationships/hyperlink" Target="https://docs.cpuc.ca.gov/PublishedDocs/Published/G000/M520/K896/520896345.pdf" TargetMode="External"/><Relationship Id="rId55" Type="http://schemas.openxmlformats.org/officeDocument/2006/relationships/hyperlink" Target="https://docs.cpuc.ca.gov/PublishedDocs/Published/G000/M461/K921/461921821.PDF" TargetMode="External"/><Relationship Id="rId76" Type="http://schemas.openxmlformats.org/officeDocument/2006/relationships/hyperlink" Target="https://docs.cpuc.ca.gov/PublishedDocs/Published/G000/M521/K196/521196139.PDF" TargetMode="External"/><Relationship Id="rId97" Type="http://schemas.openxmlformats.org/officeDocument/2006/relationships/hyperlink" Target="https://docs.cpuc.ca.gov/PublishedDocs/Published/G000/M372/K329/372329202.PDF" TargetMode="External"/><Relationship Id="rId104" Type="http://schemas.openxmlformats.org/officeDocument/2006/relationships/hyperlink" Target="https://docs.cpuc.ca.gov/PublishedDocs/Published/G000/M521/K196/521196139.PDF" TargetMode="External"/><Relationship Id="rId120" Type="http://schemas.openxmlformats.org/officeDocument/2006/relationships/hyperlink" Target="https://docs.cpuc.ca.gov/PublishedDocs/Published/G000/M550/K485/550485071.pdf" TargetMode="External"/><Relationship Id="rId125" Type="http://schemas.openxmlformats.org/officeDocument/2006/relationships/hyperlink" Target="https://docs.cpuc.ca.gov/PublishedDocs/Published/G000/M461/K921/461921821.PDF" TargetMode="External"/><Relationship Id="rId141" Type="http://schemas.openxmlformats.org/officeDocument/2006/relationships/hyperlink" Target="https://docs.cpuc.ca.gov/PublishedDocs/Published/G000/M316/K704/316704666.PDF" TargetMode="External"/><Relationship Id="rId146" Type="http://schemas.openxmlformats.org/officeDocument/2006/relationships/hyperlink" Target="https://docs.cpuc.ca.gov/PublishedDocs/Published/G000/M461/K921/461921821.PDF" TargetMode="External"/><Relationship Id="rId7" Type="http://schemas.openxmlformats.org/officeDocument/2006/relationships/settings" Target="settings.xml"/><Relationship Id="rId71" Type="http://schemas.openxmlformats.org/officeDocument/2006/relationships/hyperlink" Target="https://docs.cpuc.ca.gov/PublishedDocs/Published/G000/M461/K921/461921821.PDF" TargetMode="External"/><Relationship Id="rId92" Type="http://schemas.openxmlformats.org/officeDocument/2006/relationships/hyperlink" Target="https://docs.cpuc.ca.gov/PublishedDocs/Published/G000/M316/K704/316704666.PDF" TargetMode="External"/><Relationship Id="rId2" Type="http://schemas.openxmlformats.org/officeDocument/2006/relationships/customXml" Target="../customXml/item2.xml"/><Relationship Id="rId29" Type="http://schemas.openxmlformats.org/officeDocument/2006/relationships/hyperlink" Target="https://docs.cpuc.ca.gov/PublishedDocs/Published/G000/M521/K196/521196139.PDF" TargetMode="External"/><Relationship Id="rId24" Type="http://schemas.openxmlformats.org/officeDocument/2006/relationships/footer" Target="footer6.xml"/><Relationship Id="rId40" Type="http://schemas.openxmlformats.org/officeDocument/2006/relationships/hyperlink" Target="https://docs.cpuc.ca.gov/PublishedDocs/Published/G000/M507/K499/507499284.PDF" TargetMode="External"/><Relationship Id="rId45" Type="http://schemas.openxmlformats.org/officeDocument/2006/relationships/hyperlink" Target="https://docs.cpuc.ca.gov/PublishedDocs/Published/G000/M521/K196/521196139.PDF" TargetMode="External"/><Relationship Id="rId66" Type="http://schemas.openxmlformats.org/officeDocument/2006/relationships/hyperlink" Target="https://docs.cpuc.ca.gov/PublishedDocs/Published/G000/M316/K704/316704666.PDF" TargetMode="External"/><Relationship Id="rId87" Type="http://schemas.openxmlformats.org/officeDocument/2006/relationships/header" Target="header7.xml"/><Relationship Id="rId110" Type="http://schemas.openxmlformats.org/officeDocument/2006/relationships/hyperlink" Target="https://docs.cpuc.ca.gov/PublishedDocs/Published/G000/M521/K196/521196139.PDF" TargetMode="External"/><Relationship Id="rId115" Type="http://schemas.openxmlformats.org/officeDocument/2006/relationships/footer" Target="footer18.xml"/><Relationship Id="rId131" Type="http://schemas.openxmlformats.org/officeDocument/2006/relationships/hyperlink" Target="https://docs.cpuc.ca.gov/PublishedDocs/Published/G000/M521/K196/521196139.PDF" TargetMode="External"/><Relationship Id="rId136" Type="http://schemas.openxmlformats.org/officeDocument/2006/relationships/footer" Target="footer19.xml"/><Relationship Id="rId157" Type="http://schemas.openxmlformats.org/officeDocument/2006/relationships/hyperlink" Target="https://docs.cpuc.ca.gov/PublishedDocs/Published/G000/M521/K196/521196139.PDF" TargetMode="External"/><Relationship Id="rId61" Type="http://schemas.openxmlformats.org/officeDocument/2006/relationships/footer" Target="footer10.xml"/><Relationship Id="rId82" Type="http://schemas.openxmlformats.org/officeDocument/2006/relationships/hyperlink" Target="https://docs.cpuc.ca.gov/PublishedDocs/Published/G000/M521/K196/521196139.PDF" TargetMode="External"/><Relationship Id="rId152" Type="http://schemas.openxmlformats.org/officeDocument/2006/relationships/hyperlink" Target="https://docs.cpuc.ca.gov/PublishedDocs/Published/G000/M521/K196/521196139.PDF" TargetMode="External"/><Relationship Id="rId19" Type="http://schemas.openxmlformats.org/officeDocument/2006/relationships/hyperlink" Target="https://docs.cpuc.ca.gov/PublishedDocs/Published/G000/M372/K329/372329202.PDF" TargetMode="External"/><Relationship Id="rId14" Type="http://schemas.openxmlformats.org/officeDocument/2006/relationships/footer" Target="footer2.xml"/><Relationship Id="rId30" Type="http://schemas.openxmlformats.org/officeDocument/2006/relationships/hyperlink" Target="https://docs.cpuc.ca.gov/PublishedDocs/Published/G000/M531/K559/531559739.PDF" TargetMode="External"/><Relationship Id="rId35" Type="http://schemas.openxmlformats.org/officeDocument/2006/relationships/hyperlink" Target="https://docs.cpuc.ca.gov/PublishedDocs/Published/G000/M531/K559/531559739.PDF" TargetMode="External"/><Relationship Id="rId56" Type="http://schemas.openxmlformats.org/officeDocument/2006/relationships/hyperlink" Target="https://www.cpuc.ca.gov/-/media/cpuc-website/divisions/news-and-outreach/documents/news-office/key-issues/esj/esj-action-plan-v2jw.pdf" TargetMode="External"/><Relationship Id="rId77" Type="http://schemas.openxmlformats.org/officeDocument/2006/relationships/hyperlink" Target="https://docs.cpuc.ca.gov/PublishedDocs/Published/G000/M521/K196/521196139.PDF" TargetMode="External"/><Relationship Id="rId100" Type="http://schemas.openxmlformats.org/officeDocument/2006/relationships/hyperlink" Target="https://docs.cpuc.ca.gov/PublishedDocs/Published/G000/M461/K921/461921821.PDF" TargetMode="External"/><Relationship Id="rId105" Type="http://schemas.openxmlformats.org/officeDocument/2006/relationships/hyperlink" Target="https://docs.cpuc.ca.gov/PublishedDocs/Published/G000/M521/K196/521196139.PDF" TargetMode="External"/><Relationship Id="rId126" Type="http://schemas.openxmlformats.org/officeDocument/2006/relationships/hyperlink" Target="https://docs.cpuc.ca.gov/PublishedDocs/Published/G000/M521/K196/521196139.PDF" TargetMode="External"/><Relationship Id="rId147" Type="http://schemas.openxmlformats.org/officeDocument/2006/relationships/hyperlink" Target="https://docs.cpuc.ca.gov/PublishedDocs/Published/G000/M461/K921/461921821.PDF" TargetMode="External"/><Relationship Id="rId8" Type="http://schemas.openxmlformats.org/officeDocument/2006/relationships/webSettings" Target="webSettings.xml"/><Relationship Id="rId51" Type="http://schemas.openxmlformats.org/officeDocument/2006/relationships/hyperlink" Target="https://www.gov.ca.gov/wp-content/uploads/2024/10/energy-EO-10-30-24.pdf" TargetMode="External"/><Relationship Id="rId72" Type="http://schemas.openxmlformats.org/officeDocument/2006/relationships/hyperlink" Target="https://docs.cpuc.ca.gov/PublishedDocs/Published/G000/M461/K921/461921821.PDF" TargetMode="External"/><Relationship Id="rId93" Type="http://schemas.openxmlformats.org/officeDocument/2006/relationships/hyperlink" Target="https://docs.cpuc.ca.gov/PublishedDocs/Published/G000/M316/K704/316704666.PDF" TargetMode="External"/><Relationship Id="rId98" Type="http://schemas.openxmlformats.org/officeDocument/2006/relationships/hyperlink" Target="https://docs.cpuc.ca.gov/PublishedDocs/Published/G000/M461/K921/461921821.PDF" TargetMode="External"/><Relationship Id="rId121" Type="http://schemas.openxmlformats.org/officeDocument/2006/relationships/hyperlink" Target="https://docs.cpuc.ca.gov/PublishedDocs/Published/G000/M372/K329/372329202.PDF" TargetMode="External"/><Relationship Id="rId142" Type="http://schemas.openxmlformats.org/officeDocument/2006/relationships/hyperlink" Target="https://docs.cpuc.ca.gov/PublishedDocs/Published/G000/M550/K485/550485071.pdf" TargetMode="External"/><Relationship Id="rId3" Type="http://schemas.openxmlformats.org/officeDocument/2006/relationships/customXml" Target="../customXml/item3.xml"/><Relationship Id="rId25" Type="http://schemas.openxmlformats.org/officeDocument/2006/relationships/footer" Target="footer7.xml"/><Relationship Id="rId46" Type="http://schemas.openxmlformats.org/officeDocument/2006/relationships/hyperlink" Target="https://docs.cpuc.ca.gov/PublishedDocs/Published/G000/M531/K559/531559739.PDF" TargetMode="External"/><Relationship Id="rId67" Type="http://schemas.openxmlformats.org/officeDocument/2006/relationships/hyperlink" Target="https://docs.cpuc.ca.gov/PublishedDocs/Published/G000/M316/K704/316704666.PDF" TargetMode="External"/><Relationship Id="rId116" Type="http://schemas.openxmlformats.org/officeDocument/2006/relationships/hyperlink" Target="https://docs.cpuc.ca.gov/PublishedDocs/Published/G000/M316/K704/316704666.PDF" TargetMode="External"/><Relationship Id="rId137" Type="http://schemas.openxmlformats.org/officeDocument/2006/relationships/footer" Target="footer20.xml"/><Relationship Id="rId158" Type="http://schemas.openxmlformats.org/officeDocument/2006/relationships/footer" Target="footer21.xml"/><Relationship Id="rId20" Type="http://schemas.openxmlformats.org/officeDocument/2006/relationships/hyperlink" Target="https://docs.cpuc.ca.gov/PublishedDocs/Published/G000/M461/K921/461921821.PDF" TargetMode="External"/><Relationship Id="rId41" Type="http://schemas.openxmlformats.org/officeDocument/2006/relationships/hyperlink" Target="http://docs.cpuc.ca.gov/PublishedDocs/WORD_PDF/FINAL_DECISION/39314.PDF" TargetMode="External"/><Relationship Id="rId62" Type="http://schemas.openxmlformats.org/officeDocument/2006/relationships/hyperlink" Target="https://docs.cpuc.ca.gov/PublishedDocs/Published/G000/M081/K773/81773445.PDF" TargetMode="External"/><Relationship Id="rId83" Type="http://schemas.openxmlformats.org/officeDocument/2006/relationships/hyperlink" Target="https://docs.cpuc.ca.gov/PublishedDocs/Published/G000/M521/K196/521196139.PDF" TargetMode="External"/><Relationship Id="rId88" Type="http://schemas.openxmlformats.org/officeDocument/2006/relationships/footer" Target="footer12.xml"/><Relationship Id="rId111" Type="http://schemas.openxmlformats.org/officeDocument/2006/relationships/hyperlink" Target="https://docs.cpuc.ca.gov/PublishedDocs/Published/G000/M521/K196/521196139.PDF" TargetMode="External"/><Relationship Id="rId132" Type="http://schemas.openxmlformats.org/officeDocument/2006/relationships/hyperlink" Target="https://docs.cpuc.ca.gov/PublishedDocs/Published/G000/M521/K196/521196139.PDF" TargetMode="External"/><Relationship Id="rId153" Type="http://schemas.openxmlformats.org/officeDocument/2006/relationships/hyperlink" Target="https://docs.cpuc.ca.gov/PublishedDocs/Published/G000/M521/K196/521196139.PDF" TargetMode="External"/><Relationship Id="rId15" Type="http://schemas.openxmlformats.org/officeDocument/2006/relationships/header" Target="header3.xml"/><Relationship Id="rId36" Type="http://schemas.openxmlformats.org/officeDocument/2006/relationships/hyperlink" Target="https://acrobat.adobe.com/id/urn:aaid:sc:VA6C2:99c90760-e561-4a95-8fbe-82192adb864b" TargetMode="External"/><Relationship Id="rId57" Type="http://schemas.openxmlformats.org/officeDocument/2006/relationships/hyperlink" Target="https://docs.cpuc.ca.gov/PublishedDocs/Published/G000/M503/K914/503914324.PDF" TargetMode="External"/><Relationship Id="rId106" Type="http://schemas.openxmlformats.org/officeDocument/2006/relationships/hyperlink" Target="https://docs.cpuc.ca.gov/PublishedDocs/Published/G000/M521/K196/521196139.PDF" TargetMode="External"/><Relationship Id="rId127" Type="http://schemas.openxmlformats.org/officeDocument/2006/relationships/hyperlink" Target="https://docs.cpuc.ca.gov/PublishedDocs/Published/G000/M521/K196/521196139.PDF" TargetMode="External"/><Relationship Id="rId10" Type="http://schemas.openxmlformats.org/officeDocument/2006/relationships/endnotes" Target="endnotes.xml"/><Relationship Id="rId31" Type="http://schemas.openxmlformats.org/officeDocument/2006/relationships/hyperlink" Target="https://docs.cpuc.ca.gov/PublishedDocs/Published/G000/M461/K921/461921821.PDF" TargetMode="External"/><Relationship Id="rId52" Type="http://schemas.openxmlformats.org/officeDocument/2006/relationships/hyperlink" Target="https://docs.cpuc.ca.gov/PublishedDocs/Published/G000/M310/K136/310136145.PDF" TargetMode="External"/><Relationship Id="rId73" Type="http://schemas.openxmlformats.org/officeDocument/2006/relationships/hyperlink" Target="https://docs.cpuc.ca.gov/PublishedDocs/Published/G000/M461/K921/461921821.PDF" TargetMode="External"/><Relationship Id="rId78" Type="http://schemas.openxmlformats.org/officeDocument/2006/relationships/hyperlink" Target="https://docs.cpuc.ca.gov/PublishedDocs/Published/G000/M521/K196/521196139.PDF" TargetMode="External"/><Relationship Id="rId94" Type="http://schemas.openxmlformats.org/officeDocument/2006/relationships/hyperlink" Target="https://docs.cpuc.ca.gov/PublishedDocs/Published/G000/M316/K704/316704666.PDF" TargetMode="External"/><Relationship Id="rId99" Type="http://schemas.openxmlformats.org/officeDocument/2006/relationships/hyperlink" Target="https://docs.cpuc.ca.gov/PublishedDocs/Published/G000/M461/K921/461921821.PDF" TargetMode="External"/><Relationship Id="rId101" Type="http://schemas.openxmlformats.org/officeDocument/2006/relationships/hyperlink" Target="https://docs.cpuc.ca.gov/PublishedDocs/Published/G000/M461/K921/461921821.PDF" TargetMode="External"/><Relationship Id="rId122" Type="http://schemas.openxmlformats.org/officeDocument/2006/relationships/hyperlink" Target="https://docs.cpuc.ca.gov/PublishedDocs/Published/G000/M461/K921/461921821.PDF" TargetMode="External"/><Relationship Id="rId143" Type="http://schemas.openxmlformats.org/officeDocument/2006/relationships/hyperlink" Target="https://docs.cpuc.ca.gov/PublishedDocs/Published/G000/M372/K329/372329202.PDF" TargetMode="External"/><Relationship Id="rId148" Type="http://schemas.openxmlformats.org/officeDocument/2006/relationships/hyperlink" Target="https://docs.cpuc.ca.gov/PublishedDocs/Published/G000/M521/K196/521196139.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8.xml"/><Relationship Id="rId47" Type="http://schemas.openxmlformats.org/officeDocument/2006/relationships/hyperlink" Target="https://docs.cpuc.ca.gov/PublishedDocs/Published/G000/M520/K896/520896345.pdf" TargetMode="External"/><Relationship Id="rId68" Type="http://schemas.openxmlformats.org/officeDocument/2006/relationships/hyperlink" Target="https://docs.cpuc.ca.gov/PublishedDocs/Published/G000/M316/K704/316704666.PDF" TargetMode="External"/><Relationship Id="rId89" Type="http://schemas.openxmlformats.org/officeDocument/2006/relationships/header" Target="header8.xml"/><Relationship Id="rId112" Type="http://schemas.openxmlformats.org/officeDocument/2006/relationships/footer" Target="footer15.xml"/><Relationship Id="rId133" Type="http://schemas.openxmlformats.org/officeDocument/2006/relationships/hyperlink" Target="https://docs.cpuc.ca.gov/PublishedDocs/Published/G000/M521/K196/521196139.PDF" TargetMode="External"/><Relationship Id="rId154" Type="http://schemas.openxmlformats.org/officeDocument/2006/relationships/hyperlink" Target="https://docs.cpuc.ca.gov/PublishedDocs/Published/G000/M521/K196/521196139.PDF" TargetMode="External"/><Relationship Id="rId16" Type="http://schemas.openxmlformats.org/officeDocument/2006/relationships/footer" Target="footer3.xml"/><Relationship Id="rId37" Type="http://schemas.openxmlformats.org/officeDocument/2006/relationships/hyperlink" Target="https://docs.cpuc.ca.gov/PublishedDocs/Published/G000/M507/K499/507499284.PDF" TargetMode="External"/><Relationship Id="rId58" Type="http://schemas.openxmlformats.org/officeDocument/2006/relationships/hyperlink" Target="https://docs.cpuc.ca.gov/PublishedDocs/Published/G000/M521/K196/521196139.PDF" TargetMode="External"/><Relationship Id="rId79" Type="http://schemas.openxmlformats.org/officeDocument/2006/relationships/hyperlink" Target="https://docs.cpuc.ca.gov/PublishedDocs/Published/G000/M521/K196/521196139.PDF" TargetMode="External"/><Relationship Id="rId102" Type="http://schemas.openxmlformats.org/officeDocument/2006/relationships/hyperlink" Target="https://docs.cpuc.ca.gov/PublishedDocs/Published/G000/M521/K196/521196139.PDF" TargetMode="External"/><Relationship Id="rId123" Type="http://schemas.openxmlformats.org/officeDocument/2006/relationships/hyperlink" Target="https://docs.cpuc.ca.gov/PublishedDocs/Published/G000/M461/K921/461921821.PDF" TargetMode="External"/><Relationship Id="rId144" Type="http://schemas.openxmlformats.org/officeDocument/2006/relationships/hyperlink" Target="https://docs.cpuc.ca.gov/PublishedDocs/Published/G000/M461/K921/461921821.PDF" TargetMode="External"/><Relationship Id="rId90" Type="http://schemas.openxmlformats.org/officeDocument/2006/relationships/footer" Target="footer13.xml"/><Relationship Id="rId27" Type="http://schemas.openxmlformats.org/officeDocument/2006/relationships/hyperlink" Target="https://docs.cpuc.ca.gov/PublishedDocs/Published/G000/M316/K704/316704666.PDF" TargetMode="External"/><Relationship Id="rId48" Type="http://schemas.openxmlformats.org/officeDocument/2006/relationships/hyperlink" Target="https://docs.cpuc.ca.gov/PublishedDocs/Published/G000/M507/K499/507499284.PDF" TargetMode="External"/><Relationship Id="rId69" Type="http://schemas.openxmlformats.org/officeDocument/2006/relationships/hyperlink" Target="https://docs.cpuc.ca.gov/PublishedDocs/Published/G000/M550/K485/550485071.pdf" TargetMode="External"/><Relationship Id="rId113" Type="http://schemas.openxmlformats.org/officeDocument/2006/relationships/footer" Target="footer16.xml"/><Relationship Id="rId134" Type="http://schemas.openxmlformats.org/officeDocument/2006/relationships/hyperlink" Target="https://docs.cpuc.ca.gov/PublishedDocs/Published/G000/M521/K196/521196139.PDF"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docs.cpuc.ca.gov/PublishedDocs/Published/G000/M461/K921/461921821.PDF" TargetMode="External"/><Relationship Id="rId21" Type="http://schemas.openxmlformats.org/officeDocument/2006/relationships/hyperlink" Target="https://docs.cpuc.ca.gov/PublishedDocs/WORD_PDF/FINAL_DECISION/167664.PDF" TargetMode="External"/><Relationship Id="rId42" Type="http://schemas.openxmlformats.org/officeDocument/2006/relationships/hyperlink" Target="https://docs.cpuc.ca.gov/PublishedDocs/Published/G000/M521/K196/521196139.PDF" TargetMode="External"/><Relationship Id="rId63" Type="http://schemas.openxmlformats.org/officeDocument/2006/relationships/hyperlink" Target="https://docs.cpuc.ca.gov/PublishedDocs/Published/G000/M521/K196/521196139.PDF" TargetMode="External"/><Relationship Id="rId84" Type="http://schemas.openxmlformats.org/officeDocument/2006/relationships/hyperlink" Target="https://docs.cpuc.ca.gov/PublishedDocs/Published/G000/M316/K704/316704666.PDF" TargetMode="External"/><Relationship Id="rId138" Type="http://schemas.openxmlformats.org/officeDocument/2006/relationships/hyperlink" Target="https://docs.cpuc.ca.gov/PublishedDocs/Published/G000/M316/K704/316704666.PDF" TargetMode="External"/><Relationship Id="rId159" Type="http://schemas.openxmlformats.org/officeDocument/2006/relationships/hyperlink" Target="https://docs.cpuc.ca.gov/PublishedDocs/Published/G000/M550/K485/550485071.pdf" TargetMode="External"/><Relationship Id="rId107" Type="http://schemas.openxmlformats.org/officeDocument/2006/relationships/hyperlink" Target="https://docs.cpuc.ca.gov/PublishedDocs/Published/G000/M550/K485/550485071.pdf" TargetMode="External"/><Relationship Id="rId11" Type="http://schemas.openxmlformats.org/officeDocument/2006/relationships/hyperlink" Target="https://docs.cpuc.ca.gov/PublishedDocs/Published/G000/M550/K485/550485071.pdf" TargetMode="External"/><Relationship Id="rId32" Type="http://schemas.openxmlformats.org/officeDocument/2006/relationships/hyperlink" Target="https://docs.cpuc.ca.gov/PublishedDocs/Published/G000/M425/K515/425515575.PDF" TargetMode="External"/><Relationship Id="rId53" Type="http://schemas.openxmlformats.org/officeDocument/2006/relationships/hyperlink" Target="https://docs.cpuc.ca.gov/PublishedDocs/Published/G000/M620/K704/620704107.PDF" TargetMode="External"/><Relationship Id="rId74" Type="http://schemas.openxmlformats.org/officeDocument/2006/relationships/hyperlink" Target="https://acrobat.adobe.com/id/urn:aaid:sc:VA6C2:99c90760-e561-4a95-8fbe-82192adb864b" TargetMode="External"/><Relationship Id="rId128" Type="http://schemas.openxmlformats.org/officeDocument/2006/relationships/hyperlink" Target="https://www.socalgas.com/sustainability/research-development-demonstration" TargetMode="External"/><Relationship Id="rId149" Type="http://schemas.openxmlformats.org/officeDocument/2006/relationships/hyperlink" Target="https://www.socalgas.com/sites/default/files/2026-03/2025_Socalgas_RDD_Annual_Report.pdf" TargetMode="External"/><Relationship Id="rId5" Type="http://schemas.openxmlformats.org/officeDocument/2006/relationships/hyperlink" Target="https://docs.cpuc.ca.gov/PublishedDocs/Published/G000/M316/K704/316704666.PDF" TargetMode="External"/><Relationship Id="rId95" Type="http://schemas.openxmlformats.org/officeDocument/2006/relationships/hyperlink" Target="https://docs.cpuc.ca.gov/PublishedDocs/Published/G000/M461/K921/461921821.PDF" TargetMode="External"/><Relationship Id="rId160" Type="http://schemas.openxmlformats.org/officeDocument/2006/relationships/hyperlink" Target="https://docs.cpuc.ca.gov/PublishedDocs/Published/G000/M550/K485/550485071.pdf" TargetMode="External"/><Relationship Id="rId22" Type="http://schemas.openxmlformats.org/officeDocument/2006/relationships/hyperlink" Target="https://docs.cpuc.ca.gov/PublishedDocs/Published/G000/M425/K515/425515575.PDF" TargetMode="External"/><Relationship Id="rId43" Type="http://schemas.openxmlformats.org/officeDocument/2006/relationships/hyperlink" Target="https://docs.cpuc.ca.gov/PublishedDocs/Published/G000/M521/K196/521196139.PDF" TargetMode="External"/><Relationship Id="rId64" Type="http://schemas.openxmlformats.org/officeDocument/2006/relationships/hyperlink" Target="https://docs.cpuc.ca.gov/PublishedDocs/Published/G000/M521/K196/521196139.PDF" TargetMode="External"/><Relationship Id="rId118" Type="http://schemas.openxmlformats.org/officeDocument/2006/relationships/hyperlink" Target="https://docs.cpuc.ca.gov/PublishedDocs/Published/G000/M521/K196/521196139.PDF" TargetMode="External"/><Relationship Id="rId139" Type="http://schemas.openxmlformats.org/officeDocument/2006/relationships/hyperlink" Target="https://docs.cpuc.ca.gov/PublishedDocs/Published/G000/M461/K921/461921821.PDF" TargetMode="External"/><Relationship Id="rId85" Type="http://schemas.openxmlformats.org/officeDocument/2006/relationships/hyperlink" Target="https://docs.cpuc.ca.gov/PublishedDocs/Published/G000/M521/K196/521196139.PDF" TargetMode="External"/><Relationship Id="rId150" Type="http://schemas.openxmlformats.org/officeDocument/2006/relationships/hyperlink" Target="https://www.socalgas.com/sites/default/files/2026-03/2025_Socalgas_RDD_Annual_Report.pdf" TargetMode="External"/><Relationship Id="rId12" Type="http://schemas.openxmlformats.org/officeDocument/2006/relationships/hyperlink" Target="https://docs.cpuc.ca.gov/PublishedDocs/Published/G000/M316/K704/316704666.PDF" TargetMode="External"/><Relationship Id="rId17" Type="http://schemas.openxmlformats.org/officeDocument/2006/relationships/hyperlink" Target="https://docs.cpuc.ca.gov/PublishedDocs/Published/G000/M596/K290/596290082.PDF" TargetMode="External"/><Relationship Id="rId33" Type="http://schemas.openxmlformats.org/officeDocument/2006/relationships/hyperlink" Target="https://docs.cpuc.ca.gov/PublishedDocs/Published/G000/M521/K196/521196139.PDF" TargetMode="External"/><Relationship Id="rId38" Type="http://schemas.openxmlformats.org/officeDocument/2006/relationships/hyperlink" Target="https://docs.cpuc.ca.gov/PublishedDocs/Published/G000/M521/K196/521196139.PDF" TargetMode="External"/><Relationship Id="rId59" Type="http://schemas.openxmlformats.org/officeDocument/2006/relationships/hyperlink" Target="https://docs.cpuc.ca.gov/PublishedDocs/Published/G000/M500/K216/500216057.PDF" TargetMode="External"/><Relationship Id="rId103" Type="http://schemas.openxmlformats.org/officeDocument/2006/relationships/hyperlink" Target="https://docs.cpuc.ca.gov/PublishedDocs/Published/G000/M521/K196/521196139.PDF" TargetMode="External"/><Relationship Id="rId108" Type="http://schemas.openxmlformats.org/officeDocument/2006/relationships/hyperlink" Target="https://www.youtube.com/watch?v=76fhv8z4WMc&amp;list=PL77ZHiqxkonc74ZHX02e1xIDWqd4qAbl8&amp;index=26" TargetMode="External"/><Relationship Id="rId124" Type="http://schemas.openxmlformats.org/officeDocument/2006/relationships/hyperlink" Target="https://www.youtube.com/watch?v=76fhv8z4WMc&amp;list=PL77ZHiqxkonc74ZHX02e1xIDWqd4qAbl8&amp;index=26" TargetMode="External"/><Relationship Id="rId129" Type="http://schemas.openxmlformats.org/officeDocument/2006/relationships/hyperlink" Target="https://www.socalgas.com/sustainability/research-development-demonstration" TargetMode="External"/><Relationship Id="rId54" Type="http://schemas.openxmlformats.org/officeDocument/2006/relationships/hyperlink" Target="https://www.cpuc.ca.gov/-/media/cpuc-website/divisions/energy-division/documents/integrated-resource-plan-and-long-term-procurement-plan/2024-2026-irp-cycle-events-and-materials/2025_inputs_and_assumptions_slides-20260210.pdf" TargetMode="External"/><Relationship Id="rId70" Type="http://schemas.openxmlformats.org/officeDocument/2006/relationships/hyperlink" Target="https://docs.cpuc.ca.gov/PublishedDocs/Published/G000/M521/K196/521196139.PDF" TargetMode="External"/><Relationship Id="rId75" Type="http://schemas.openxmlformats.org/officeDocument/2006/relationships/hyperlink" Target="https://docs.cpuc.ca.gov/PublishedDocs/Published/G000/M372/K329/372329202.PDF" TargetMode="External"/><Relationship Id="rId91" Type="http://schemas.openxmlformats.org/officeDocument/2006/relationships/hyperlink" Target="https://docs.cpuc.ca.gov/PublishedDocs/Published/G000/M372/K329/372329202.PDF" TargetMode="External"/><Relationship Id="rId96" Type="http://schemas.openxmlformats.org/officeDocument/2006/relationships/hyperlink" Target="https://docs.cpuc.ca.gov/PublishedDocs/Published/G000/M521/K196/521196139.PDF" TargetMode="External"/><Relationship Id="rId140" Type="http://schemas.openxmlformats.org/officeDocument/2006/relationships/hyperlink" Target="https://docs.cpuc.ca.gov/PublishedDocs/Published/G000/M521/K196/521196139.PDF" TargetMode="External"/><Relationship Id="rId145" Type="http://schemas.openxmlformats.org/officeDocument/2006/relationships/hyperlink" Target="https://docs.cpuc.ca.gov/PublishedDocs/Published/G000/M550/K485/550485071.pdf" TargetMode="External"/><Relationship Id="rId161" Type="http://schemas.openxmlformats.org/officeDocument/2006/relationships/hyperlink" Target="https://docs.cpuc.ca.gov/PublishedDocs/Published/G000/M550/K485/550485071.pdf" TargetMode="External"/><Relationship Id="rId1" Type="http://schemas.openxmlformats.org/officeDocument/2006/relationships/hyperlink" Target="https://docs.cpuc.ca.gov/PublishedDocs/Published/G000/M316/K704/316704666.PDF" TargetMode="External"/><Relationship Id="rId6" Type="http://schemas.openxmlformats.org/officeDocument/2006/relationships/hyperlink" Target="https://docs.cpuc.ca.gov/PublishedDocs/Published/G000/M316/K704/316704666.PDF" TargetMode="External"/><Relationship Id="rId23" Type="http://schemas.openxmlformats.org/officeDocument/2006/relationships/hyperlink" Target="https://docs.cpuc.ca.gov/PublishedDocs/Published/G000/M521/K196/521196139.PDF" TargetMode="External"/><Relationship Id="rId28" Type="http://schemas.openxmlformats.org/officeDocument/2006/relationships/hyperlink" Target="https://docs.cpuc.ca.gov/PublishedDocs/Published/G000/M620/K704/620704107.PDF" TargetMode="External"/><Relationship Id="rId49" Type="http://schemas.openxmlformats.org/officeDocument/2006/relationships/hyperlink" Target="https://www.energy.ca.gov/sites/default/files/2025-10/CEC-500-2024-024-F.pdf" TargetMode="External"/><Relationship Id="rId114" Type="http://schemas.openxmlformats.org/officeDocument/2006/relationships/hyperlink" Target="https://docs.cpuc.ca.gov/PublishedDocs/Published/G000/M620/K704/620704107.PDF" TargetMode="External"/><Relationship Id="rId119" Type="http://schemas.openxmlformats.org/officeDocument/2006/relationships/hyperlink" Target="https://docs.cpuc.ca.gov/PublishedDocs/Published/G000/M316/K704/316704666.PDF" TargetMode="External"/><Relationship Id="rId44" Type="http://schemas.openxmlformats.org/officeDocument/2006/relationships/hyperlink" Target="https://docs.cpuc.ca.gov/PublishedDocs/Published/G000/M500/K216/500216057.PDF" TargetMode="External"/><Relationship Id="rId60" Type="http://schemas.openxmlformats.org/officeDocument/2006/relationships/hyperlink" Target="https://docs.cpuc.ca.gov/PublishedDocs/Published/G000/M596/K290/596290082.PDF" TargetMode="External"/><Relationship Id="rId65" Type="http://schemas.openxmlformats.org/officeDocument/2006/relationships/hyperlink" Target="https://docs.cpuc.ca.gov/PublishedDocs/Published/G000/M527/K228/527228647.PDF" TargetMode="External"/><Relationship Id="rId81" Type="http://schemas.openxmlformats.org/officeDocument/2006/relationships/hyperlink" Target="https://docs.cpuc.ca.gov/PublishedDocs/Published/G000/M550/K485/550485071.pdf" TargetMode="External"/><Relationship Id="rId86" Type="http://schemas.openxmlformats.org/officeDocument/2006/relationships/hyperlink" Target="https://docs.cpuc.ca.gov/PublishedDocs/Published/G000/M521/K196/521196139.PDF" TargetMode="External"/><Relationship Id="rId130" Type="http://schemas.openxmlformats.org/officeDocument/2006/relationships/hyperlink" Target="https://www.socalgas.com/sustainability/research-development-demonstration" TargetMode="External"/><Relationship Id="rId135" Type="http://schemas.openxmlformats.org/officeDocument/2006/relationships/hyperlink" Target="https://docs.cpuc.ca.gov/PublishedDocs/Published/G000/M596/K290/596290082.PDF" TargetMode="External"/><Relationship Id="rId151" Type="http://schemas.openxmlformats.org/officeDocument/2006/relationships/hyperlink" Target="https://www.socalgas.com/sites/default/files/2026-03/2025_Socalgas_RDD_Annual_Report.pdf" TargetMode="External"/><Relationship Id="rId156" Type="http://schemas.openxmlformats.org/officeDocument/2006/relationships/hyperlink" Target="https://docs.cpuc.ca.gov/PublishedDocs/Published/G000/M521/K196/521196139.PDF" TargetMode="External"/><Relationship Id="rId13" Type="http://schemas.openxmlformats.org/officeDocument/2006/relationships/hyperlink" Target="https://docs.cpuc.ca.gov/PublishedDocs/Published/G000/M521/K196/521196139.PDF" TargetMode="External"/><Relationship Id="rId18" Type="http://schemas.openxmlformats.org/officeDocument/2006/relationships/hyperlink" Target="https://docs.cpuc.ca.gov/PublishedDocs/Published/G000/M620/K704/620704107.PDF" TargetMode="External"/><Relationship Id="rId39" Type="http://schemas.openxmlformats.org/officeDocument/2006/relationships/hyperlink" Target="https://docs.cpuc.ca.gov/PublishedDocs/Published/G000/M521/K196/521196139.PDF" TargetMode="External"/><Relationship Id="rId109" Type="http://schemas.openxmlformats.org/officeDocument/2006/relationships/hyperlink" Target="https://docs.cpuc.ca.gov/PublishedDocs/Published/G000/M550/K485/550485071.pdf" TargetMode="External"/><Relationship Id="rId34" Type="http://schemas.openxmlformats.org/officeDocument/2006/relationships/hyperlink" Target="https://docs.cpuc.ca.gov/PublishedDocs/Published/G000/M521/K196/521196139.PDF" TargetMode="External"/><Relationship Id="rId50" Type="http://schemas.openxmlformats.org/officeDocument/2006/relationships/hyperlink" Target="https://docs.cpuc.ca.gov/PublishedDocs/Published/G000/M521/K196/521196139.PDF" TargetMode="External"/><Relationship Id="rId55" Type="http://schemas.openxmlformats.org/officeDocument/2006/relationships/hyperlink" Target="https://docs.cpuc.ca.gov/PublishedDocs/WORD_PDF/FINAL_DECISION/167664.PDF" TargetMode="External"/><Relationship Id="rId76" Type="http://schemas.openxmlformats.org/officeDocument/2006/relationships/hyperlink" Target="https://docs.cpuc.ca.gov/PublishedDocs/Published/G000/M461/K921/461921821.PDF" TargetMode="External"/><Relationship Id="rId97" Type="http://schemas.openxmlformats.org/officeDocument/2006/relationships/hyperlink" Target="https://docs.cpuc.ca.gov/PublishedDocs/Published/G000/M372/K329/372329202.PDF" TargetMode="External"/><Relationship Id="rId104" Type="http://schemas.openxmlformats.org/officeDocument/2006/relationships/hyperlink" Target="https://docs.cpuc.ca.gov/PublishedDocs/Published/G000/M507/K499/507499284.PDF" TargetMode="External"/><Relationship Id="rId120" Type="http://schemas.openxmlformats.org/officeDocument/2006/relationships/hyperlink" Target="https://docs.cpuc.ca.gov/PublishedDocs/Published/G000/M521/K196/521196139.PDF" TargetMode="External"/><Relationship Id="rId125" Type="http://schemas.openxmlformats.org/officeDocument/2006/relationships/hyperlink" Target="https://docs.cpuc.ca.gov/PublishedDocs/Published/G000/M550/K485/550485071.pdf" TargetMode="External"/><Relationship Id="rId141" Type="http://schemas.openxmlformats.org/officeDocument/2006/relationships/hyperlink" Target="https://docs.cpuc.ca.gov/PublishedDocs/Published/G000/M316/K704/316704666.PDF" TargetMode="External"/><Relationship Id="rId146" Type="http://schemas.openxmlformats.org/officeDocument/2006/relationships/hyperlink" Target="https://docs.cpuc.ca.gov/PublishedDocs/Published/G000/M550/K485/550485071.pdf" TargetMode="External"/><Relationship Id="rId7" Type="http://schemas.openxmlformats.org/officeDocument/2006/relationships/hyperlink" Target="https://docs.cpuc.ca.gov/PublishedDocs/Published/G000/M316/K704/316704666.PDF" TargetMode="External"/><Relationship Id="rId71" Type="http://schemas.openxmlformats.org/officeDocument/2006/relationships/hyperlink" Target="https://docs.cpuc.ca.gov/PublishedDocs/Published/G000/M316/K704/316704666.PDF" TargetMode="External"/><Relationship Id="rId92" Type="http://schemas.openxmlformats.org/officeDocument/2006/relationships/hyperlink" Target="https://docs.cpuc.ca.gov/PublishedDocs/Published/G000/M521/K196/521196139.PDF" TargetMode="External"/><Relationship Id="rId162" Type="http://schemas.openxmlformats.org/officeDocument/2006/relationships/hyperlink" Target="https://docs.cpuc.ca.gov/PublishedDocs/Published/G000/M596/K290/596290082.PDF" TargetMode="External"/><Relationship Id="rId2" Type="http://schemas.openxmlformats.org/officeDocument/2006/relationships/hyperlink" Target="https://docs.cpuc.ca.gov/PublishedDocs/Published/G000/M550/K485/550485071.pdf" TargetMode="External"/><Relationship Id="rId29" Type="http://schemas.openxmlformats.org/officeDocument/2006/relationships/hyperlink" Target="https://www.cpuc.ca.gov/-/media/cpuc-website/divisions/energy-division/documents/integrated-resource-plan-and-long-term-procurement-plan/2024-2026-irp-cycle-events-and-materials/2025_inputs_and_assumptions_slides-20260210.pdf" TargetMode="External"/><Relationship Id="rId24" Type="http://schemas.openxmlformats.org/officeDocument/2006/relationships/hyperlink" Target="https://docs.cpuc.ca.gov/PublishedDocs/Published/G000/M521/K196/521196139.PDF" TargetMode="External"/><Relationship Id="rId40" Type="http://schemas.openxmlformats.org/officeDocument/2006/relationships/hyperlink" Target="https://docs.cpuc.ca.gov/PublishedDocs/WORD_PDF/FINAL_DECISION/167664.PDF" TargetMode="External"/><Relationship Id="rId45" Type="http://schemas.openxmlformats.org/officeDocument/2006/relationships/hyperlink" Target="https://docs.cpuc.ca.gov/PublishedDocs/Published/G000/M521/K196/521196139.PDF" TargetMode="External"/><Relationship Id="rId66" Type="http://schemas.openxmlformats.org/officeDocument/2006/relationships/hyperlink" Target="https://docs.cpuc.ca.gov/PublishedDocs/Published/G000/M310/K136/310136145.PDF" TargetMode="External"/><Relationship Id="rId87" Type="http://schemas.openxmlformats.org/officeDocument/2006/relationships/hyperlink" Target="https://docs.cpuc.ca.gov/PublishedDocs/Published/G000/M614/K716/614716938.PDF" TargetMode="External"/><Relationship Id="rId110" Type="http://schemas.openxmlformats.org/officeDocument/2006/relationships/hyperlink" Target="https://www.socalgas.com/sustainability/research-development-demonstration" TargetMode="External"/><Relationship Id="rId115" Type="http://schemas.openxmlformats.org/officeDocument/2006/relationships/hyperlink" Target="https://docs.cpuc.ca.gov/PublishedDocs/Published/G000/M372/K329/372329202.PDF" TargetMode="External"/><Relationship Id="rId131" Type="http://schemas.openxmlformats.org/officeDocument/2006/relationships/hyperlink" Target="https://www.socalgas.com/sustainability/research-development-demonstration" TargetMode="External"/><Relationship Id="rId136" Type="http://schemas.openxmlformats.org/officeDocument/2006/relationships/hyperlink" Target="https://docs.cpuc.ca.gov/PublishedDocs/Published/G000/M620/K704/620704107.PDF" TargetMode="External"/><Relationship Id="rId157" Type="http://schemas.openxmlformats.org/officeDocument/2006/relationships/hyperlink" Target="https://docs.cpuc.ca.gov/PublishedDocs/Published/G000/M500/K216/500216057.PDF" TargetMode="External"/><Relationship Id="rId61" Type="http://schemas.openxmlformats.org/officeDocument/2006/relationships/hyperlink" Target="https://docs.cpuc.ca.gov/PublishedDocs/Published/G000/M507/K499/507499284.PDF" TargetMode="External"/><Relationship Id="rId82" Type="http://schemas.openxmlformats.org/officeDocument/2006/relationships/hyperlink" Target="https://docs.cpuc.ca.gov/PublishedDocs/Published/G000/M316/K704/316704666.PDF" TargetMode="External"/><Relationship Id="rId152" Type="http://schemas.openxmlformats.org/officeDocument/2006/relationships/hyperlink" Target="https://www.socalgas.com/sites/default/files/2026-03/2025_Socalgas_RDD_Annual_Report.pdf" TargetMode="External"/><Relationship Id="rId19" Type="http://schemas.openxmlformats.org/officeDocument/2006/relationships/hyperlink" Target="https://www.cpuc.ca.gov/-/media/cpuc-website/divisions/energy-division/documents/integrated-resource-plan-and-long-term-procurement-plan/2024-2026-irp-cycle-events-and-materials/2025_inputs_and_assumptions_slides-20260210.pdf" TargetMode="External"/><Relationship Id="rId14" Type="http://schemas.openxmlformats.org/officeDocument/2006/relationships/hyperlink" Target="https://docs.cpuc.ca.gov/PublishedDocs/Published/G000/M521/K196/521196139.PDF" TargetMode="External"/><Relationship Id="rId30" Type="http://schemas.openxmlformats.org/officeDocument/2006/relationships/hyperlink" Target="https://docs.cpuc.ca.gov/PublishedDocs/Published/G000/M521/K196/521196139.PDF" TargetMode="External"/><Relationship Id="rId35" Type="http://schemas.openxmlformats.org/officeDocument/2006/relationships/hyperlink" Target="https://docs.cpuc.ca.gov/PublishedDocs/Published/G000/M521/K196/521196139.PDF" TargetMode="External"/><Relationship Id="rId56" Type="http://schemas.openxmlformats.org/officeDocument/2006/relationships/hyperlink" Target="https://docs.cpuc.ca.gov/PublishedDocs/Published/G000/M425/K515/425515575.PDF" TargetMode="External"/><Relationship Id="rId77" Type="http://schemas.openxmlformats.org/officeDocument/2006/relationships/hyperlink" Target="https://docs.cpuc.ca.gov/PublishedDocs/Published/G000/M521/K196/521196139.PDF" TargetMode="External"/><Relationship Id="rId100" Type="http://schemas.openxmlformats.org/officeDocument/2006/relationships/hyperlink" Target="https://docs.cpuc.ca.gov/PublishedDocs/Published/G000/M521/K196/521196139.PDF" TargetMode="External"/><Relationship Id="rId105" Type="http://schemas.openxmlformats.org/officeDocument/2006/relationships/hyperlink" Target="https://docs.cpuc.ca.gov/PublishedDocs/Published/G000/M521/K196/521196139.PDF" TargetMode="External"/><Relationship Id="rId126" Type="http://schemas.openxmlformats.org/officeDocument/2006/relationships/hyperlink" Target="https://www.socalgas.com/sustainability/research-development-demonstration" TargetMode="External"/><Relationship Id="rId147" Type="http://schemas.openxmlformats.org/officeDocument/2006/relationships/hyperlink" Target="https://www.socalgas/sustainability/research-development-demonstration" TargetMode="External"/><Relationship Id="rId8" Type="http://schemas.openxmlformats.org/officeDocument/2006/relationships/hyperlink" Target="https://docs.cpuc.ca.gov/PublishedDocs/Published/G000/M550/K485/550485071.pdf" TargetMode="External"/><Relationship Id="rId51" Type="http://schemas.openxmlformats.org/officeDocument/2006/relationships/hyperlink" Target="https://docs.cpuc.ca.gov/PublishedDocs/Published/G000/M521/K196/521196139.PDF" TargetMode="External"/><Relationship Id="rId72" Type="http://schemas.openxmlformats.org/officeDocument/2006/relationships/hyperlink" Target="https://docs.cpuc.ca.gov/PublishedDocs/Published/G000/M350/K789/350789679.PDF" TargetMode="External"/><Relationship Id="rId93" Type="http://schemas.openxmlformats.org/officeDocument/2006/relationships/hyperlink" Target="https://docs.cpuc.ca.gov/PublishedDocs/Published/G000/M461/K921/461921821.PDF" TargetMode="External"/><Relationship Id="rId98" Type="http://schemas.openxmlformats.org/officeDocument/2006/relationships/hyperlink" Target="https://docs.cpuc.ca.gov/PublishedDocs/Published/G000/M461/K921/461921821.PDF" TargetMode="External"/><Relationship Id="rId121" Type="http://schemas.openxmlformats.org/officeDocument/2006/relationships/hyperlink" Target="https://www.youtube.com/watch?v=76fhv8z4WMc&amp;list=PL77ZHiqxkonc74ZHX02e1xIDWqd4qAbl8&amp;index=26" TargetMode="External"/><Relationship Id="rId142" Type="http://schemas.openxmlformats.org/officeDocument/2006/relationships/hyperlink" Target="https://docs.cpuc.ca.gov/PublishedDocs/Published/G000/M521/K196/521196139.PDF" TargetMode="External"/><Relationship Id="rId163" Type="http://schemas.openxmlformats.org/officeDocument/2006/relationships/hyperlink" Target="https://docs.cpuc.ca.gov/PublishedDocs/Published/G000/M620/K704/620704107.PDF" TargetMode="External"/><Relationship Id="rId3" Type="http://schemas.openxmlformats.org/officeDocument/2006/relationships/hyperlink" Target="https://docs.cpuc.ca.gov/PublishedDocs/Published/G000/M316/K704/316704666.PDF" TargetMode="External"/><Relationship Id="rId25" Type="http://schemas.openxmlformats.org/officeDocument/2006/relationships/hyperlink" Target="https://www.energy.ca.gov/sites/default/files/2025-10/CEC-500-2024-024-F.pdf" TargetMode="External"/><Relationship Id="rId46" Type="http://schemas.openxmlformats.org/officeDocument/2006/relationships/hyperlink" Target="https://docs.cpuc.ca.gov/PublishedDocs/Published/G000/M521/K196/521196139.PDF" TargetMode="External"/><Relationship Id="rId67" Type="http://schemas.openxmlformats.org/officeDocument/2006/relationships/hyperlink" Target="https://docs.cpuc.ca.gov/PublishedDocs/Published/G000/M372/K329/372329202.PDF" TargetMode="External"/><Relationship Id="rId116" Type="http://schemas.openxmlformats.org/officeDocument/2006/relationships/hyperlink" Target="https://docs.cpuc.ca.gov/PublishedDocs/Published/G000/M316/K704/316704666.PDF" TargetMode="External"/><Relationship Id="rId137" Type="http://schemas.openxmlformats.org/officeDocument/2006/relationships/hyperlink" Target="https://docs.cpuc.ca.gov/PublishedDocs/Published/G000/M372/K329/372329202.PDF" TargetMode="External"/><Relationship Id="rId158" Type="http://schemas.openxmlformats.org/officeDocument/2006/relationships/hyperlink" Target="https://docs.cpuc.ca.gov/PublishedDocs/Published/G000/M550/K485/550485071.pdf" TargetMode="External"/><Relationship Id="rId20" Type="http://schemas.openxmlformats.org/officeDocument/2006/relationships/hyperlink" Target="https://docs.cpuc.ca.gov/PublishedDocs/Published/G000/M521/K196/521196139.PDF" TargetMode="External"/><Relationship Id="rId41" Type="http://schemas.openxmlformats.org/officeDocument/2006/relationships/hyperlink" Target="https://docs.cpuc.ca.gov/PublishedDocs/Published/G000/M425/K515/425515575.PDF" TargetMode="External"/><Relationship Id="rId62" Type="http://schemas.openxmlformats.org/officeDocument/2006/relationships/hyperlink" Target="https://docs.cpuc.ca.gov/PublishedDocs/Published/G000/M461/K921/461921821.PDF" TargetMode="External"/><Relationship Id="rId83" Type="http://schemas.openxmlformats.org/officeDocument/2006/relationships/hyperlink" Target="https://docs.cpuc.ca.gov/PublishedDocs/Published/G000/M596/K290/596290082.PDF" TargetMode="External"/><Relationship Id="rId88" Type="http://schemas.openxmlformats.org/officeDocument/2006/relationships/hyperlink" Target="https://docs.cpuc.ca.gov/PublishedDocs/Published/G000/M372/K329/372329202.PDF" TargetMode="External"/><Relationship Id="rId111" Type="http://schemas.openxmlformats.org/officeDocument/2006/relationships/hyperlink" Target="https://docs.cpuc.ca.gov/PublishedDocs/Published/G000/M550/K485/550485071.pdf" TargetMode="External"/><Relationship Id="rId132" Type="http://schemas.openxmlformats.org/officeDocument/2006/relationships/hyperlink" Target="https://www.socalgas.com/sustainability/research-development-demonstration" TargetMode="External"/><Relationship Id="rId153" Type="http://schemas.openxmlformats.org/officeDocument/2006/relationships/hyperlink" Target="https://www.socalgas.com/sites/default/files/2026-03/2025_Socalgas_RDD_Annual_Report.pdf" TargetMode="External"/><Relationship Id="rId15" Type="http://schemas.openxmlformats.org/officeDocument/2006/relationships/hyperlink" Target="https://www.energy.ca.gov/sites/default/files/2025-10/CEC-500-2024-024-F.pdf" TargetMode="External"/><Relationship Id="rId36" Type="http://schemas.openxmlformats.org/officeDocument/2006/relationships/hyperlink" Target="https://www.pge.com/tariffs/assets/pdf/adviceletter/GAS_5222-G.pdf" TargetMode="External"/><Relationship Id="rId57" Type="http://schemas.openxmlformats.org/officeDocument/2006/relationships/hyperlink" Target="https://docs.cpuc.ca.gov/PublishedDocs/Published/G000/M521/K196/521196139.PDF" TargetMode="External"/><Relationship Id="rId106" Type="http://schemas.openxmlformats.org/officeDocument/2006/relationships/hyperlink" Target="https://docs.cpuc.ca.gov/PublishedDocs/WORD_PDF/FINAL_DECISION/167664.PDF" TargetMode="External"/><Relationship Id="rId127" Type="http://schemas.openxmlformats.org/officeDocument/2006/relationships/hyperlink" Target="https://www.socalgas.com/sustainability/research-development-demonstration" TargetMode="External"/><Relationship Id="rId10" Type="http://schemas.openxmlformats.org/officeDocument/2006/relationships/hyperlink" Target="https://docs.cpuc.ca.gov/PublishedDocs/Published/G000/M550/K485/550485071.pdf" TargetMode="External"/><Relationship Id="rId31" Type="http://schemas.openxmlformats.org/officeDocument/2006/relationships/hyperlink" Target="https://docs.cpuc.ca.gov/PublishedDocs/WORD_PDF/FINAL_DECISION/167664.PDF" TargetMode="External"/><Relationship Id="rId52" Type="http://schemas.openxmlformats.org/officeDocument/2006/relationships/hyperlink" Target="https://docs.cpuc.ca.gov/PublishedDocs/Published/G000/M596/K290/596290082.PDF" TargetMode="External"/><Relationship Id="rId73" Type="http://schemas.openxmlformats.org/officeDocument/2006/relationships/hyperlink" Target="https://docs.cpuc.ca.gov/PublishedDocs/Published/G000/M461/K921/461921821.PDF" TargetMode="External"/><Relationship Id="rId78" Type="http://schemas.openxmlformats.org/officeDocument/2006/relationships/hyperlink" Target="https://docs.cpuc.ca.gov/PublishedDocs/Published/G000/M316/K704/316704666.PDF" TargetMode="External"/><Relationship Id="rId94" Type="http://schemas.openxmlformats.org/officeDocument/2006/relationships/hyperlink" Target="https://docs.cpuc.ca.gov/PublishedDocs/Published/G000/M372/K329/372329202.PDF" TargetMode="External"/><Relationship Id="rId99" Type="http://schemas.openxmlformats.org/officeDocument/2006/relationships/hyperlink" Target="https://docs.cpuc.ca.gov/PublishedDocs/Published/G000/M461/K921/461921821.PDF" TargetMode="External"/><Relationship Id="rId101" Type="http://schemas.openxmlformats.org/officeDocument/2006/relationships/hyperlink" Target="https://docs.cpuc.ca.gov/PublishedDocs/WORD_PDF/FINAL_DECISION/167664.PDF" TargetMode="External"/><Relationship Id="rId122" Type="http://schemas.openxmlformats.org/officeDocument/2006/relationships/hyperlink" Target="https://www.energy.ca.gov/sites/default/files/2025-10/CEC-500-2024-024-F.pdf" TargetMode="External"/><Relationship Id="rId143" Type="http://schemas.openxmlformats.org/officeDocument/2006/relationships/hyperlink" Target="https://www.youtube.com/watch?v=76fhv8z4WMc&amp;list=PL77ZHiqxkonc74ZHX02e1xIDWqd4qAbl8&amp;index=26" TargetMode="External"/><Relationship Id="rId148" Type="http://schemas.openxmlformats.org/officeDocument/2006/relationships/hyperlink" Target="https://www.socalgas.com/sites/default/files/2026-03/2025_Socalgas_RDD_Annual_Report.pdf" TargetMode="External"/><Relationship Id="rId164" Type="http://schemas.openxmlformats.org/officeDocument/2006/relationships/hyperlink" Target="https://docs.cpuc.ca.gov/PublishedDocs/Published/G000/M521/K196/521196139.PDF" TargetMode="External"/><Relationship Id="rId4" Type="http://schemas.openxmlformats.org/officeDocument/2006/relationships/hyperlink" Target="https://www.gov.ca.gov/wp-content/uploads/2024/10/energy-EO-10-30-24.pdf" TargetMode="External"/><Relationship Id="rId9" Type="http://schemas.openxmlformats.org/officeDocument/2006/relationships/hyperlink" Target="https://docs.cpuc.ca.gov/PublishedDocs/Published/G000/M550/K485/550485071.pdf" TargetMode="External"/><Relationship Id="rId26" Type="http://schemas.openxmlformats.org/officeDocument/2006/relationships/hyperlink" Target="https://docs.cpuc.ca.gov/PublishedDocs/Published/G000/M521/K196/521196139.PDF" TargetMode="External"/><Relationship Id="rId47" Type="http://schemas.openxmlformats.org/officeDocument/2006/relationships/hyperlink" Target="https://docs.cpuc.ca.gov/PublishedDocs/Published/G000/M521/K196/521196139.PDF" TargetMode="External"/><Relationship Id="rId68" Type="http://schemas.openxmlformats.org/officeDocument/2006/relationships/hyperlink" Target="https://docs.cpuc.ca.gov/PublishedDocs/Published/G000/M461/K921/461921821.PDF" TargetMode="External"/><Relationship Id="rId89" Type="http://schemas.openxmlformats.org/officeDocument/2006/relationships/hyperlink" Target="https://docs.cpuc.ca.gov/PublishedDocs/Published/G000/M372/K329/372329202.PDF" TargetMode="External"/><Relationship Id="rId112" Type="http://schemas.openxmlformats.org/officeDocument/2006/relationships/hyperlink" Target="https://docs.cpuc.ca.gov/PublishedDocs/Published/G000/M550/K485/550485071.pdf" TargetMode="External"/><Relationship Id="rId133" Type="http://schemas.openxmlformats.org/officeDocument/2006/relationships/hyperlink" Target="https://docs.cpuc.ca.gov/PublishedDocs/Published/G000/M550/K485/550485071.pdf" TargetMode="External"/><Relationship Id="rId154" Type="http://schemas.openxmlformats.org/officeDocument/2006/relationships/hyperlink" Target="https://docs.cpuc.ca.gov/PublishedDocs/Published/G000/M550/K485/550485071.pdf" TargetMode="External"/><Relationship Id="rId16" Type="http://schemas.openxmlformats.org/officeDocument/2006/relationships/hyperlink" Target="https://docs.cpuc.ca.gov/PublishedDocs/Published/G000/M521/K196/521196139.PDF" TargetMode="External"/><Relationship Id="rId37" Type="http://schemas.openxmlformats.org/officeDocument/2006/relationships/hyperlink" Target="https://www.energy.ca.gov/sites/default/files/2025-10/CEC-500-2024-024-F.pdf" TargetMode="External"/><Relationship Id="rId58" Type="http://schemas.openxmlformats.org/officeDocument/2006/relationships/hyperlink" Target="https://docs.cpuc.ca.gov/PublishedDocs/Published/G000/M521/K196/521196139.PDF" TargetMode="External"/><Relationship Id="rId79" Type="http://schemas.openxmlformats.org/officeDocument/2006/relationships/hyperlink" Target="https://docs.cpuc.ca.gov/PublishedDocs/Published/G000/M550/K485/550485071.pdf" TargetMode="External"/><Relationship Id="rId102" Type="http://schemas.openxmlformats.org/officeDocument/2006/relationships/hyperlink" Target="https://docs.cpuc.ca.gov/PublishedDocs/Published/G000/M425/K515/425515575.PDF" TargetMode="External"/><Relationship Id="rId123" Type="http://schemas.openxmlformats.org/officeDocument/2006/relationships/hyperlink" Target="https://docs.cpuc.ca.gov/PublishedDocs/Published/G000/M550/K485/550485071.pdf" TargetMode="External"/><Relationship Id="rId144" Type="http://schemas.openxmlformats.org/officeDocument/2006/relationships/hyperlink" Target="https://www.energy.ca.gov/sites/default/files/2025-10/CEC-500-2024-024-F.pdf" TargetMode="External"/><Relationship Id="rId90" Type="http://schemas.openxmlformats.org/officeDocument/2006/relationships/hyperlink" Target="https://docs.cpuc.ca.gov/PublishedDocs/Published/G000/M461/K921/461921821.PDF" TargetMode="External"/><Relationship Id="rId165" Type="http://schemas.openxmlformats.org/officeDocument/2006/relationships/hyperlink" Target="https://docs.cpuc.ca.gov/PublishedDocs/Published/G000/M500/K216/500216057.PDF" TargetMode="External"/><Relationship Id="rId27" Type="http://schemas.openxmlformats.org/officeDocument/2006/relationships/hyperlink" Target="https://docs.cpuc.ca.gov/PublishedDocs/Published/G000/M596/K290/596290082.PDF" TargetMode="External"/><Relationship Id="rId48" Type="http://schemas.openxmlformats.org/officeDocument/2006/relationships/hyperlink" Target="https://www.pge.com/tariffs/assets/pdf/adviceletter/GAS_5222-G.pdf" TargetMode="External"/><Relationship Id="rId69" Type="http://schemas.openxmlformats.org/officeDocument/2006/relationships/hyperlink" Target="https://docs.cpuc.ca.gov/PublishedDocs/Published/G000/M521/K196/521196139.PDF" TargetMode="External"/><Relationship Id="rId113" Type="http://schemas.openxmlformats.org/officeDocument/2006/relationships/hyperlink" Target="https://docs.cpuc.ca.gov/PublishedDocs/Published/G000/M596/K290/596290082.PDF" TargetMode="External"/><Relationship Id="rId134" Type="http://schemas.openxmlformats.org/officeDocument/2006/relationships/hyperlink" Target="https://docs.cpuc.ca.gov/PublishedDocs/Published/G000/M550/K485/550485071.pdf" TargetMode="External"/><Relationship Id="rId80" Type="http://schemas.openxmlformats.org/officeDocument/2006/relationships/hyperlink" Target="https://docs.cpuc.ca.gov/PublishedDocs/Published/G000/M316/K704/316704666.PDF" TargetMode="External"/><Relationship Id="rId155" Type="http://schemas.openxmlformats.org/officeDocument/2006/relationships/hyperlink" Target="https://docs.cpuc.ca.gov/PublishedDocs/Published/G000/M550/K485/5504850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D0DC434EC93649981C54FC51FEC81B" ma:contentTypeVersion="21" ma:contentTypeDescription="Create a new document." ma:contentTypeScope="" ma:versionID="d261c57537e598a2b374b49e7d4c0853">
  <xsd:schema xmlns:xsd="http://www.w3.org/2001/XMLSchema" xmlns:xs="http://www.w3.org/2001/XMLSchema" xmlns:p="http://schemas.microsoft.com/office/2006/metadata/properties" xmlns:ns2="b2d2777c-a1f1-404e-80d5-4b6b735f5353" xmlns:ns3="5294eb0b-0742-491f-921b-4c8fe009313f" targetNamespace="http://schemas.microsoft.com/office/2006/metadata/properties" ma:root="true" ma:fieldsID="8c1dc81068d49f1c454182c23cecc95c" ns2:_="" ns3:_="">
    <xsd:import namespace="b2d2777c-a1f1-404e-80d5-4b6b735f5353"/>
    <xsd:import namespace="5294eb0b-0742-491f-921b-4c8fe00931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BCPLead_x0028_s_x0029_" minOccurs="0"/>
                <xsd:element ref="ns2:BCPName" minOccurs="0"/>
                <xsd:element ref="ns2:Positions" minOccurs="0"/>
                <xsd:element ref="ns2:OtherDivisionLeads" minOccurs="0"/>
                <xsd:element ref="ns2:DateSignedbyGovernor"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2777c-a1f1-404e-80d5-4b6b735f5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BCPLead_x0028_s_x0029_" ma:index="19" nillable="true" ma:displayName="ED Lead" ma:description="Energy Division lead for BCP" ma:format="Dropdown" ma:list="UserInfo" ma:SharePointGroup="0" ma:internalName="BCPLead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PName" ma:index="20" nillable="true" ma:displayName="BCP Name" ma:format="Dropdown" ma:internalName="BCPName">
      <xsd:simpleType>
        <xsd:restriction base="dms:Text">
          <xsd:maxLength value="255"/>
        </xsd:restriction>
      </xsd:simpleType>
    </xsd:element>
    <xsd:element name="Positions" ma:index="21" nillable="true" ma:displayName="Positions" ma:format="Dropdown" ma:internalName="Positions">
      <xsd:simpleType>
        <xsd:restriction base="dms:Note">
          <xsd:maxLength value="255"/>
        </xsd:restriction>
      </xsd:simpleType>
    </xsd:element>
    <xsd:element name="OtherDivisionLeads" ma:index="22" nillable="true" ma:displayName="Other Lead(s)" ma:format="Dropdown" ma:list="UserInfo" ma:SharePointGroup="0" ma:internalName="OtherDivisionLead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SignedbyGovernor" ma:index="23" nillable="true" ma:displayName="Date Signed by Governor" ma:format="DateTime" ma:internalName="DateSignedbyGovernor">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eb0b-0742-491f-921b-4c8fe00931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186ee5c-bc1d-4224-b12b-34228e56b313}" ma:internalName="TaxCatchAll" ma:showField="CatchAllData" ma:web="5294eb0b-0742-491f-921b-4c8fe0093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294eb0b-0742-491f-921b-4c8fe009313f" xsi:nil="true"/>
    <lcf76f155ced4ddcb4097134ff3c332f xmlns="b2d2777c-a1f1-404e-80d5-4b6b735f5353">
      <Terms xmlns="http://schemas.microsoft.com/office/infopath/2007/PartnerControls"/>
    </lcf76f155ced4ddcb4097134ff3c332f>
    <OtherDivisionLeads xmlns="b2d2777c-a1f1-404e-80d5-4b6b735f5353">
      <UserInfo>
        <DisplayName/>
        <AccountId xsi:nil="true"/>
        <AccountType/>
      </UserInfo>
    </OtherDivisionLeads>
    <BCPLead_x0028_s_x0029_ xmlns="b2d2777c-a1f1-404e-80d5-4b6b735f5353">
      <UserInfo>
        <DisplayName/>
        <AccountId xsi:nil="true"/>
        <AccountType/>
      </UserInfo>
    </BCPLead_x0028_s_x0029_>
    <Positions xmlns="b2d2777c-a1f1-404e-80d5-4b6b735f5353" xsi:nil="true"/>
    <BCPName xmlns="b2d2777c-a1f1-404e-80d5-4b6b735f5353" xsi:nil="true"/>
    <DateSignedbyGovernor xmlns="b2d2777c-a1f1-404e-80d5-4b6b735f5353" xsi:nil="true"/>
  </documentManagement>
</p:properties>
</file>

<file path=customXml/itemProps1.xml><?xml version="1.0" encoding="utf-8"?>
<ds:datastoreItem xmlns:ds="http://schemas.openxmlformats.org/officeDocument/2006/customXml" ds:itemID="{7781D879-7714-43F2-B374-A51677D0B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2777c-a1f1-404e-80d5-4b6b735f5353"/>
    <ds:schemaRef ds:uri="5294eb0b-0742-491f-921b-4c8fe0093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98E900-A8FC-4F0A-B4F5-B3269442F581}">
  <ds:schemaRefs>
    <ds:schemaRef ds:uri="http://schemas.openxmlformats.org/officeDocument/2006/bibliography"/>
  </ds:schemaRefs>
</ds:datastoreItem>
</file>

<file path=customXml/itemProps3.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4.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5294eb0b-0742-491f-921b-4c8fe009313f"/>
    <ds:schemaRef ds:uri="b2d2777c-a1f1-404e-80d5-4b6b735f535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173</ap:Pages>
  <ap:Words>39966</ap:Words>
  <ap:Characters>246191</ap:Characters>
  <ap:Application>Microsoft Office Word</ap:Application>
  <ap:DocSecurity>0</ap:DocSecurity>
  <ap:Lines>6312</ap:Lines>
  <ap:Paragraphs>1987</ap:Paragraphs>
  <ap:ScaleCrop>false</ap:ScaleCrop>
  <ap:Company/>
  <ap:LinksUpToDate>false</ap:LinksUpToDate>
  <ap:CharactersWithSpaces>284170</ap:CharactersWithSpaces>
  <ap:SharedDoc>false</ap:SharedDoc>
  <ap:HLinks>
    <vt:vector baseType="variant" size="1704">
      <vt:variant>
        <vt:i4>1310786</vt:i4>
      </vt:variant>
      <vt:variant>
        <vt:i4>354</vt:i4>
      </vt:variant>
      <vt:variant>
        <vt:i4>0</vt:i4>
      </vt:variant>
      <vt:variant>
        <vt:i4>5</vt:i4>
      </vt:variant>
      <vt:variant>
        <vt:lpwstr>https://docs.cpuc.ca.gov/PublishedDocs/Published/G000/M521/K196/521196139.PDF</vt:lpwstr>
      </vt:variant>
      <vt:variant>
        <vt:lpwstr/>
      </vt:variant>
      <vt:variant>
        <vt:i4>1310786</vt:i4>
      </vt:variant>
      <vt:variant>
        <vt:i4>351</vt:i4>
      </vt:variant>
      <vt:variant>
        <vt:i4>0</vt:i4>
      </vt:variant>
      <vt:variant>
        <vt:i4>5</vt:i4>
      </vt:variant>
      <vt:variant>
        <vt:lpwstr>https://docs.cpuc.ca.gov/PublishedDocs/Published/G000/M521/K196/521196139.PDF</vt:lpwstr>
      </vt:variant>
      <vt:variant>
        <vt:lpwstr/>
      </vt:variant>
      <vt:variant>
        <vt:i4>1310786</vt:i4>
      </vt:variant>
      <vt:variant>
        <vt:i4>348</vt:i4>
      </vt:variant>
      <vt:variant>
        <vt:i4>0</vt:i4>
      </vt:variant>
      <vt:variant>
        <vt:i4>5</vt:i4>
      </vt:variant>
      <vt:variant>
        <vt:lpwstr>https://docs.cpuc.ca.gov/PublishedDocs/Published/G000/M521/K196/521196139.PDF</vt:lpwstr>
      </vt:variant>
      <vt:variant>
        <vt:lpwstr/>
      </vt:variant>
      <vt:variant>
        <vt:i4>1310786</vt:i4>
      </vt:variant>
      <vt:variant>
        <vt:i4>345</vt:i4>
      </vt:variant>
      <vt:variant>
        <vt:i4>0</vt:i4>
      </vt:variant>
      <vt:variant>
        <vt:i4>5</vt:i4>
      </vt:variant>
      <vt:variant>
        <vt:lpwstr>https://docs.cpuc.ca.gov/PublishedDocs/Published/G000/M521/K196/521196139.PDF</vt:lpwstr>
      </vt:variant>
      <vt:variant>
        <vt:lpwstr/>
      </vt:variant>
      <vt:variant>
        <vt:i4>1310786</vt:i4>
      </vt:variant>
      <vt:variant>
        <vt:i4>342</vt:i4>
      </vt:variant>
      <vt:variant>
        <vt:i4>0</vt:i4>
      </vt:variant>
      <vt:variant>
        <vt:i4>5</vt:i4>
      </vt:variant>
      <vt:variant>
        <vt:lpwstr>https://docs.cpuc.ca.gov/PublishedDocs/Published/G000/M521/K196/521196139.PDF</vt:lpwstr>
      </vt:variant>
      <vt:variant>
        <vt:lpwstr/>
      </vt:variant>
      <vt:variant>
        <vt:i4>1310786</vt:i4>
      </vt:variant>
      <vt:variant>
        <vt:i4>339</vt:i4>
      </vt:variant>
      <vt:variant>
        <vt:i4>0</vt:i4>
      </vt:variant>
      <vt:variant>
        <vt:i4>5</vt:i4>
      </vt:variant>
      <vt:variant>
        <vt:lpwstr>https://docs.cpuc.ca.gov/PublishedDocs/Published/G000/M521/K196/521196139.PDF</vt:lpwstr>
      </vt:variant>
      <vt:variant>
        <vt:lpwstr/>
      </vt:variant>
      <vt:variant>
        <vt:i4>1310786</vt:i4>
      </vt:variant>
      <vt:variant>
        <vt:i4>336</vt:i4>
      </vt:variant>
      <vt:variant>
        <vt:i4>0</vt:i4>
      </vt:variant>
      <vt:variant>
        <vt:i4>5</vt:i4>
      </vt:variant>
      <vt:variant>
        <vt:lpwstr>https://docs.cpuc.ca.gov/PublishedDocs/Published/G000/M521/K196/521196139.PDF</vt:lpwstr>
      </vt:variant>
      <vt:variant>
        <vt:lpwstr/>
      </vt:variant>
      <vt:variant>
        <vt:i4>1310786</vt:i4>
      </vt:variant>
      <vt:variant>
        <vt:i4>333</vt:i4>
      </vt:variant>
      <vt:variant>
        <vt:i4>0</vt:i4>
      </vt:variant>
      <vt:variant>
        <vt:i4>5</vt:i4>
      </vt:variant>
      <vt:variant>
        <vt:lpwstr>https://docs.cpuc.ca.gov/PublishedDocs/Published/G000/M521/K196/521196139.PDF</vt:lpwstr>
      </vt:variant>
      <vt:variant>
        <vt:lpwstr/>
      </vt:variant>
      <vt:variant>
        <vt:i4>1310786</vt:i4>
      </vt:variant>
      <vt:variant>
        <vt:i4>330</vt:i4>
      </vt:variant>
      <vt:variant>
        <vt:i4>0</vt:i4>
      </vt:variant>
      <vt:variant>
        <vt:i4>5</vt:i4>
      </vt:variant>
      <vt:variant>
        <vt:lpwstr>https://docs.cpuc.ca.gov/PublishedDocs/Published/G000/M521/K196/521196139.PDF</vt:lpwstr>
      </vt:variant>
      <vt:variant>
        <vt:lpwstr/>
      </vt:variant>
      <vt:variant>
        <vt:i4>1310786</vt:i4>
      </vt:variant>
      <vt:variant>
        <vt:i4>327</vt:i4>
      </vt:variant>
      <vt:variant>
        <vt:i4>0</vt:i4>
      </vt:variant>
      <vt:variant>
        <vt:i4>5</vt:i4>
      </vt:variant>
      <vt:variant>
        <vt:lpwstr>https://docs.cpuc.ca.gov/PublishedDocs/Published/G000/M521/K196/521196139.PDF</vt:lpwstr>
      </vt:variant>
      <vt:variant>
        <vt:lpwstr/>
      </vt:variant>
      <vt:variant>
        <vt:i4>1310786</vt:i4>
      </vt:variant>
      <vt:variant>
        <vt:i4>324</vt:i4>
      </vt:variant>
      <vt:variant>
        <vt:i4>0</vt:i4>
      </vt:variant>
      <vt:variant>
        <vt:i4>5</vt:i4>
      </vt:variant>
      <vt:variant>
        <vt:lpwstr>https://docs.cpuc.ca.gov/PublishedDocs/Published/G000/M461/K921/461921821.PDF</vt:lpwstr>
      </vt:variant>
      <vt:variant>
        <vt:lpwstr/>
      </vt:variant>
      <vt:variant>
        <vt:i4>1310786</vt:i4>
      </vt:variant>
      <vt:variant>
        <vt:i4>321</vt:i4>
      </vt:variant>
      <vt:variant>
        <vt:i4>0</vt:i4>
      </vt:variant>
      <vt:variant>
        <vt:i4>5</vt:i4>
      </vt:variant>
      <vt:variant>
        <vt:lpwstr>https://docs.cpuc.ca.gov/PublishedDocs/Published/G000/M461/K921/461921821.PDF</vt:lpwstr>
      </vt:variant>
      <vt:variant>
        <vt:lpwstr/>
      </vt:variant>
      <vt:variant>
        <vt:i4>1310786</vt:i4>
      </vt:variant>
      <vt:variant>
        <vt:i4>318</vt:i4>
      </vt:variant>
      <vt:variant>
        <vt:i4>0</vt:i4>
      </vt:variant>
      <vt:variant>
        <vt:i4>5</vt:i4>
      </vt:variant>
      <vt:variant>
        <vt:lpwstr>https://docs.cpuc.ca.gov/PublishedDocs/Published/G000/M461/K921/461921821.PDF</vt:lpwstr>
      </vt:variant>
      <vt:variant>
        <vt:lpwstr/>
      </vt:variant>
      <vt:variant>
        <vt:i4>1310786</vt:i4>
      </vt:variant>
      <vt:variant>
        <vt:i4>315</vt:i4>
      </vt:variant>
      <vt:variant>
        <vt:i4>0</vt:i4>
      </vt:variant>
      <vt:variant>
        <vt:i4>5</vt:i4>
      </vt:variant>
      <vt:variant>
        <vt:lpwstr>https://docs.cpuc.ca.gov/PublishedDocs/Published/G000/M461/K921/461921821.PDF</vt:lpwstr>
      </vt:variant>
      <vt:variant>
        <vt:lpwstr/>
      </vt:variant>
      <vt:variant>
        <vt:i4>1114188</vt:i4>
      </vt:variant>
      <vt:variant>
        <vt:i4>312</vt:i4>
      </vt:variant>
      <vt:variant>
        <vt:i4>0</vt:i4>
      </vt:variant>
      <vt:variant>
        <vt:i4>5</vt:i4>
      </vt:variant>
      <vt:variant>
        <vt:lpwstr>https://docs.cpuc.ca.gov/PublishedDocs/Published/G000/M372/K329/372329202.PDF</vt:lpwstr>
      </vt:variant>
      <vt:variant>
        <vt:lpwstr/>
      </vt:variant>
      <vt:variant>
        <vt:i4>1114186</vt:i4>
      </vt:variant>
      <vt:variant>
        <vt:i4>309</vt:i4>
      </vt:variant>
      <vt:variant>
        <vt:i4>0</vt:i4>
      </vt:variant>
      <vt:variant>
        <vt:i4>5</vt:i4>
      </vt:variant>
      <vt:variant>
        <vt:lpwstr>https://docs.cpuc.ca.gov/PublishedDocs/Published/G000/M550/K485/550485071.pdf</vt:lpwstr>
      </vt:variant>
      <vt:variant>
        <vt:lpwstr/>
      </vt:variant>
      <vt:variant>
        <vt:i4>1966149</vt:i4>
      </vt:variant>
      <vt:variant>
        <vt:i4>306</vt:i4>
      </vt:variant>
      <vt:variant>
        <vt:i4>0</vt:i4>
      </vt:variant>
      <vt:variant>
        <vt:i4>5</vt:i4>
      </vt:variant>
      <vt:variant>
        <vt:lpwstr>https://docs.cpuc.ca.gov/PublishedDocs/Published/G000/M316/K704/316704666.PDF</vt:lpwstr>
      </vt:variant>
      <vt:variant>
        <vt:lpwstr/>
      </vt:variant>
      <vt:variant>
        <vt:i4>1966149</vt:i4>
      </vt:variant>
      <vt:variant>
        <vt:i4>303</vt:i4>
      </vt:variant>
      <vt:variant>
        <vt:i4>0</vt:i4>
      </vt:variant>
      <vt:variant>
        <vt:i4>5</vt:i4>
      </vt:variant>
      <vt:variant>
        <vt:lpwstr>https://docs.cpuc.ca.gov/PublishedDocs/Published/G000/M316/K704/316704666.PDF</vt:lpwstr>
      </vt:variant>
      <vt:variant>
        <vt:lpwstr/>
      </vt:variant>
      <vt:variant>
        <vt:i4>1966149</vt:i4>
      </vt:variant>
      <vt:variant>
        <vt:i4>300</vt:i4>
      </vt:variant>
      <vt:variant>
        <vt:i4>0</vt:i4>
      </vt:variant>
      <vt:variant>
        <vt:i4>5</vt:i4>
      </vt:variant>
      <vt:variant>
        <vt:lpwstr>https://docs.cpuc.ca.gov/PublishedDocs/Published/G000/M316/K704/316704666.PDF</vt:lpwstr>
      </vt:variant>
      <vt:variant>
        <vt:lpwstr/>
      </vt:variant>
      <vt:variant>
        <vt:i4>1966149</vt:i4>
      </vt:variant>
      <vt:variant>
        <vt:i4>297</vt:i4>
      </vt:variant>
      <vt:variant>
        <vt:i4>0</vt:i4>
      </vt:variant>
      <vt:variant>
        <vt:i4>5</vt:i4>
      </vt:variant>
      <vt:variant>
        <vt:lpwstr>https://docs.cpuc.ca.gov/PublishedDocs/Published/G000/M316/K704/316704666.PDF</vt:lpwstr>
      </vt:variant>
      <vt:variant>
        <vt:lpwstr/>
      </vt:variant>
      <vt:variant>
        <vt:i4>1310786</vt:i4>
      </vt:variant>
      <vt:variant>
        <vt:i4>294</vt:i4>
      </vt:variant>
      <vt:variant>
        <vt:i4>0</vt:i4>
      </vt:variant>
      <vt:variant>
        <vt:i4>5</vt:i4>
      </vt:variant>
      <vt:variant>
        <vt:lpwstr>https://docs.cpuc.ca.gov/PublishedDocs/Published/G000/M521/K196/521196139.PDF</vt:lpwstr>
      </vt:variant>
      <vt:variant>
        <vt:lpwstr/>
      </vt:variant>
      <vt:variant>
        <vt:i4>1310786</vt:i4>
      </vt:variant>
      <vt:variant>
        <vt:i4>291</vt:i4>
      </vt:variant>
      <vt:variant>
        <vt:i4>0</vt:i4>
      </vt:variant>
      <vt:variant>
        <vt:i4>5</vt:i4>
      </vt:variant>
      <vt:variant>
        <vt:lpwstr>https://docs.cpuc.ca.gov/PublishedDocs/Published/G000/M521/K196/521196139.PDF</vt:lpwstr>
      </vt:variant>
      <vt:variant>
        <vt:lpwstr/>
      </vt:variant>
      <vt:variant>
        <vt:i4>1310786</vt:i4>
      </vt:variant>
      <vt:variant>
        <vt:i4>288</vt:i4>
      </vt:variant>
      <vt:variant>
        <vt:i4>0</vt:i4>
      </vt:variant>
      <vt:variant>
        <vt:i4>5</vt:i4>
      </vt:variant>
      <vt:variant>
        <vt:lpwstr>https://docs.cpuc.ca.gov/PublishedDocs/Published/G000/M521/K196/521196139.PDF</vt:lpwstr>
      </vt:variant>
      <vt:variant>
        <vt:lpwstr/>
      </vt:variant>
      <vt:variant>
        <vt:i4>1310786</vt:i4>
      </vt:variant>
      <vt:variant>
        <vt:i4>285</vt:i4>
      </vt:variant>
      <vt:variant>
        <vt:i4>0</vt:i4>
      </vt:variant>
      <vt:variant>
        <vt:i4>5</vt:i4>
      </vt:variant>
      <vt:variant>
        <vt:lpwstr>https://docs.cpuc.ca.gov/PublishedDocs/Published/G000/M521/K196/521196139.PDF</vt:lpwstr>
      </vt:variant>
      <vt:variant>
        <vt:lpwstr/>
      </vt:variant>
      <vt:variant>
        <vt:i4>1310786</vt:i4>
      </vt:variant>
      <vt:variant>
        <vt:i4>282</vt:i4>
      </vt:variant>
      <vt:variant>
        <vt:i4>0</vt:i4>
      </vt:variant>
      <vt:variant>
        <vt:i4>5</vt:i4>
      </vt:variant>
      <vt:variant>
        <vt:lpwstr>https://docs.cpuc.ca.gov/PublishedDocs/Published/G000/M521/K196/521196139.PDF</vt:lpwstr>
      </vt:variant>
      <vt:variant>
        <vt:lpwstr/>
      </vt:variant>
      <vt:variant>
        <vt:i4>1310786</vt:i4>
      </vt:variant>
      <vt:variant>
        <vt:i4>279</vt:i4>
      </vt:variant>
      <vt:variant>
        <vt:i4>0</vt:i4>
      </vt:variant>
      <vt:variant>
        <vt:i4>5</vt:i4>
      </vt:variant>
      <vt:variant>
        <vt:lpwstr>https://docs.cpuc.ca.gov/PublishedDocs/Published/G000/M521/K196/521196139.PDF</vt:lpwstr>
      </vt:variant>
      <vt:variant>
        <vt:lpwstr/>
      </vt:variant>
      <vt:variant>
        <vt:i4>1310786</vt:i4>
      </vt:variant>
      <vt:variant>
        <vt:i4>276</vt:i4>
      </vt:variant>
      <vt:variant>
        <vt:i4>0</vt:i4>
      </vt:variant>
      <vt:variant>
        <vt:i4>5</vt:i4>
      </vt:variant>
      <vt:variant>
        <vt:lpwstr>https://docs.cpuc.ca.gov/PublishedDocs/Published/G000/M521/K196/521196139.PDF</vt:lpwstr>
      </vt:variant>
      <vt:variant>
        <vt:lpwstr/>
      </vt:variant>
      <vt:variant>
        <vt:i4>1310786</vt:i4>
      </vt:variant>
      <vt:variant>
        <vt:i4>273</vt:i4>
      </vt:variant>
      <vt:variant>
        <vt:i4>0</vt:i4>
      </vt:variant>
      <vt:variant>
        <vt:i4>5</vt:i4>
      </vt:variant>
      <vt:variant>
        <vt:lpwstr>https://docs.cpuc.ca.gov/PublishedDocs/Published/G000/M521/K196/521196139.PDF</vt:lpwstr>
      </vt:variant>
      <vt:variant>
        <vt:lpwstr/>
      </vt:variant>
      <vt:variant>
        <vt:i4>1310786</vt:i4>
      </vt:variant>
      <vt:variant>
        <vt:i4>270</vt:i4>
      </vt:variant>
      <vt:variant>
        <vt:i4>0</vt:i4>
      </vt:variant>
      <vt:variant>
        <vt:i4>5</vt:i4>
      </vt:variant>
      <vt:variant>
        <vt:lpwstr>https://docs.cpuc.ca.gov/PublishedDocs/Published/G000/M521/K196/521196139.PDF</vt:lpwstr>
      </vt:variant>
      <vt:variant>
        <vt:lpwstr/>
      </vt:variant>
      <vt:variant>
        <vt:i4>1310786</vt:i4>
      </vt:variant>
      <vt:variant>
        <vt:i4>267</vt:i4>
      </vt:variant>
      <vt:variant>
        <vt:i4>0</vt:i4>
      </vt:variant>
      <vt:variant>
        <vt:i4>5</vt:i4>
      </vt:variant>
      <vt:variant>
        <vt:lpwstr>https://docs.cpuc.ca.gov/PublishedDocs/Published/G000/M521/K196/521196139.PDF</vt:lpwstr>
      </vt:variant>
      <vt:variant>
        <vt:lpwstr/>
      </vt:variant>
      <vt:variant>
        <vt:i4>1310786</vt:i4>
      </vt:variant>
      <vt:variant>
        <vt:i4>264</vt:i4>
      </vt:variant>
      <vt:variant>
        <vt:i4>0</vt:i4>
      </vt:variant>
      <vt:variant>
        <vt:i4>5</vt:i4>
      </vt:variant>
      <vt:variant>
        <vt:lpwstr>https://docs.cpuc.ca.gov/PublishedDocs/Published/G000/M461/K921/461921821.PDF</vt:lpwstr>
      </vt:variant>
      <vt:variant>
        <vt:lpwstr/>
      </vt:variant>
      <vt:variant>
        <vt:i4>1310786</vt:i4>
      </vt:variant>
      <vt:variant>
        <vt:i4>261</vt:i4>
      </vt:variant>
      <vt:variant>
        <vt:i4>0</vt:i4>
      </vt:variant>
      <vt:variant>
        <vt:i4>5</vt:i4>
      </vt:variant>
      <vt:variant>
        <vt:lpwstr>https://docs.cpuc.ca.gov/PublishedDocs/Published/G000/M461/K921/461921821.PDF</vt:lpwstr>
      </vt:variant>
      <vt:variant>
        <vt:lpwstr/>
      </vt:variant>
      <vt:variant>
        <vt:i4>1310786</vt:i4>
      </vt:variant>
      <vt:variant>
        <vt:i4>258</vt:i4>
      </vt:variant>
      <vt:variant>
        <vt:i4>0</vt:i4>
      </vt:variant>
      <vt:variant>
        <vt:i4>5</vt:i4>
      </vt:variant>
      <vt:variant>
        <vt:lpwstr>https://docs.cpuc.ca.gov/PublishedDocs/Published/G000/M461/K921/461921821.PDF</vt:lpwstr>
      </vt:variant>
      <vt:variant>
        <vt:lpwstr/>
      </vt:variant>
      <vt:variant>
        <vt:i4>1310786</vt:i4>
      </vt:variant>
      <vt:variant>
        <vt:i4>255</vt:i4>
      </vt:variant>
      <vt:variant>
        <vt:i4>0</vt:i4>
      </vt:variant>
      <vt:variant>
        <vt:i4>5</vt:i4>
      </vt:variant>
      <vt:variant>
        <vt:lpwstr>https://docs.cpuc.ca.gov/PublishedDocs/Published/G000/M461/K921/461921821.PDF</vt:lpwstr>
      </vt:variant>
      <vt:variant>
        <vt:lpwstr/>
      </vt:variant>
      <vt:variant>
        <vt:i4>1114188</vt:i4>
      </vt:variant>
      <vt:variant>
        <vt:i4>252</vt:i4>
      </vt:variant>
      <vt:variant>
        <vt:i4>0</vt:i4>
      </vt:variant>
      <vt:variant>
        <vt:i4>5</vt:i4>
      </vt:variant>
      <vt:variant>
        <vt:lpwstr>https://docs.cpuc.ca.gov/PublishedDocs/Published/G000/M372/K329/372329202.PDF</vt:lpwstr>
      </vt:variant>
      <vt:variant>
        <vt:lpwstr/>
      </vt:variant>
      <vt:variant>
        <vt:i4>1114186</vt:i4>
      </vt:variant>
      <vt:variant>
        <vt:i4>249</vt:i4>
      </vt:variant>
      <vt:variant>
        <vt:i4>0</vt:i4>
      </vt:variant>
      <vt:variant>
        <vt:i4>5</vt:i4>
      </vt:variant>
      <vt:variant>
        <vt:lpwstr>https://docs.cpuc.ca.gov/PublishedDocs/Published/G000/M550/K485/550485071.pdf</vt:lpwstr>
      </vt:variant>
      <vt:variant>
        <vt:lpwstr/>
      </vt:variant>
      <vt:variant>
        <vt:i4>1966149</vt:i4>
      </vt:variant>
      <vt:variant>
        <vt:i4>246</vt:i4>
      </vt:variant>
      <vt:variant>
        <vt:i4>0</vt:i4>
      </vt:variant>
      <vt:variant>
        <vt:i4>5</vt:i4>
      </vt:variant>
      <vt:variant>
        <vt:lpwstr>https://docs.cpuc.ca.gov/PublishedDocs/Published/G000/M316/K704/316704666.PDF</vt:lpwstr>
      </vt:variant>
      <vt:variant>
        <vt:lpwstr/>
      </vt:variant>
      <vt:variant>
        <vt:i4>1966149</vt:i4>
      </vt:variant>
      <vt:variant>
        <vt:i4>243</vt:i4>
      </vt:variant>
      <vt:variant>
        <vt:i4>0</vt:i4>
      </vt:variant>
      <vt:variant>
        <vt:i4>5</vt:i4>
      </vt:variant>
      <vt:variant>
        <vt:lpwstr>https://docs.cpuc.ca.gov/PublishedDocs/Published/G000/M316/K704/316704666.PDF</vt:lpwstr>
      </vt:variant>
      <vt:variant>
        <vt:lpwstr/>
      </vt:variant>
      <vt:variant>
        <vt:i4>1966149</vt:i4>
      </vt:variant>
      <vt:variant>
        <vt:i4>240</vt:i4>
      </vt:variant>
      <vt:variant>
        <vt:i4>0</vt:i4>
      </vt:variant>
      <vt:variant>
        <vt:i4>5</vt:i4>
      </vt:variant>
      <vt:variant>
        <vt:lpwstr>https://docs.cpuc.ca.gov/PublishedDocs/Published/G000/M316/K704/316704666.PDF</vt:lpwstr>
      </vt:variant>
      <vt:variant>
        <vt:lpwstr/>
      </vt:variant>
      <vt:variant>
        <vt:i4>1966149</vt:i4>
      </vt:variant>
      <vt:variant>
        <vt:i4>237</vt:i4>
      </vt:variant>
      <vt:variant>
        <vt:i4>0</vt:i4>
      </vt:variant>
      <vt:variant>
        <vt:i4>5</vt:i4>
      </vt:variant>
      <vt:variant>
        <vt:lpwstr>https://docs.cpuc.ca.gov/PublishedDocs/Published/G000/M316/K704/316704666.PDF</vt:lpwstr>
      </vt:variant>
      <vt:variant>
        <vt:lpwstr/>
      </vt:variant>
      <vt:variant>
        <vt:i4>1310786</vt:i4>
      </vt:variant>
      <vt:variant>
        <vt:i4>234</vt:i4>
      </vt:variant>
      <vt:variant>
        <vt:i4>0</vt:i4>
      </vt:variant>
      <vt:variant>
        <vt:i4>5</vt:i4>
      </vt:variant>
      <vt:variant>
        <vt:lpwstr>https://docs.cpuc.ca.gov/PublishedDocs/Published/G000/M521/K196/521196139.PDF</vt:lpwstr>
      </vt:variant>
      <vt:variant>
        <vt:lpwstr/>
      </vt:variant>
      <vt:variant>
        <vt:i4>1310786</vt:i4>
      </vt:variant>
      <vt:variant>
        <vt:i4>231</vt:i4>
      </vt:variant>
      <vt:variant>
        <vt:i4>0</vt:i4>
      </vt:variant>
      <vt:variant>
        <vt:i4>5</vt:i4>
      </vt:variant>
      <vt:variant>
        <vt:lpwstr>https://docs.cpuc.ca.gov/PublishedDocs/Published/G000/M521/K196/521196139.PDF</vt:lpwstr>
      </vt:variant>
      <vt:variant>
        <vt:lpwstr/>
      </vt:variant>
      <vt:variant>
        <vt:i4>1310786</vt:i4>
      </vt:variant>
      <vt:variant>
        <vt:i4>228</vt:i4>
      </vt:variant>
      <vt:variant>
        <vt:i4>0</vt:i4>
      </vt:variant>
      <vt:variant>
        <vt:i4>5</vt:i4>
      </vt:variant>
      <vt:variant>
        <vt:lpwstr>https://docs.cpuc.ca.gov/PublishedDocs/Published/G000/M521/K196/521196139.PDF</vt:lpwstr>
      </vt:variant>
      <vt:variant>
        <vt:lpwstr/>
      </vt:variant>
      <vt:variant>
        <vt:i4>1310786</vt:i4>
      </vt:variant>
      <vt:variant>
        <vt:i4>225</vt:i4>
      </vt:variant>
      <vt:variant>
        <vt:i4>0</vt:i4>
      </vt:variant>
      <vt:variant>
        <vt:i4>5</vt:i4>
      </vt:variant>
      <vt:variant>
        <vt:lpwstr>https://docs.cpuc.ca.gov/PublishedDocs/Published/G000/M521/K196/521196139.PDF</vt:lpwstr>
      </vt:variant>
      <vt:variant>
        <vt:lpwstr/>
      </vt:variant>
      <vt:variant>
        <vt:i4>1310786</vt:i4>
      </vt:variant>
      <vt:variant>
        <vt:i4>222</vt:i4>
      </vt:variant>
      <vt:variant>
        <vt:i4>0</vt:i4>
      </vt:variant>
      <vt:variant>
        <vt:i4>5</vt:i4>
      </vt:variant>
      <vt:variant>
        <vt:lpwstr>https://docs.cpuc.ca.gov/PublishedDocs/Published/G000/M521/K196/521196139.PDF</vt:lpwstr>
      </vt:variant>
      <vt:variant>
        <vt:lpwstr/>
      </vt:variant>
      <vt:variant>
        <vt:i4>1310786</vt:i4>
      </vt:variant>
      <vt:variant>
        <vt:i4>219</vt:i4>
      </vt:variant>
      <vt:variant>
        <vt:i4>0</vt:i4>
      </vt:variant>
      <vt:variant>
        <vt:i4>5</vt:i4>
      </vt:variant>
      <vt:variant>
        <vt:lpwstr>https://docs.cpuc.ca.gov/PublishedDocs/Published/G000/M521/K196/521196139.PDF</vt:lpwstr>
      </vt:variant>
      <vt:variant>
        <vt:lpwstr/>
      </vt:variant>
      <vt:variant>
        <vt:i4>1310786</vt:i4>
      </vt:variant>
      <vt:variant>
        <vt:i4>216</vt:i4>
      </vt:variant>
      <vt:variant>
        <vt:i4>0</vt:i4>
      </vt:variant>
      <vt:variant>
        <vt:i4>5</vt:i4>
      </vt:variant>
      <vt:variant>
        <vt:lpwstr>https://docs.cpuc.ca.gov/PublishedDocs/Published/G000/M521/K196/521196139.PDF</vt:lpwstr>
      </vt:variant>
      <vt:variant>
        <vt:lpwstr/>
      </vt:variant>
      <vt:variant>
        <vt:i4>1310786</vt:i4>
      </vt:variant>
      <vt:variant>
        <vt:i4>213</vt:i4>
      </vt:variant>
      <vt:variant>
        <vt:i4>0</vt:i4>
      </vt:variant>
      <vt:variant>
        <vt:i4>5</vt:i4>
      </vt:variant>
      <vt:variant>
        <vt:lpwstr>https://docs.cpuc.ca.gov/PublishedDocs/Published/G000/M521/K196/521196139.PDF</vt:lpwstr>
      </vt:variant>
      <vt:variant>
        <vt:lpwstr/>
      </vt:variant>
      <vt:variant>
        <vt:i4>1310786</vt:i4>
      </vt:variant>
      <vt:variant>
        <vt:i4>210</vt:i4>
      </vt:variant>
      <vt:variant>
        <vt:i4>0</vt:i4>
      </vt:variant>
      <vt:variant>
        <vt:i4>5</vt:i4>
      </vt:variant>
      <vt:variant>
        <vt:lpwstr>https://docs.cpuc.ca.gov/PublishedDocs/Published/G000/M521/K196/521196139.PDF</vt:lpwstr>
      </vt:variant>
      <vt:variant>
        <vt:lpwstr/>
      </vt:variant>
      <vt:variant>
        <vt:i4>1310786</vt:i4>
      </vt:variant>
      <vt:variant>
        <vt:i4>207</vt:i4>
      </vt:variant>
      <vt:variant>
        <vt:i4>0</vt:i4>
      </vt:variant>
      <vt:variant>
        <vt:i4>5</vt:i4>
      </vt:variant>
      <vt:variant>
        <vt:lpwstr>https://docs.cpuc.ca.gov/PublishedDocs/Published/G000/M521/K196/521196139.PDF</vt:lpwstr>
      </vt:variant>
      <vt:variant>
        <vt:lpwstr/>
      </vt:variant>
      <vt:variant>
        <vt:i4>1310786</vt:i4>
      </vt:variant>
      <vt:variant>
        <vt:i4>204</vt:i4>
      </vt:variant>
      <vt:variant>
        <vt:i4>0</vt:i4>
      </vt:variant>
      <vt:variant>
        <vt:i4>5</vt:i4>
      </vt:variant>
      <vt:variant>
        <vt:lpwstr>https://docs.cpuc.ca.gov/PublishedDocs/Published/G000/M461/K921/461921821.PDF</vt:lpwstr>
      </vt:variant>
      <vt:variant>
        <vt:lpwstr/>
      </vt:variant>
      <vt:variant>
        <vt:i4>1310786</vt:i4>
      </vt:variant>
      <vt:variant>
        <vt:i4>201</vt:i4>
      </vt:variant>
      <vt:variant>
        <vt:i4>0</vt:i4>
      </vt:variant>
      <vt:variant>
        <vt:i4>5</vt:i4>
      </vt:variant>
      <vt:variant>
        <vt:lpwstr>https://docs.cpuc.ca.gov/PublishedDocs/Published/G000/M461/K921/461921821.PDF</vt:lpwstr>
      </vt:variant>
      <vt:variant>
        <vt:lpwstr/>
      </vt:variant>
      <vt:variant>
        <vt:i4>1310786</vt:i4>
      </vt:variant>
      <vt:variant>
        <vt:i4>198</vt:i4>
      </vt:variant>
      <vt:variant>
        <vt:i4>0</vt:i4>
      </vt:variant>
      <vt:variant>
        <vt:i4>5</vt:i4>
      </vt:variant>
      <vt:variant>
        <vt:lpwstr>https://docs.cpuc.ca.gov/PublishedDocs/Published/G000/M461/K921/461921821.PDF</vt:lpwstr>
      </vt:variant>
      <vt:variant>
        <vt:lpwstr/>
      </vt:variant>
      <vt:variant>
        <vt:i4>1310786</vt:i4>
      </vt:variant>
      <vt:variant>
        <vt:i4>195</vt:i4>
      </vt:variant>
      <vt:variant>
        <vt:i4>0</vt:i4>
      </vt:variant>
      <vt:variant>
        <vt:i4>5</vt:i4>
      </vt:variant>
      <vt:variant>
        <vt:lpwstr>https://docs.cpuc.ca.gov/PublishedDocs/Published/G000/M461/K921/461921821.PDF</vt:lpwstr>
      </vt:variant>
      <vt:variant>
        <vt:lpwstr/>
      </vt:variant>
      <vt:variant>
        <vt:i4>1114188</vt:i4>
      </vt:variant>
      <vt:variant>
        <vt:i4>192</vt:i4>
      </vt:variant>
      <vt:variant>
        <vt:i4>0</vt:i4>
      </vt:variant>
      <vt:variant>
        <vt:i4>5</vt:i4>
      </vt:variant>
      <vt:variant>
        <vt:lpwstr>https://docs.cpuc.ca.gov/PublishedDocs/Published/G000/M372/K329/372329202.PDF</vt:lpwstr>
      </vt:variant>
      <vt:variant>
        <vt:lpwstr/>
      </vt:variant>
      <vt:variant>
        <vt:i4>1114186</vt:i4>
      </vt:variant>
      <vt:variant>
        <vt:i4>189</vt:i4>
      </vt:variant>
      <vt:variant>
        <vt:i4>0</vt:i4>
      </vt:variant>
      <vt:variant>
        <vt:i4>5</vt:i4>
      </vt:variant>
      <vt:variant>
        <vt:lpwstr>https://docs.cpuc.ca.gov/PublishedDocs/Published/G000/M550/K485/550485071.pdf</vt:lpwstr>
      </vt:variant>
      <vt:variant>
        <vt:lpwstr/>
      </vt:variant>
      <vt:variant>
        <vt:i4>1966149</vt:i4>
      </vt:variant>
      <vt:variant>
        <vt:i4>186</vt:i4>
      </vt:variant>
      <vt:variant>
        <vt:i4>0</vt:i4>
      </vt:variant>
      <vt:variant>
        <vt:i4>5</vt:i4>
      </vt:variant>
      <vt:variant>
        <vt:lpwstr>https://docs.cpuc.ca.gov/PublishedDocs/Published/G000/M316/K704/316704666.PDF</vt:lpwstr>
      </vt:variant>
      <vt:variant>
        <vt:lpwstr/>
      </vt:variant>
      <vt:variant>
        <vt:i4>1966149</vt:i4>
      </vt:variant>
      <vt:variant>
        <vt:i4>183</vt:i4>
      </vt:variant>
      <vt:variant>
        <vt:i4>0</vt:i4>
      </vt:variant>
      <vt:variant>
        <vt:i4>5</vt:i4>
      </vt:variant>
      <vt:variant>
        <vt:lpwstr>https://docs.cpuc.ca.gov/PublishedDocs/Published/G000/M316/K704/316704666.PDF</vt:lpwstr>
      </vt:variant>
      <vt:variant>
        <vt:lpwstr/>
      </vt:variant>
      <vt:variant>
        <vt:i4>1966149</vt:i4>
      </vt:variant>
      <vt:variant>
        <vt:i4>180</vt:i4>
      </vt:variant>
      <vt:variant>
        <vt:i4>0</vt:i4>
      </vt:variant>
      <vt:variant>
        <vt:i4>5</vt:i4>
      </vt:variant>
      <vt:variant>
        <vt:lpwstr>https://docs.cpuc.ca.gov/PublishedDocs/Published/G000/M316/K704/316704666.PDF</vt:lpwstr>
      </vt:variant>
      <vt:variant>
        <vt:lpwstr/>
      </vt:variant>
      <vt:variant>
        <vt:i4>1966149</vt:i4>
      </vt:variant>
      <vt:variant>
        <vt:i4>177</vt:i4>
      </vt:variant>
      <vt:variant>
        <vt:i4>0</vt:i4>
      </vt:variant>
      <vt:variant>
        <vt:i4>5</vt:i4>
      </vt:variant>
      <vt:variant>
        <vt:lpwstr>https://docs.cpuc.ca.gov/PublishedDocs/Published/G000/M316/K704/316704666.PDF</vt:lpwstr>
      </vt:variant>
      <vt:variant>
        <vt:lpwstr/>
      </vt:variant>
      <vt:variant>
        <vt:i4>1310786</vt:i4>
      </vt:variant>
      <vt:variant>
        <vt:i4>174</vt:i4>
      </vt:variant>
      <vt:variant>
        <vt:i4>0</vt:i4>
      </vt:variant>
      <vt:variant>
        <vt:i4>5</vt:i4>
      </vt:variant>
      <vt:variant>
        <vt:lpwstr>https://docs.cpuc.ca.gov/PublishedDocs/Published/G000/M521/K196/521196139.PDF</vt:lpwstr>
      </vt:variant>
      <vt:variant>
        <vt:lpwstr/>
      </vt:variant>
      <vt:variant>
        <vt:i4>1310786</vt:i4>
      </vt:variant>
      <vt:variant>
        <vt:i4>171</vt:i4>
      </vt:variant>
      <vt:variant>
        <vt:i4>0</vt:i4>
      </vt:variant>
      <vt:variant>
        <vt:i4>5</vt:i4>
      </vt:variant>
      <vt:variant>
        <vt:lpwstr>https://docs.cpuc.ca.gov/PublishedDocs/Published/G000/M521/K196/521196139.PDF</vt:lpwstr>
      </vt:variant>
      <vt:variant>
        <vt:lpwstr/>
      </vt:variant>
      <vt:variant>
        <vt:i4>1310786</vt:i4>
      </vt:variant>
      <vt:variant>
        <vt:i4>168</vt:i4>
      </vt:variant>
      <vt:variant>
        <vt:i4>0</vt:i4>
      </vt:variant>
      <vt:variant>
        <vt:i4>5</vt:i4>
      </vt:variant>
      <vt:variant>
        <vt:lpwstr>https://docs.cpuc.ca.gov/PublishedDocs/Published/G000/M521/K196/521196139.PDF</vt:lpwstr>
      </vt:variant>
      <vt:variant>
        <vt:lpwstr/>
      </vt:variant>
      <vt:variant>
        <vt:i4>1310786</vt:i4>
      </vt:variant>
      <vt:variant>
        <vt:i4>165</vt:i4>
      </vt:variant>
      <vt:variant>
        <vt:i4>0</vt:i4>
      </vt:variant>
      <vt:variant>
        <vt:i4>5</vt:i4>
      </vt:variant>
      <vt:variant>
        <vt:lpwstr>https://docs.cpuc.ca.gov/PublishedDocs/Published/G000/M521/K196/521196139.PDF</vt:lpwstr>
      </vt:variant>
      <vt:variant>
        <vt:lpwstr/>
      </vt:variant>
      <vt:variant>
        <vt:i4>1310786</vt:i4>
      </vt:variant>
      <vt:variant>
        <vt:i4>162</vt:i4>
      </vt:variant>
      <vt:variant>
        <vt:i4>0</vt:i4>
      </vt:variant>
      <vt:variant>
        <vt:i4>5</vt:i4>
      </vt:variant>
      <vt:variant>
        <vt:lpwstr>https://docs.cpuc.ca.gov/PublishedDocs/Published/G000/M521/K196/521196139.PDF</vt:lpwstr>
      </vt:variant>
      <vt:variant>
        <vt:lpwstr/>
      </vt:variant>
      <vt:variant>
        <vt:i4>1310786</vt:i4>
      </vt:variant>
      <vt:variant>
        <vt:i4>159</vt:i4>
      </vt:variant>
      <vt:variant>
        <vt:i4>0</vt:i4>
      </vt:variant>
      <vt:variant>
        <vt:i4>5</vt:i4>
      </vt:variant>
      <vt:variant>
        <vt:lpwstr>https://docs.cpuc.ca.gov/PublishedDocs/Published/G000/M521/K196/521196139.PDF</vt:lpwstr>
      </vt:variant>
      <vt:variant>
        <vt:lpwstr/>
      </vt:variant>
      <vt:variant>
        <vt:i4>1310786</vt:i4>
      </vt:variant>
      <vt:variant>
        <vt:i4>156</vt:i4>
      </vt:variant>
      <vt:variant>
        <vt:i4>0</vt:i4>
      </vt:variant>
      <vt:variant>
        <vt:i4>5</vt:i4>
      </vt:variant>
      <vt:variant>
        <vt:lpwstr>https://docs.cpuc.ca.gov/PublishedDocs/Published/G000/M521/K196/521196139.PDF</vt:lpwstr>
      </vt:variant>
      <vt:variant>
        <vt:lpwstr/>
      </vt:variant>
      <vt:variant>
        <vt:i4>1310786</vt:i4>
      </vt:variant>
      <vt:variant>
        <vt:i4>153</vt:i4>
      </vt:variant>
      <vt:variant>
        <vt:i4>0</vt:i4>
      </vt:variant>
      <vt:variant>
        <vt:i4>5</vt:i4>
      </vt:variant>
      <vt:variant>
        <vt:lpwstr>https://docs.cpuc.ca.gov/PublishedDocs/Published/G000/M521/K196/521196139.PDF</vt:lpwstr>
      </vt:variant>
      <vt:variant>
        <vt:lpwstr/>
      </vt:variant>
      <vt:variant>
        <vt:i4>1310786</vt:i4>
      </vt:variant>
      <vt:variant>
        <vt:i4>150</vt:i4>
      </vt:variant>
      <vt:variant>
        <vt:i4>0</vt:i4>
      </vt:variant>
      <vt:variant>
        <vt:i4>5</vt:i4>
      </vt:variant>
      <vt:variant>
        <vt:lpwstr>https://docs.cpuc.ca.gov/PublishedDocs/Published/G000/M521/K196/521196139.PDF</vt:lpwstr>
      </vt:variant>
      <vt:variant>
        <vt:lpwstr/>
      </vt:variant>
      <vt:variant>
        <vt:i4>1310786</vt:i4>
      </vt:variant>
      <vt:variant>
        <vt:i4>147</vt:i4>
      </vt:variant>
      <vt:variant>
        <vt:i4>0</vt:i4>
      </vt:variant>
      <vt:variant>
        <vt:i4>5</vt:i4>
      </vt:variant>
      <vt:variant>
        <vt:lpwstr>https://docs.cpuc.ca.gov/PublishedDocs/Published/G000/M521/K196/521196139.PDF</vt:lpwstr>
      </vt:variant>
      <vt:variant>
        <vt:lpwstr/>
      </vt:variant>
      <vt:variant>
        <vt:i4>1310786</vt:i4>
      </vt:variant>
      <vt:variant>
        <vt:i4>144</vt:i4>
      </vt:variant>
      <vt:variant>
        <vt:i4>0</vt:i4>
      </vt:variant>
      <vt:variant>
        <vt:i4>5</vt:i4>
      </vt:variant>
      <vt:variant>
        <vt:lpwstr>https://docs.cpuc.ca.gov/PublishedDocs/Published/G000/M521/K196/521196139.PDF</vt:lpwstr>
      </vt:variant>
      <vt:variant>
        <vt:lpwstr/>
      </vt:variant>
      <vt:variant>
        <vt:i4>1310786</vt:i4>
      </vt:variant>
      <vt:variant>
        <vt:i4>141</vt:i4>
      </vt:variant>
      <vt:variant>
        <vt:i4>0</vt:i4>
      </vt:variant>
      <vt:variant>
        <vt:i4>5</vt:i4>
      </vt:variant>
      <vt:variant>
        <vt:lpwstr>https://docs.cpuc.ca.gov/PublishedDocs/Published/G000/M521/K196/521196139.PDF</vt:lpwstr>
      </vt:variant>
      <vt:variant>
        <vt:lpwstr/>
      </vt:variant>
      <vt:variant>
        <vt:i4>1310786</vt:i4>
      </vt:variant>
      <vt:variant>
        <vt:i4>138</vt:i4>
      </vt:variant>
      <vt:variant>
        <vt:i4>0</vt:i4>
      </vt:variant>
      <vt:variant>
        <vt:i4>5</vt:i4>
      </vt:variant>
      <vt:variant>
        <vt:lpwstr>https://docs.cpuc.ca.gov/PublishedDocs/Published/G000/M461/K921/461921821.PDF</vt:lpwstr>
      </vt:variant>
      <vt:variant>
        <vt:lpwstr/>
      </vt:variant>
      <vt:variant>
        <vt:i4>1310786</vt:i4>
      </vt:variant>
      <vt:variant>
        <vt:i4>135</vt:i4>
      </vt:variant>
      <vt:variant>
        <vt:i4>0</vt:i4>
      </vt:variant>
      <vt:variant>
        <vt:i4>5</vt:i4>
      </vt:variant>
      <vt:variant>
        <vt:lpwstr>https://docs.cpuc.ca.gov/PublishedDocs/Published/G000/M461/K921/461921821.PDF</vt:lpwstr>
      </vt:variant>
      <vt:variant>
        <vt:lpwstr/>
      </vt:variant>
      <vt:variant>
        <vt:i4>1310786</vt:i4>
      </vt:variant>
      <vt:variant>
        <vt:i4>132</vt:i4>
      </vt:variant>
      <vt:variant>
        <vt:i4>0</vt:i4>
      </vt:variant>
      <vt:variant>
        <vt:i4>5</vt:i4>
      </vt:variant>
      <vt:variant>
        <vt:lpwstr>https://docs.cpuc.ca.gov/PublishedDocs/Published/G000/M461/K921/461921821.PDF</vt:lpwstr>
      </vt:variant>
      <vt:variant>
        <vt:lpwstr/>
      </vt:variant>
      <vt:variant>
        <vt:i4>1310786</vt:i4>
      </vt:variant>
      <vt:variant>
        <vt:i4>129</vt:i4>
      </vt:variant>
      <vt:variant>
        <vt:i4>0</vt:i4>
      </vt:variant>
      <vt:variant>
        <vt:i4>5</vt:i4>
      </vt:variant>
      <vt:variant>
        <vt:lpwstr>https://docs.cpuc.ca.gov/PublishedDocs/Published/G000/M461/K921/461921821.PDF</vt:lpwstr>
      </vt:variant>
      <vt:variant>
        <vt:lpwstr/>
      </vt:variant>
      <vt:variant>
        <vt:i4>1114188</vt:i4>
      </vt:variant>
      <vt:variant>
        <vt:i4>126</vt:i4>
      </vt:variant>
      <vt:variant>
        <vt:i4>0</vt:i4>
      </vt:variant>
      <vt:variant>
        <vt:i4>5</vt:i4>
      </vt:variant>
      <vt:variant>
        <vt:lpwstr>https://docs.cpuc.ca.gov/PublishedDocs/Published/G000/M372/K329/372329202.PDF</vt:lpwstr>
      </vt:variant>
      <vt:variant>
        <vt:lpwstr/>
      </vt:variant>
      <vt:variant>
        <vt:i4>1114186</vt:i4>
      </vt:variant>
      <vt:variant>
        <vt:i4>123</vt:i4>
      </vt:variant>
      <vt:variant>
        <vt:i4>0</vt:i4>
      </vt:variant>
      <vt:variant>
        <vt:i4>5</vt:i4>
      </vt:variant>
      <vt:variant>
        <vt:lpwstr>https://docs.cpuc.ca.gov/PublishedDocs/Published/G000/M550/K485/550485071.pdf</vt:lpwstr>
      </vt:variant>
      <vt:variant>
        <vt:lpwstr/>
      </vt:variant>
      <vt:variant>
        <vt:i4>1966149</vt:i4>
      </vt:variant>
      <vt:variant>
        <vt:i4>120</vt:i4>
      </vt:variant>
      <vt:variant>
        <vt:i4>0</vt:i4>
      </vt:variant>
      <vt:variant>
        <vt:i4>5</vt:i4>
      </vt:variant>
      <vt:variant>
        <vt:lpwstr>https://docs.cpuc.ca.gov/PublishedDocs/Published/G000/M316/K704/316704666.PDF</vt:lpwstr>
      </vt:variant>
      <vt:variant>
        <vt:lpwstr/>
      </vt:variant>
      <vt:variant>
        <vt:i4>1966149</vt:i4>
      </vt:variant>
      <vt:variant>
        <vt:i4>117</vt:i4>
      </vt:variant>
      <vt:variant>
        <vt:i4>0</vt:i4>
      </vt:variant>
      <vt:variant>
        <vt:i4>5</vt:i4>
      </vt:variant>
      <vt:variant>
        <vt:lpwstr>https://docs.cpuc.ca.gov/PublishedDocs/Published/G000/M316/K704/316704666.PDF</vt:lpwstr>
      </vt:variant>
      <vt:variant>
        <vt:lpwstr/>
      </vt:variant>
      <vt:variant>
        <vt:i4>1966149</vt:i4>
      </vt:variant>
      <vt:variant>
        <vt:i4>114</vt:i4>
      </vt:variant>
      <vt:variant>
        <vt:i4>0</vt:i4>
      </vt:variant>
      <vt:variant>
        <vt:i4>5</vt:i4>
      </vt:variant>
      <vt:variant>
        <vt:lpwstr>https://docs.cpuc.ca.gov/PublishedDocs/Published/G000/M316/K704/316704666.PDF</vt:lpwstr>
      </vt:variant>
      <vt:variant>
        <vt:lpwstr/>
      </vt:variant>
      <vt:variant>
        <vt:i4>1966149</vt:i4>
      </vt:variant>
      <vt:variant>
        <vt:i4>111</vt:i4>
      </vt:variant>
      <vt:variant>
        <vt:i4>0</vt:i4>
      </vt:variant>
      <vt:variant>
        <vt:i4>5</vt:i4>
      </vt:variant>
      <vt:variant>
        <vt:lpwstr>https://docs.cpuc.ca.gov/PublishedDocs/Published/G000/M316/K704/316704666.PDF</vt:lpwstr>
      </vt:variant>
      <vt:variant>
        <vt:lpwstr/>
      </vt:variant>
      <vt:variant>
        <vt:i4>4325452</vt:i4>
      </vt:variant>
      <vt:variant>
        <vt:i4>108</vt:i4>
      </vt:variant>
      <vt:variant>
        <vt:i4>0</vt:i4>
      </vt:variant>
      <vt:variant>
        <vt:i4>5</vt:i4>
      </vt:variant>
      <vt:variant>
        <vt:lpwstr>https://docs.cpuc.ca.gov/PublishedDocs/Published/G000/M081/K773/81773445.PDF</vt:lpwstr>
      </vt:variant>
      <vt:variant>
        <vt:lpwstr/>
      </vt:variant>
      <vt:variant>
        <vt:i4>1769540</vt:i4>
      </vt:variant>
      <vt:variant>
        <vt:i4>105</vt:i4>
      </vt:variant>
      <vt:variant>
        <vt:i4>0</vt:i4>
      </vt:variant>
      <vt:variant>
        <vt:i4>5</vt:i4>
      </vt:variant>
      <vt:variant>
        <vt:lpwstr>https://docs.cpuc.ca.gov/PublishedDocs/Published/G000/M520/K896/520896345.pdf</vt:lpwstr>
      </vt:variant>
      <vt:variant>
        <vt:lpwstr/>
      </vt:variant>
      <vt:variant>
        <vt:i4>1310786</vt:i4>
      </vt:variant>
      <vt:variant>
        <vt:i4>102</vt:i4>
      </vt:variant>
      <vt:variant>
        <vt:i4>0</vt:i4>
      </vt:variant>
      <vt:variant>
        <vt:i4>5</vt:i4>
      </vt:variant>
      <vt:variant>
        <vt:lpwstr>https://docs.cpuc.ca.gov/PublishedDocs/Published/G000/M521/K196/521196139.PDF</vt:lpwstr>
      </vt:variant>
      <vt:variant>
        <vt:lpwstr/>
      </vt:variant>
      <vt:variant>
        <vt:i4>1507407</vt:i4>
      </vt:variant>
      <vt:variant>
        <vt:i4>99</vt:i4>
      </vt:variant>
      <vt:variant>
        <vt:i4>0</vt:i4>
      </vt:variant>
      <vt:variant>
        <vt:i4>5</vt:i4>
      </vt:variant>
      <vt:variant>
        <vt:lpwstr>https://docs.cpuc.ca.gov/PublishedDocs/Published/G000/M503/K914/503914324.PDF</vt:lpwstr>
      </vt:variant>
      <vt:variant>
        <vt:lpwstr/>
      </vt:variant>
      <vt:variant>
        <vt:i4>3539067</vt:i4>
      </vt:variant>
      <vt:variant>
        <vt:i4>96</vt:i4>
      </vt:variant>
      <vt:variant>
        <vt:i4>0</vt:i4>
      </vt:variant>
      <vt:variant>
        <vt:i4>5</vt:i4>
      </vt:variant>
      <vt:variant>
        <vt:lpwstr>https://www.cpuc.ca.gov/-/media/cpuc-website/divisions/news-and-outreach/documents/news-office/key-issues/esj/esj-action-plan-v2jw.pdf</vt:lpwstr>
      </vt:variant>
      <vt:variant>
        <vt:lpwstr/>
      </vt:variant>
      <vt:variant>
        <vt:i4>1310786</vt:i4>
      </vt:variant>
      <vt:variant>
        <vt:i4>93</vt:i4>
      </vt:variant>
      <vt:variant>
        <vt:i4>0</vt:i4>
      </vt:variant>
      <vt:variant>
        <vt:i4>5</vt:i4>
      </vt:variant>
      <vt:variant>
        <vt:lpwstr>https://docs.cpuc.ca.gov/PublishedDocs/Published/G000/M461/K921/461921821.PDF</vt:lpwstr>
      </vt:variant>
      <vt:variant>
        <vt:lpwstr/>
      </vt:variant>
      <vt:variant>
        <vt:i4>1114188</vt:i4>
      </vt:variant>
      <vt:variant>
        <vt:i4>90</vt:i4>
      </vt:variant>
      <vt:variant>
        <vt:i4>0</vt:i4>
      </vt:variant>
      <vt:variant>
        <vt:i4>5</vt:i4>
      </vt:variant>
      <vt:variant>
        <vt:lpwstr>https://docs.cpuc.ca.gov/PublishedDocs/Published/G000/M372/K329/372329202.PDF</vt:lpwstr>
      </vt:variant>
      <vt:variant>
        <vt:lpwstr/>
      </vt:variant>
      <vt:variant>
        <vt:i4>1572941</vt:i4>
      </vt:variant>
      <vt:variant>
        <vt:i4>87</vt:i4>
      </vt:variant>
      <vt:variant>
        <vt:i4>0</vt:i4>
      </vt:variant>
      <vt:variant>
        <vt:i4>5</vt:i4>
      </vt:variant>
      <vt:variant>
        <vt:lpwstr>https://docs.cpuc.ca.gov/PublishedDocs/Published/G000/M350/K789/350789679.PDF</vt:lpwstr>
      </vt:variant>
      <vt:variant>
        <vt:lpwstr/>
      </vt:variant>
      <vt:variant>
        <vt:i4>1900608</vt:i4>
      </vt:variant>
      <vt:variant>
        <vt:i4>84</vt:i4>
      </vt:variant>
      <vt:variant>
        <vt:i4>0</vt:i4>
      </vt:variant>
      <vt:variant>
        <vt:i4>5</vt:i4>
      </vt:variant>
      <vt:variant>
        <vt:lpwstr>https://docs.cpuc.ca.gov/PublishedDocs/Published/G000/M310/K136/310136145.PDF</vt:lpwstr>
      </vt:variant>
      <vt:variant>
        <vt:lpwstr/>
      </vt:variant>
      <vt:variant>
        <vt:i4>1441877</vt:i4>
      </vt:variant>
      <vt:variant>
        <vt:i4>81</vt:i4>
      </vt:variant>
      <vt:variant>
        <vt:i4>0</vt:i4>
      </vt:variant>
      <vt:variant>
        <vt:i4>5</vt:i4>
      </vt:variant>
      <vt:variant>
        <vt:lpwstr>https://www.gov.ca.gov/wp-content/uploads/2024/10/energy-EO-10-30-24.pdf</vt:lpwstr>
      </vt:variant>
      <vt:variant>
        <vt:lpwstr/>
      </vt:variant>
      <vt:variant>
        <vt:i4>1769540</vt:i4>
      </vt:variant>
      <vt:variant>
        <vt:i4>78</vt:i4>
      </vt:variant>
      <vt:variant>
        <vt:i4>0</vt:i4>
      </vt:variant>
      <vt:variant>
        <vt:i4>5</vt:i4>
      </vt:variant>
      <vt:variant>
        <vt:lpwstr>https://docs.cpuc.ca.gov/PublishedDocs/Published/G000/M520/K896/520896345.pdf</vt:lpwstr>
      </vt:variant>
      <vt:variant>
        <vt:lpwstr/>
      </vt:variant>
      <vt:variant>
        <vt:i4>1966149</vt:i4>
      </vt:variant>
      <vt:variant>
        <vt:i4>75</vt:i4>
      </vt:variant>
      <vt:variant>
        <vt:i4>0</vt:i4>
      </vt:variant>
      <vt:variant>
        <vt:i4>5</vt:i4>
      </vt:variant>
      <vt:variant>
        <vt:lpwstr>https://docs.cpuc.ca.gov/PublishedDocs/Published/G000/M316/K704/316704666.PDF</vt:lpwstr>
      </vt:variant>
      <vt:variant>
        <vt:lpwstr/>
      </vt:variant>
      <vt:variant>
        <vt:i4>1114178</vt:i4>
      </vt:variant>
      <vt:variant>
        <vt:i4>72</vt:i4>
      </vt:variant>
      <vt:variant>
        <vt:i4>0</vt:i4>
      </vt:variant>
      <vt:variant>
        <vt:i4>5</vt:i4>
      </vt:variant>
      <vt:variant>
        <vt:lpwstr>https://docs.cpuc.ca.gov/PublishedDocs/Published/G000/M507/K499/507499284.PDF</vt:lpwstr>
      </vt:variant>
      <vt:variant>
        <vt:lpwstr/>
      </vt:variant>
      <vt:variant>
        <vt:i4>1769540</vt:i4>
      </vt:variant>
      <vt:variant>
        <vt:i4>69</vt:i4>
      </vt:variant>
      <vt:variant>
        <vt:i4>0</vt:i4>
      </vt:variant>
      <vt:variant>
        <vt:i4>5</vt:i4>
      </vt:variant>
      <vt:variant>
        <vt:lpwstr>https://docs.cpuc.ca.gov/PublishedDocs/Published/G000/M520/K896/520896345.pdf</vt:lpwstr>
      </vt:variant>
      <vt:variant>
        <vt:lpwstr/>
      </vt:variant>
      <vt:variant>
        <vt:i4>1179714</vt:i4>
      </vt:variant>
      <vt:variant>
        <vt:i4>66</vt:i4>
      </vt:variant>
      <vt:variant>
        <vt:i4>0</vt:i4>
      </vt:variant>
      <vt:variant>
        <vt:i4>5</vt:i4>
      </vt:variant>
      <vt:variant>
        <vt:lpwstr>https://docs.cpuc.ca.gov/PublishedDocs/Published/G000/M531/K559/531559739.PDF</vt:lpwstr>
      </vt:variant>
      <vt:variant>
        <vt:lpwstr/>
      </vt:variant>
      <vt:variant>
        <vt:i4>1310786</vt:i4>
      </vt:variant>
      <vt:variant>
        <vt:i4>63</vt:i4>
      </vt:variant>
      <vt:variant>
        <vt:i4>0</vt:i4>
      </vt:variant>
      <vt:variant>
        <vt:i4>5</vt:i4>
      </vt:variant>
      <vt:variant>
        <vt:lpwstr>https://docs.cpuc.ca.gov/PublishedDocs/Published/G000/M521/K196/521196139.PDF</vt:lpwstr>
      </vt:variant>
      <vt:variant>
        <vt:lpwstr/>
      </vt:variant>
      <vt:variant>
        <vt:i4>1507407</vt:i4>
      </vt:variant>
      <vt:variant>
        <vt:i4>60</vt:i4>
      </vt:variant>
      <vt:variant>
        <vt:i4>0</vt:i4>
      </vt:variant>
      <vt:variant>
        <vt:i4>5</vt:i4>
      </vt:variant>
      <vt:variant>
        <vt:lpwstr>https://docs.cpuc.ca.gov/PublishedDocs/Published/G000/M503/K914/503914324.PDF</vt:lpwstr>
      </vt:variant>
      <vt:variant>
        <vt:lpwstr/>
      </vt:variant>
      <vt:variant>
        <vt:i4>1310786</vt:i4>
      </vt:variant>
      <vt:variant>
        <vt:i4>57</vt:i4>
      </vt:variant>
      <vt:variant>
        <vt:i4>0</vt:i4>
      </vt:variant>
      <vt:variant>
        <vt:i4>5</vt:i4>
      </vt:variant>
      <vt:variant>
        <vt:lpwstr>https://docs.cpuc.ca.gov/PublishedDocs/Published/G000/M461/K921/461921821.PDF</vt:lpwstr>
      </vt:variant>
      <vt:variant>
        <vt:lpwstr/>
      </vt:variant>
      <vt:variant>
        <vt:i4>1114188</vt:i4>
      </vt:variant>
      <vt:variant>
        <vt:i4>54</vt:i4>
      </vt:variant>
      <vt:variant>
        <vt:i4>0</vt:i4>
      </vt:variant>
      <vt:variant>
        <vt:i4>5</vt:i4>
      </vt:variant>
      <vt:variant>
        <vt:lpwstr>https://docs.cpuc.ca.gov/PublishedDocs/Published/G000/M372/K329/372329202.PDF</vt:lpwstr>
      </vt:variant>
      <vt:variant>
        <vt:lpwstr/>
      </vt:variant>
      <vt:variant>
        <vt:i4>3407935</vt:i4>
      </vt:variant>
      <vt:variant>
        <vt:i4>51</vt:i4>
      </vt:variant>
      <vt:variant>
        <vt:i4>0</vt:i4>
      </vt:variant>
      <vt:variant>
        <vt:i4>5</vt:i4>
      </vt:variant>
      <vt:variant>
        <vt:lpwstr>http://docs.cpuc.ca.gov/PublishedDocs/WORD_PDF/FINAL_DECISION/39314.PDF</vt:lpwstr>
      </vt:variant>
      <vt:variant>
        <vt:lpwstr/>
      </vt:variant>
      <vt:variant>
        <vt:i4>1114178</vt:i4>
      </vt:variant>
      <vt:variant>
        <vt:i4>48</vt:i4>
      </vt:variant>
      <vt:variant>
        <vt:i4>0</vt:i4>
      </vt:variant>
      <vt:variant>
        <vt:i4>5</vt:i4>
      </vt:variant>
      <vt:variant>
        <vt:lpwstr>https://docs.cpuc.ca.gov/PublishedDocs/Published/G000/M507/K499/507499284.PDF</vt:lpwstr>
      </vt:variant>
      <vt:variant>
        <vt:lpwstr/>
      </vt:variant>
      <vt:variant>
        <vt:i4>1310786</vt:i4>
      </vt:variant>
      <vt:variant>
        <vt:i4>45</vt:i4>
      </vt:variant>
      <vt:variant>
        <vt:i4>0</vt:i4>
      </vt:variant>
      <vt:variant>
        <vt:i4>5</vt:i4>
      </vt:variant>
      <vt:variant>
        <vt:lpwstr>https://docs.cpuc.ca.gov/PublishedDocs/Published/G000/M521/K196/521196139.PDF</vt:lpwstr>
      </vt:variant>
      <vt:variant>
        <vt:lpwstr/>
      </vt:variant>
      <vt:variant>
        <vt:i4>1114188</vt:i4>
      </vt:variant>
      <vt:variant>
        <vt:i4>42</vt:i4>
      </vt:variant>
      <vt:variant>
        <vt:i4>0</vt:i4>
      </vt:variant>
      <vt:variant>
        <vt:i4>5</vt:i4>
      </vt:variant>
      <vt:variant>
        <vt:lpwstr>https://docs.cpuc.ca.gov/PublishedDocs/Published/G000/M372/K329/372329202.PDF</vt:lpwstr>
      </vt:variant>
      <vt:variant>
        <vt:lpwstr/>
      </vt:variant>
      <vt:variant>
        <vt:i4>1114178</vt:i4>
      </vt:variant>
      <vt:variant>
        <vt:i4>39</vt:i4>
      </vt:variant>
      <vt:variant>
        <vt:i4>0</vt:i4>
      </vt:variant>
      <vt:variant>
        <vt:i4>5</vt:i4>
      </vt:variant>
      <vt:variant>
        <vt:lpwstr>https://docs.cpuc.ca.gov/PublishedDocs/Published/G000/M507/K499/507499284.PDF</vt:lpwstr>
      </vt:variant>
      <vt:variant>
        <vt:lpwstr/>
      </vt:variant>
      <vt:variant>
        <vt:i4>6488126</vt:i4>
      </vt:variant>
      <vt:variant>
        <vt:i4>36</vt:i4>
      </vt:variant>
      <vt:variant>
        <vt:i4>0</vt:i4>
      </vt:variant>
      <vt:variant>
        <vt:i4>5</vt:i4>
      </vt:variant>
      <vt:variant>
        <vt:lpwstr>https://acrobat.adobe.com/id/urn:aaid:sc:VA6C2:99c90760-e561-4a95-8fbe-82192adb864b</vt:lpwstr>
      </vt:variant>
      <vt:variant>
        <vt:lpwstr/>
      </vt:variant>
      <vt:variant>
        <vt:i4>1179714</vt:i4>
      </vt:variant>
      <vt:variant>
        <vt:i4>33</vt:i4>
      </vt:variant>
      <vt:variant>
        <vt:i4>0</vt:i4>
      </vt:variant>
      <vt:variant>
        <vt:i4>5</vt:i4>
      </vt:variant>
      <vt:variant>
        <vt:lpwstr>https://docs.cpuc.ca.gov/PublishedDocs/Published/G000/M531/K559/531559739.PDF</vt:lpwstr>
      </vt:variant>
      <vt:variant>
        <vt:lpwstr/>
      </vt:variant>
      <vt:variant>
        <vt:i4>1769540</vt:i4>
      </vt:variant>
      <vt:variant>
        <vt:i4>30</vt:i4>
      </vt:variant>
      <vt:variant>
        <vt:i4>0</vt:i4>
      </vt:variant>
      <vt:variant>
        <vt:i4>5</vt:i4>
      </vt:variant>
      <vt:variant>
        <vt:lpwstr>https://docs.cpuc.ca.gov/PublishedDocs/Published/G000/M520/K896/520896345.pdf</vt:lpwstr>
      </vt:variant>
      <vt:variant>
        <vt:lpwstr/>
      </vt:variant>
      <vt:variant>
        <vt:i4>1310786</vt:i4>
      </vt:variant>
      <vt:variant>
        <vt:i4>27</vt:i4>
      </vt:variant>
      <vt:variant>
        <vt:i4>0</vt:i4>
      </vt:variant>
      <vt:variant>
        <vt:i4>5</vt:i4>
      </vt:variant>
      <vt:variant>
        <vt:lpwstr>https://docs.cpuc.ca.gov/PublishedDocs/Published/G000/M521/K196/521196139.PDF</vt:lpwstr>
      </vt:variant>
      <vt:variant>
        <vt:lpwstr/>
      </vt:variant>
      <vt:variant>
        <vt:i4>1507407</vt:i4>
      </vt:variant>
      <vt:variant>
        <vt:i4>24</vt:i4>
      </vt:variant>
      <vt:variant>
        <vt:i4>0</vt:i4>
      </vt:variant>
      <vt:variant>
        <vt:i4>5</vt:i4>
      </vt:variant>
      <vt:variant>
        <vt:lpwstr>https://docs.cpuc.ca.gov/PublishedDocs/Published/G000/M503/K914/503914324.PDF</vt:lpwstr>
      </vt:variant>
      <vt:variant>
        <vt:lpwstr/>
      </vt:variant>
      <vt:variant>
        <vt:i4>1310786</vt:i4>
      </vt:variant>
      <vt:variant>
        <vt:i4>21</vt:i4>
      </vt:variant>
      <vt:variant>
        <vt:i4>0</vt:i4>
      </vt:variant>
      <vt:variant>
        <vt:i4>5</vt:i4>
      </vt:variant>
      <vt:variant>
        <vt:lpwstr>https://docs.cpuc.ca.gov/PublishedDocs/Published/G000/M461/K921/461921821.PDF</vt:lpwstr>
      </vt:variant>
      <vt:variant>
        <vt:lpwstr/>
      </vt:variant>
      <vt:variant>
        <vt:i4>1179714</vt:i4>
      </vt:variant>
      <vt:variant>
        <vt:i4>18</vt:i4>
      </vt:variant>
      <vt:variant>
        <vt:i4>0</vt:i4>
      </vt:variant>
      <vt:variant>
        <vt:i4>5</vt:i4>
      </vt:variant>
      <vt:variant>
        <vt:lpwstr>https://docs.cpuc.ca.gov/PublishedDocs/Published/G000/M531/K559/531559739.PDF</vt:lpwstr>
      </vt:variant>
      <vt:variant>
        <vt:lpwstr/>
      </vt:variant>
      <vt:variant>
        <vt:i4>1310786</vt:i4>
      </vt:variant>
      <vt:variant>
        <vt:i4>15</vt:i4>
      </vt:variant>
      <vt:variant>
        <vt:i4>0</vt:i4>
      </vt:variant>
      <vt:variant>
        <vt:i4>5</vt:i4>
      </vt:variant>
      <vt:variant>
        <vt:lpwstr>https://docs.cpuc.ca.gov/PublishedDocs/Published/G000/M521/K196/521196139.PDF</vt:lpwstr>
      </vt:variant>
      <vt:variant>
        <vt:lpwstr/>
      </vt:variant>
      <vt:variant>
        <vt:i4>1572941</vt:i4>
      </vt:variant>
      <vt:variant>
        <vt:i4>12</vt:i4>
      </vt:variant>
      <vt:variant>
        <vt:i4>0</vt:i4>
      </vt:variant>
      <vt:variant>
        <vt:i4>5</vt:i4>
      </vt:variant>
      <vt:variant>
        <vt:lpwstr>https://docs.cpuc.ca.gov/PublishedDocs/Published/G000/M350/K789/350789679.PDF</vt:lpwstr>
      </vt:variant>
      <vt:variant>
        <vt:lpwstr/>
      </vt:variant>
      <vt:variant>
        <vt:i4>1966149</vt:i4>
      </vt:variant>
      <vt:variant>
        <vt:i4>9</vt:i4>
      </vt:variant>
      <vt:variant>
        <vt:i4>0</vt:i4>
      </vt:variant>
      <vt:variant>
        <vt:i4>5</vt:i4>
      </vt:variant>
      <vt:variant>
        <vt:lpwstr>https://docs.cpuc.ca.gov/PublishedDocs/Published/G000/M316/K704/316704666.PDF</vt:lpwstr>
      </vt:variant>
      <vt:variant>
        <vt:lpwstr/>
      </vt:variant>
      <vt:variant>
        <vt:i4>1310786</vt:i4>
      </vt:variant>
      <vt:variant>
        <vt:i4>6</vt:i4>
      </vt:variant>
      <vt:variant>
        <vt:i4>0</vt:i4>
      </vt:variant>
      <vt:variant>
        <vt:i4>5</vt:i4>
      </vt:variant>
      <vt:variant>
        <vt:lpwstr>https://docs.cpuc.ca.gov/PublishedDocs/Published/G000/M521/K196/521196139.PDF</vt:lpwstr>
      </vt:variant>
      <vt:variant>
        <vt:lpwstr/>
      </vt:variant>
      <vt:variant>
        <vt:i4>1310786</vt:i4>
      </vt:variant>
      <vt:variant>
        <vt:i4>3</vt:i4>
      </vt:variant>
      <vt:variant>
        <vt:i4>0</vt:i4>
      </vt:variant>
      <vt:variant>
        <vt:i4>5</vt:i4>
      </vt:variant>
      <vt:variant>
        <vt:lpwstr>https://docs.cpuc.ca.gov/PublishedDocs/Published/G000/M461/K921/461921821.PDF</vt:lpwstr>
      </vt:variant>
      <vt:variant>
        <vt:lpwstr/>
      </vt:variant>
      <vt:variant>
        <vt:i4>1114188</vt:i4>
      </vt:variant>
      <vt:variant>
        <vt:i4>0</vt:i4>
      </vt:variant>
      <vt:variant>
        <vt:i4>0</vt:i4>
      </vt:variant>
      <vt:variant>
        <vt:i4>5</vt:i4>
      </vt:variant>
      <vt:variant>
        <vt:lpwstr>https://docs.cpuc.ca.gov/PublishedDocs/Published/G000/M372/K329/372329202.PDF</vt:lpwstr>
      </vt:variant>
      <vt:variant>
        <vt:lpwstr/>
      </vt:variant>
      <vt:variant>
        <vt:i4>1704005</vt:i4>
      </vt:variant>
      <vt:variant>
        <vt:i4>492</vt:i4>
      </vt:variant>
      <vt:variant>
        <vt:i4>0</vt:i4>
      </vt:variant>
      <vt:variant>
        <vt:i4>5</vt:i4>
      </vt:variant>
      <vt:variant>
        <vt:lpwstr>https://docs.cpuc.ca.gov/PublishedDocs/Published/G000/M500/K216/500216057.PDF</vt:lpwstr>
      </vt:variant>
      <vt:variant>
        <vt:lpwstr/>
      </vt:variant>
      <vt:variant>
        <vt:i4>1310786</vt:i4>
      </vt:variant>
      <vt:variant>
        <vt:i4>489</vt:i4>
      </vt:variant>
      <vt:variant>
        <vt:i4>0</vt:i4>
      </vt:variant>
      <vt:variant>
        <vt:i4>5</vt:i4>
      </vt:variant>
      <vt:variant>
        <vt:lpwstr>https://docs.cpuc.ca.gov/PublishedDocs/Published/G000/M521/K196/521196139.PDF</vt:lpwstr>
      </vt:variant>
      <vt:variant>
        <vt:lpwstr/>
      </vt:variant>
      <vt:variant>
        <vt:i4>1572931</vt:i4>
      </vt:variant>
      <vt:variant>
        <vt:i4>486</vt:i4>
      </vt:variant>
      <vt:variant>
        <vt:i4>0</vt:i4>
      </vt:variant>
      <vt:variant>
        <vt:i4>5</vt:i4>
      </vt:variant>
      <vt:variant>
        <vt:lpwstr>https://docs.cpuc.ca.gov/PublishedDocs/Published/G000/M620/K704/620704107.PDF</vt:lpwstr>
      </vt:variant>
      <vt:variant>
        <vt:lpwstr/>
      </vt:variant>
      <vt:variant>
        <vt:i4>1441857</vt:i4>
      </vt:variant>
      <vt:variant>
        <vt:i4>483</vt:i4>
      </vt:variant>
      <vt:variant>
        <vt:i4>0</vt:i4>
      </vt:variant>
      <vt:variant>
        <vt:i4>5</vt:i4>
      </vt:variant>
      <vt:variant>
        <vt:lpwstr>https://docs.cpuc.ca.gov/PublishedDocs/Published/G000/M596/K290/596290082.PDF</vt:lpwstr>
      </vt:variant>
      <vt:variant>
        <vt:lpwstr/>
      </vt:variant>
      <vt:variant>
        <vt:i4>1114186</vt:i4>
      </vt:variant>
      <vt:variant>
        <vt:i4>480</vt:i4>
      </vt:variant>
      <vt:variant>
        <vt:i4>0</vt:i4>
      </vt:variant>
      <vt:variant>
        <vt:i4>5</vt:i4>
      </vt:variant>
      <vt:variant>
        <vt:lpwstr>https://docs.cpuc.ca.gov/PublishedDocs/Published/G000/M550/K485/550485071.pdf</vt:lpwstr>
      </vt:variant>
      <vt:variant>
        <vt:lpwstr/>
      </vt:variant>
      <vt:variant>
        <vt:i4>1114186</vt:i4>
      </vt:variant>
      <vt:variant>
        <vt:i4>477</vt:i4>
      </vt:variant>
      <vt:variant>
        <vt:i4>0</vt:i4>
      </vt:variant>
      <vt:variant>
        <vt:i4>5</vt:i4>
      </vt:variant>
      <vt:variant>
        <vt:lpwstr>https://docs.cpuc.ca.gov/PublishedDocs/Published/G000/M550/K485/550485071.pdf</vt:lpwstr>
      </vt:variant>
      <vt:variant>
        <vt:lpwstr/>
      </vt:variant>
      <vt:variant>
        <vt:i4>1114186</vt:i4>
      </vt:variant>
      <vt:variant>
        <vt:i4>474</vt:i4>
      </vt:variant>
      <vt:variant>
        <vt:i4>0</vt:i4>
      </vt:variant>
      <vt:variant>
        <vt:i4>5</vt:i4>
      </vt:variant>
      <vt:variant>
        <vt:lpwstr>https://docs.cpuc.ca.gov/PublishedDocs/Published/G000/M550/K485/550485071.pdf</vt:lpwstr>
      </vt:variant>
      <vt:variant>
        <vt:lpwstr/>
      </vt:variant>
      <vt:variant>
        <vt:i4>1114186</vt:i4>
      </vt:variant>
      <vt:variant>
        <vt:i4>471</vt:i4>
      </vt:variant>
      <vt:variant>
        <vt:i4>0</vt:i4>
      </vt:variant>
      <vt:variant>
        <vt:i4>5</vt:i4>
      </vt:variant>
      <vt:variant>
        <vt:lpwstr>https://docs.cpuc.ca.gov/PublishedDocs/Published/G000/M550/K485/550485071.pdf</vt:lpwstr>
      </vt:variant>
      <vt:variant>
        <vt:lpwstr/>
      </vt:variant>
      <vt:variant>
        <vt:i4>1704005</vt:i4>
      </vt:variant>
      <vt:variant>
        <vt:i4>468</vt:i4>
      </vt:variant>
      <vt:variant>
        <vt:i4>0</vt:i4>
      </vt:variant>
      <vt:variant>
        <vt:i4>5</vt:i4>
      </vt:variant>
      <vt:variant>
        <vt:lpwstr>https://docs.cpuc.ca.gov/PublishedDocs/Published/G000/M500/K216/500216057.PDF</vt:lpwstr>
      </vt:variant>
      <vt:variant>
        <vt:lpwstr/>
      </vt:variant>
      <vt:variant>
        <vt:i4>1310786</vt:i4>
      </vt:variant>
      <vt:variant>
        <vt:i4>465</vt:i4>
      </vt:variant>
      <vt:variant>
        <vt:i4>0</vt:i4>
      </vt:variant>
      <vt:variant>
        <vt:i4>5</vt:i4>
      </vt:variant>
      <vt:variant>
        <vt:lpwstr>https://docs.cpuc.ca.gov/PublishedDocs/Published/G000/M521/K196/521196139.PDF</vt:lpwstr>
      </vt:variant>
      <vt:variant>
        <vt:lpwstr/>
      </vt:variant>
      <vt:variant>
        <vt:i4>1114186</vt:i4>
      </vt:variant>
      <vt:variant>
        <vt:i4>462</vt:i4>
      </vt:variant>
      <vt:variant>
        <vt:i4>0</vt:i4>
      </vt:variant>
      <vt:variant>
        <vt:i4>5</vt:i4>
      </vt:variant>
      <vt:variant>
        <vt:lpwstr>https://docs.cpuc.ca.gov/PublishedDocs/Published/G000/M550/K485/550485071.pdf</vt:lpwstr>
      </vt:variant>
      <vt:variant>
        <vt:lpwstr/>
      </vt:variant>
      <vt:variant>
        <vt:i4>1114186</vt:i4>
      </vt:variant>
      <vt:variant>
        <vt:i4>459</vt:i4>
      </vt:variant>
      <vt:variant>
        <vt:i4>0</vt:i4>
      </vt:variant>
      <vt:variant>
        <vt:i4>5</vt:i4>
      </vt:variant>
      <vt:variant>
        <vt:lpwstr>https://docs.cpuc.ca.gov/PublishedDocs/Published/G000/M550/K485/550485071.pdf</vt:lpwstr>
      </vt:variant>
      <vt:variant>
        <vt:lpwstr/>
      </vt:variant>
      <vt:variant>
        <vt:i4>4587612</vt:i4>
      </vt:variant>
      <vt:variant>
        <vt:i4>456</vt:i4>
      </vt:variant>
      <vt:variant>
        <vt:i4>0</vt:i4>
      </vt:variant>
      <vt:variant>
        <vt:i4>5</vt:i4>
      </vt:variant>
      <vt:variant>
        <vt:lpwstr>https://www.socalgas.com/sites/default/files/2026-03/2025_Socalgas_RDD_Annual_Report.pdf</vt:lpwstr>
      </vt:variant>
      <vt:variant>
        <vt:lpwstr/>
      </vt:variant>
      <vt:variant>
        <vt:i4>4587612</vt:i4>
      </vt:variant>
      <vt:variant>
        <vt:i4>453</vt:i4>
      </vt:variant>
      <vt:variant>
        <vt:i4>0</vt:i4>
      </vt:variant>
      <vt:variant>
        <vt:i4>5</vt:i4>
      </vt:variant>
      <vt:variant>
        <vt:lpwstr>https://www.socalgas.com/sites/default/files/2026-03/2025_Socalgas_RDD_Annual_Report.pdf</vt:lpwstr>
      </vt:variant>
      <vt:variant>
        <vt:lpwstr/>
      </vt:variant>
      <vt:variant>
        <vt:i4>4587612</vt:i4>
      </vt:variant>
      <vt:variant>
        <vt:i4>450</vt:i4>
      </vt:variant>
      <vt:variant>
        <vt:i4>0</vt:i4>
      </vt:variant>
      <vt:variant>
        <vt:i4>5</vt:i4>
      </vt:variant>
      <vt:variant>
        <vt:lpwstr>https://www.socalgas.com/sites/default/files/2026-03/2025_Socalgas_RDD_Annual_Report.pdf</vt:lpwstr>
      </vt:variant>
      <vt:variant>
        <vt:lpwstr/>
      </vt:variant>
      <vt:variant>
        <vt:i4>4587612</vt:i4>
      </vt:variant>
      <vt:variant>
        <vt:i4>447</vt:i4>
      </vt:variant>
      <vt:variant>
        <vt:i4>0</vt:i4>
      </vt:variant>
      <vt:variant>
        <vt:i4>5</vt:i4>
      </vt:variant>
      <vt:variant>
        <vt:lpwstr>https://www.socalgas.com/sites/default/files/2026-03/2025_Socalgas_RDD_Annual_Report.pdf</vt:lpwstr>
      </vt:variant>
      <vt:variant>
        <vt:lpwstr/>
      </vt:variant>
      <vt:variant>
        <vt:i4>4587612</vt:i4>
      </vt:variant>
      <vt:variant>
        <vt:i4>444</vt:i4>
      </vt:variant>
      <vt:variant>
        <vt:i4>0</vt:i4>
      </vt:variant>
      <vt:variant>
        <vt:i4>5</vt:i4>
      </vt:variant>
      <vt:variant>
        <vt:lpwstr>https://www.socalgas.com/sites/default/files/2026-03/2025_Socalgas_RDD_Annual_Report.pdf</vt:lpwstr>
      </vt:variant>
      <vt:variant>
        <vt:lpwstr/>
      </vt:variant>
      <vt:variant>
        <vt:i4>4587612</vt:i4>
      </vt:variant>
      <vt:variant>
        <vt:i4>441</vt:i4>
      </vt:variant>
      <vt:variant>
        <vt:i4>0</vt:i4>
      </vt:variant>
      <vt:variant>
        <vt:i4>5</vt:i4>
      </vt:variant>
      <vt:variant>
        <vt:lpwstr>https://www.socalgas.com/sites/default/files/2026-03/2025_Socalgas_RDD_Annual_Report.pdf</vt:lpwstr>
      </vt:variant>
      <vt:variant>
        <vt:lpwstr/>
      </vt:variant>
      <vt:variant>
        <vt:i4>7864445</vt:i4>
      </vt:variant>
      <vt:variant>
        <vt:i4>438</vt:i4>
      </vt:variant>
      <vt:variant>
        <vt:i4>0</vt:i4>
      </vt:variant>
      <vt:variant>
        <vt:i4>5</vt:i4>
      </vt:variant>
      <vt:variant>
        <vt:lpwstr>https://www.socalgas/sustainability/research-development-demonstration</vt:lpwstr>
      </vt:variant>
      <vt:variant>
        <vt:lpwstr/>
      </vt:variant>
      <vt:variant>
        <vt:i4>1114186</vt:i4>
      </vt:variant>
      <vt:variant>
        <vt:i4>435</vt:i4>
      </vt:variant>
      <vt:variant>
        <vt:i4>0</vt:i4>
      </vt:variant>
      <vt:variant>
        <vt:i4>5</vt:i4>
      </vt:variant>
      <vt:variant>
        <vt:lpwstr>https://docs.cpuc.ca.gov/PublishedDocs/Published/G000/M550/K485/550485071.pdf</vt:lpwstr>
      </vt:variant>
      <vt:variant>
        <vt:lpwstr/>
      </vt:variant>
      <vt:variant>
        <vt:i4>1114186</vt:i4>
      </vt:variant>
      <vt:variant>
        <vt:i4>432</vt:i4>
      </vt:variant>
      <vt:variant>
        <vt:i4>0</vt:i4>
      </vt:variant>
      <vt:variant>
        <vt:i4>5</vt:i4>
      </vt:variant>
      <vt:variant>
        <vt:lpwstr>https://docs.cpuc.ca.gov/PublishedDocs/Published/G000/M550/K485/550485071.pdf</vt:lpwstr>
      </vt:variant>
      <vt:variant>
        <vt:lpwstr/>
      </vt:variant>
      <vt:variant>
        <vt:i4>5832727</vt:i4>
      </vt:variant>
      <vt:variant>
        <vt:i4>429</vt:i4>
      </vt:variant>
      <vt:variant>
        <vt:i4>0</vt:i4>
      </vt:variant>
      <vt:variant>
        <vt:i4>5</vt:i4>
      </vt:variant>
      <vt:variant>
        <vt:lpwstr>https://www.energy.ca.gov/sites/default/files/2025-10/CEC-500-2024-024-F.pdf</vt:lpwstr>
      </vt:variant>
      <vt:variant>
        <vt:lpwstr/>
      </vt:variant>
      <vt:variant>
        <vt:i4>67</vt:i4>
      </vt:variant>
      <vt:variant>
        <vt:i4>426</vt:i4>
      </vt:variant>
      <vt:variant>
        <vt:i4>0</vt:i4>
      </vt:variant>
      <vt:variant>
        <vt:i4>5</vt:i4>
      </vt:variant>
      <vt:variant>
        <vt:lpwstr>https://www.youtube.com/watch?v=76fhv8z4WMc&amp;list=PL77ZHiqxkonc74ZHX02e1xIDWqd4qAbl8&amp;index=26</vt:lpwstr>
      </vt:variant>
      <vt:variant>
        <vt:lpwstr/>
      </vt:variant>
      <vt:variant>
        <vt:i4>1310786</vt:i4>
      </vt:variant>
      <vt:variant>
        <vt:i4>423</vt:i4>
      </vt:variant>
      <vt:variant>
        <vt:i4>0</vt:i4>
      </vt:variant>
      <vt:variant>
        <vt:i4>5</vt:i4>
      </vt:variant>
      <vt:variant>
        <vt:lpwstr>https://docs.cpuc.ca.gov/PublishedDocs/Published/G000/M521/K196/521196139.PDF</vt:lpwstr>
      </vt:variant>
      <vt:variant>
        <vt:lpwstr/>
      </vt:variant>
      <vt:variant>
        <vt:i4>1966149</vt:i4>
      </vt:variant>
      <vt:variant>
        <vt:i4>420</vt:i4>
      </vt:variant>
      <vt:variant>
        <vt:i4>0</vt:i4>
      </vt:variant>
      <vt:variant>
        <vt:i4>5</vt:i4>
      </vt:variant>
      <vt:variant>
        <vt:lpwstr>https://docs.cpuc.ca.gov/PublishedDocs/Published/G000/M316/K704/316704666.PDF</vt:lpwstr>
      </vt:variant>
      <vt:variant>
        <vt:lpwstr/>
      </vt:variant>
      <vt:variant>
        <vt:i4>1310786</vt:i4>
      </vt:variant>
      <vt:variant>
        <vt:i4>417</vt:i4>
      </vt:variant>
      <vt:variant>
        <vt:i4>0</vt:i4>
      </vt:variant>
      <vt:variant>
        <vt:i4>5</vt:i4>
      </vt:variant>
      <vt:variant>
        <vt:lpwstr>https://docs.cpuc.ca.gov/PublishedDocs/Published/G000/M521/K196/521196139.PDF</vt:lpwstr>
      </vt:variant>
      <vt:variant>
        <vt:lpwstr/>
      </vt:variant>
      <vt:variant>
        <vt:i4>1310786</vt:i4>
      </vt:variant>
      <vt:variant>
        <vt:i4>414</vt:i4>
      </vt:variant>
      <vt:variant>
        <vt:i4>0</vt:i4>
      </vt:variant>
      <vt:variant>
        <vt:i4>5</vt:i4>
      </vt:variant>
      <vt:variant>
        <vt:lpwstr>https://docs.cpuc.ca.gov/PublishedDocs/Published/G000/M461/K921/461921821.PDF</vt:lpwstr>
      </vt:variant>
      <vt:variant>
        <vt:lpwstr/>
      </vt:variant>
      <vt:variant>
        <vt:i4>1966149</vt:i4>
      </vt:variant>
      <vt:variant>
        <vt:i4>411</vt:i4>
      </vt:variant>
      <vt:variant>
        <vt:i4>0</vt:i4>
      </vt:variant>
      <vt:variant>
        <vt:i4>5</vt:i4>
      </vt:variant>
      <vt:variant>
        <vt:lpwstr>https://docs.cpuc.ca.gov/PublishedDocs/Published/G000/M316/K704/316704666.PDF</vt:lpwstr>
      </vt:variant>
      <vt:variant>
        <vt:lpwstr/>
      </vt:variant>
      <vt:variant>
        <vt:i4>1114188</vt:i4>
      </vt:variant>
      <vt:variant>
        <vt:i4>408</vt:i4>
      </vt:variant>
      <vt:variant>
        <vt:i4>0</vt:i4>
      </vt:variant>
      <vt:variant>
        <vt:i4>5</vt:i4>
      </vt:variant>
      <vt:variant>
        <vt:lpwstr>https://docs.cpuc.ca.gov/PublishedDocs/Published/G000/M372/K329/372329202.PDF</vt:lpwstr>
      </vt:variant>
      <vt:variant>
        <vt:lpwstr/>
      </vt:variant>
      <vt:variant>
        <vt:i4>1572931</vt:i4>
      </vt:variant>
      <vt:variant>
        <vt:i4>405</vt:i4>
      </vt:variant>
      <vt:variant>
        <vt:i4>0</vt:i4>
      </vt:variant>
      <vt:variant>
        <vt:i4>5</vt:i4>
      </vt:variant>
      <vt:variant>
        <vt:lpwstr>https://docs.cpuc.ca.gov/PublishedDocs/Published/G000/M620/K704/620704107.PDF</vt:lpwstr>
      </vt:variant>
      <vt:variant>
        <vt:lpwstr/>
      </vt:variant>
      <vt:variant>
        <vt:i4>1441857</vt:i4>
      </vt:variant>
      <vt:variant>
        <vt:i4>402</vt:i4>
      </vt:variant>
      <vt:variant>
        <vt:i4>0</vt:i4>
      </vt:variant>
      <vt:variant>
        <vt:i4>5</vt:i4>
      </vt:variant>
      <vt:variant>
        <vt:lpwstr>https://docs.cpuc.ca.gov/PublishedDocs/Published/G000/M596/K290/596290082.PDF</vt:lpwstr>
      </vt:variant>
      <vt:variant>
        <vt:lpwstr/>
      </vt:variant>
      <vt:variant>
        <vt:i4>1114186</vt:i4>
      </vt:variant>
      <vt:variant>
        <vt:i4>399</vt:i4>
      </vt:variant>
      <vt:variant>
        <vt:i4>0</vt:i4>
      </vt:variant>
      <vt:variant>
        <vt:i4>5</vt:i4>
      </vt:variant>
      <vt:variant>
        <vt:lpwstr>https://docs.cpuc.ca.gov/PublishedDocs/Published/G000/M550/K485/550485071.pdf</vt:lpwstr>
      </vt:variant>
      <vt:variant>
        <vt:lpwstr/>
      </vt:variant>
      <vt:variant>
        <vt:i4>1114186</vt:i4>
      </vt:variant>
      <vt:variant>
        <vt:i4>396</vt:i4>
      </vt:variant>
      <vt:variant>
        <vt:i4>0</vt:i4>
      </vt:variant>
      <vt:variant>
        <vt:i4>5</vt:i4>
      </vt:variant>
      <vt:variant>
        <vt:lpwstr>https://docs.cpuc.ca.gov/PublishedDocs/Published/G000/M550/K485/550485071.pdf</vt:lpwstr>
      </vt:variant>
      <vt:variant>
        <vt:lpwstr/>
      </vt:variant>
      <vt:variant>
        <vt:i4>7733308</vt:i4>
      </vt:variant>
      <vt:variant>
        <vt:i4>393</vt:i4>
      </vt:variant>
      <vt:variant>
        <vt:i4>0</vt:i4>
      </vt:variant>
      <vt:variant>
        <vt:i4>5</vt:i4>
      </vt:variant>
      <vt:variant>
        <vt:lpwstr>https://www.socalgas.com/sustainability/research-development-demonstration</vt:lpwstr>
      </vt:variant>
      <vt:variant>
        <vt:lpwstr/>
      </vt:variant>
      <vt:variant>
        <vt:i4>7733308</vt:i4>
      </vt:variant>
      <vt:variant>
        <vt:i4>390</vt:i4>
      </vt:variant>
      <vt:variant>
        <vt:i4>0</vt:i4>
      </vt:variant>
      <vt:variant>
        <vt:i4>5</vt:i4>
      </vt:variant>
      <vt:variant>
        <vt:lpwstr>https://www.socalgas.com/sustainability/research-development-demonstration</vt:lpwstr>
      </vt:variant>
      <vt:variant>
        <vt:lpwstr/>
      </vt:variant>
      <vt:variant>
        <vt:i4>7733308</vt:i4>
      </vt:variant>
      <vt:variant>
        <vt:i4>387</vt:i4>
      </vt:variant>
      <vt:variant>
        <vt:i4>0</vt:i4>
      </vt:variant>
      <vt:variant>
        <vt:i4>5</vt:i4>
      </vt:variant>
      <vt:variant>
        <vt:lpwstr>https://www.socalgas.com/sustainability/research-development-demonstration</vt:lpwstr>
      </vt:variant>
      <vt:variant>
        <vt:lpwstr/>
      </vt:variant>
      <vt:variant>
        <vt:i4>7733308</vt:i4>
      </vt:variant>
      <vt:variant>
        <vt:i4>384</vt:i4>
      </vt:variant>
      <vt:variant>
        <vt:i4>0</vt:i4>
      </vt:variant>
      <vt:variant>
        <vt:i4>5</vt:i4>
      </vt:variant>
      <vt:variant>
        <vt:lpwstr>https://www.socalgas.com/sustainability/research-development-demonstration</vt:lpwstr>
      </vt:variant>
      <vt:variant>
        <vt:lpwstr/>
      </vt:variant>
      <vt:variant>
        <vt:i4>7733308</vt:i4>
      </vt:variant>
      <vt:variant>
        <vt:i4>381</vt:i4>
      </vt:variant>
      <vt:variant>
        <vt:i4>0</vt:i4>
      </vt:variant>
      <vt:variant>
        <vt:i4>5</vt:i4>
      </vt:variant>
      <vt:variant>
        <vt:lpwstr>https://www.socalgas.com/sustainability/research-development-demonstration</vt:lpwstr>
      </vt:variant>
      <vt:variant>
        <vt:lpwstr/>
      </vt:variant>
      <vt:variant>
        <vt:i4>7733308</vt:i4>
      </vt:variant>
      <vt:variant>
        <vt:i4>378</vt:i4>
      </vt:variant>
      <vt:variant>
        <vt:i4>0</vt:i4>
      </vt:variant>
      <vt:variant>
        <vt:i4>5</vt:i4>
      </vt:variant>
      <vt:variant>
        <vt:lpwstr>https://www.socalgas.com/sustainability/research-development-demonstration</vt:lpwstr>
      </vt:variant>
      <vt:variant>
        <vt:lpwstr/>
      </vt:variant>
      <vt:variant>
        <vt:i4>7733308</vt:i4>
      </vt:variant>
      <vt:variant>
        <vt:i4>375</vt:i4>
      </vt:variant>
      <vt:variant>
        <vt:i4>0</vt:i4>
      </vt:variant>
      <vt:variant>
        <vt:i4>5</vt:i4>
      </vt:variant>
      <vt:variant>
        <vt:lpwstr>https://www.socalgas.com/sustainability/research-development-demonstration</vt:lpwstr>
      </vt:variant>
      <vt:variant>
        <vt:lpwstr/>
      </vt:variant>
      <vt:variant>
        <vt:i4>1114186</vt:i4>
      </vt:variant>
      <vt:variant>
        <vt:i4>372</vt:i4>
      </vt:variant>
      <vt:variant>
        <vt:i4>0</vt:i4>
      </vt:variant>
      <vt:variant>
        <vt:i4>5</vt:i4>
      </vt:variant>
      <vt:variant>
        <vt:lpwstr>https://docs.cpuc.ca.gov/PublishedDocs/Published/G000/M550/K485/550485071.pdf</vt:lpwstr>
      </vt:variant>
      <vt:variant>
        <vt:lpwstr/>
      </vt:variant>
      <vt:variant>
        <vt:i4>67</vt:i4>
      </vt:variant>
      <vt:variant>
        <vt:i4>369</vt:i4>
      </vt:variant>
      <vt:variant>
        <vt:i4>0</vt:i4>
      </vt:variant>
      <vt:variant>
        <vt:i4>5</vt:i4>
      </vt:variant>
      <vt:variant>
        <vt:lpwstr>https://www.youtube.com/watch?v=76fhv8z4WMc&amp;list=PL77ZHiqxkonc74ZHX02e1xIDWqd4qAbl8&amp;index=26</vt:lpwstr>
      </vt:variant>
      <vt:variant>
        <vt:lpwstr/>
      </vt:variant>
      <vt:variant>
        <vt:i4>1114186</vt:i4>
      </vt:variant>
      <vt:variant>
        <vt:i4>366</vt:i4>
      </vt:variant>
      <vt:variant>
        <vt:i4>0</vt:i4>
      </vt:variant>
      <vt:variant>
        <vt:i4>5</vt:i4>
      </vt:variant>
      <vt:variant>
        <vt:lpwstr>https://docs.cpuc.ca.gov/PublishedDocs/Published/G000/M550/K485/550485071.pdf</vt:lpwstr>
      </vt:variant>
      <vt:variant>
        <vt:lpwstr/>
      </vt:variant>
      <vt:variant>
        <vt:i4>5832727</vt:i4>
      </vt:variant>
      <vt:variant>
        <vt:i4>363</vt:i4>
      </vt:variant>
      <vt:variant>
        <vt:i4>0</vt:i4>
      </vt:variant>
      <vt:variant>
        <vt:i4>5</vt:i4>
      </vt:variant>
      <vt:variant>
        <vt:lpwstr>https://www.energy.ca.gov/sites/default/files/2025-10/CEC-500-2024-024-F.pdf</vt:lpwstr>
      </vt:variant>
      <vt:variant>
        <vt:lpwstr/>
      </vt:variant>
      <vt:variant>
        <vt:i4>67</vt:i4>
      </vt:variant>
      <vt:variant>
        <vt:i4>360</vt:i4>
      </vt:variant>
      <vt:variant>
        <vt:i4>0</vt:i4>
      </vt:variant>
      <vt:variant>
        <vt:i4>5</vt:i4>
      </vt:variant>
      <vt:variant>
        <vt:lpwstr>https://www.youtube.com/watch?v=76fhv8z4WMc&amp;list=PL77ZHiqxkonc74ZHX02e1xIDWqd4qAbl8&amp;index=26</vt:lpwstr>
      </vt:variant>
      <vt:variant>
        <vt:lpwstr/>
      </vt:variant>
      <vt:variant>
        <vt:i4>1310786</vt:i4>
      </vt:variant>
      <vt:variant>
        <vt:i4>357</vt:i4>
      </vt:variant>
      <vt:variant>
        <vt:i4>0</vt:i4>
      </vt:variant>
      <vt:variant>
        <vt:i4>5</vt:i4>
      </vt:variant>
      <vt:variant>
        <vt:lpwstr>https://docs.cpuc.ca.gov/PublishedDocs/Published/G000/M521/K196/521196139.PDF</vt:lpwstr>
      </vt:variant>
      <vt:variant>
        <vt:lpwstr/>
      </vt:variant>
      <vt:variant>
        <vt:i4>1966149</vt:i4>
      </vt:variant>
      <vt:variant>
        <vt:i4>354</vt:i4>
      </vt:variant>
      <vt:variant>
        <vt:i4>0</vt:i4>
      </vt:variant>
      <vt:variant>
        <vt:i4>5</vt:i4>
      </vt:variant>
      <vt:variant>
        <vt:lpwstr>https://docs.cpuc.ca.gov/PublishedDocs/Published/G000/M316/K704/316704666.PDF</vt:lpwstr>
      </vt:variant>
      <vt:variant>
        <vt:lpwstr/>
      </vt:variant>
      <vt:variant>
        <vt:i4>1310786</vt:i4>
      </vt:variant>
      <vt:variant>
        <vt:i4>351</vt:i4>
      </vt:variant>
      <vt:variant>
        <vt:i4>0</vt:i4>
      </vt:variant>
      <vt:variant>
        <vt:i4>5</vt:i4>
      </vt:variant>
      <vt:variant>
        <vt:lpwstr>https://docs.cpuc.ca.gov/PublishedDocs/Published/G000/M521/K196/521196139.PDF</vt:lpwstr>
      </vt:variant>
      <vt:variant>
        <vt:lpwstr/>
      </vt:variant>
      <vt:variant>
        <vt:i4>1310786</vt:i4>
      </vt:variant>
      <vt:variant>
        <vt:i4>348</vt:i4>
      </vt:variant>
      <vt:variant>
        <vt:i4>0</vt:i4>
      </vt:variant>
      <vt:variant>
        <vt:i4>5</vt:i4>
      </vt:variant>
      <vt:variant>
        <vt:lpwstr>https://docs.cpuc.ca.gov/PublishedDocs/Published/G000/M461/K921/461921821.PDF</vt:lpwstr>
      </vt:variant>
      <vt:variant>
        <vt:lpwstr/>
      </vt:variant>
      <vt:variant>
        <vt:i4>1966149</vt:i4>
      </vt:variant>
      <vt:variant>
        <vt:i4>345</vt:i4>
      </vt:variant>
      <vt:variant>
        <vt:i4>0</vt:i4>
      </vt:variant>
      <vt:variant>
        <vt:i4>5</vt:i4>
      </vt:variant>
      <vt:variant>
        <vt:lpwstr>https://docs.cpuc.ca.gov/PublishedDocs/Published/G000/M316/K704/316704666.PDF</vt:lpwstr>
      </vt:variant>
      <vt:variant>
        <vt:lpwstr/>
      </vt:variant>
      <vt:variant>
        <vt:i4>1114188</vt:i4>
      </vt:variant>
      <vt:variant>
        <vt:i4>342</vt:i4>
      </vt:variant>
      <vt:variant>
        <vt:i4>0</vt:i4>
      </vt:variant>
      <vt:variant>
        <vt:i4>5</vt:i4>
      </vt:variant>
      <vt:variant>
        <vt:lpwstr>https://docs.cpuc.ca.gov/PublishedDocs/Published/G000/M372/K329/372329202.PDF</vt:lpwstr>
      </vt:variant>
      <vt:variant>
        <vt:lpwstr/>
      </vt:variant>
      <vt:variant>
        <vt:i4>1572931</vt:i4>
      </vt:variant>
      <vt:variant>
        <vt:i4>339</vt:i4>
      </vt:variant>
      <vt:variant>
        <vt:i4>0</vt:i4>
      </vt:variant>
      <vt:variant>
        <vt:i4>5</vt:i4>
      </vt:variant>
      <vt:variant>
        <vt:lpwstr>https://docs.cpuc.ca.gov/PublishedDocs/Published/G000/M620/K704/620704107.PDF</vt:lpwstr>
      </vt:variant>
      <vt:variant>
        <vt:lpwstr/>
      </vt:variant>
      <vt:variant>
        <vt:i4>1441857</vt:i4>
      </vt:variant>
      <vt:variant>
        <vt:i4>336</vt:i4>
      </vt:variant>
      <vt:variant>
        <vt:i4>0</vt:i4>
      </vt:variant>
      <vt:variant>
        <vt:i4>5</vt:i4>
      </vt:variant>
      <vt:variant>
        <vt:lpwstr>https://docs.cpuc.ca.gov/PublishedDocs/Published/G000/M596/K290/596290082.PDF</vt:lpwstr>
      </vt:variant>
      <vt:variant>
        <vt:lpwstr/>
      </vt:variant>
      <vt:variant>
        <vt:i4>1114186</vt:i4>
      </vt:variant>
      <vt:variant>
        <vt:i4>333</vt:i4>
      </vt:variant>
      <vt:variant>
        <vt:i4>0</vt:i4>
      </vt:variant>
      <vt:variant>
        <vt:i4>5</vt:i4>
      </vt:variant>
      <vt:variant>
        <vt:lpwstr>https://docs.cpuc.ca.gov/PublishedDocs/Published/G000/M550/K485/550485071.pdf</vt:lpwstr>
      </vt:variant>
      <vt:variant>
        <vt:lpwstr/>
      </vt:variant>
      <vt:variant>
        <vt:i4>1114186</vt:i4>
      </vt:variant>
      <vt:variant>
        <vt:i4>330</vt:i4>
      </vt:variant>
      <vt:variant>
        <vt:i4>0</vt:i4>
      </vt:variant>
      <vt:variant>
        <vt:i4>5</vt:i4>
      </vt:variant>
      <vt:variant>
        <vt:lpwstr>https://docs.cpuc.ca.gov/PublishedDocs/Published/G000/M550/K485/550485071.pdf</vt:lpwstr>
      </vt:variant>
      <vt:variant>
        <vt:lpwstr/>
      </vt:variant>
      <vt:variant>
        <vt:i4>7733308</vt:i4>
      </vt:variant>
      <vt:variant>
        <vt:i4>327</vt:i4>
      </vt:variant>
      <vt:variant>
        <vt:i4>0</vt:i4>
      </vt:variant>
      <vt:variant>
        <vt:i4>5</vt:i4>
      </vt:variant>
      <vt:variant>
        <vt:lpwstr>https://www.socalgas.com/sustainability/research-development-demonstration</vt:lpwstr>
      </vt:variant>
      <vt:variant>
        <vt:lpwstr/>
      </vt:variant>
      <vt:variant>
        <vt:i4>1114186</vt:i4>
      </vt:variant>
      <vt:variant>
        <vt:i4>324</vt:i4>
      </vt:variant>
      <vt:variant>
        <vt:i4>0</vt:i4>
      </vt:variant>
      <vt:variant>
        <vt:i4>5</vt:i4>
      </vt:variant>
      <vt:variant>
        <vt:lpwstr>https://docs.cpuc.ca.gov/PublishedDocs/Published/G000/M550/K485/550485071.pdf</vt:lpwstr>
      </vt:variant>
      <vt:variant>
        <vt:lpwstr/>
      </vt:variant>
      <vt:variant>
        <vt:i4>67</vt:i4>
      </vt:variant>
      <vt:variant>
        <vt:i4>321</vt:i4>
      </vt:variant>
      <vt:variant>
        <vt:i4>0</vt:i4>
      </vt:variant>
      <vt:variant>
        <vt:i4>5</vt:i4>
      </vt:variant>
      <vt:variant>
        <vt:lpwstr>https://www.youtube.com/watch?v=76fhv8z4WMc&amp;list=PL77ZHiqxkonc74ZHX02e1xIDWqd4qAbl8&amp;index=26</vt:lpwstr>
      </vt:variant>
      <vt:variant>
        <vt:lpwstr/>
      </vt:variant>
      <vt:variant>
        <vt:i4>1114186</vt:i4>
      </vt:variant>
      <vt:variant>
        <vt:i4>318</vt:i4>
      </vt:variant>
      <vt:variant>
        <vt:i4>0</vt:i4>
      </vt:variant>
      <vt:variant>
        <vt:i4>5</vt:i4>
      </vt:variant>
      <vt:variant>
        <vt:lpwstr>https://docs.cpuc.ca.gov/PublishedDocs/Published/G000/M550/K485/550485071.pdf</vt:lpwstr>
      </vt:variant>
      <vt:variant>
        <vt:lpwstr/>
      </vt:variant>
      <vt:variant>
        <vt:i4>1638489</vt:i4>
      </vt:variant>
      <vt:variant>
        <vt:i4>315</vt:i4>
      </vt:variant>
      <vt:variant>
        <vt:i4>0</vt:i4>
      </vt:variant>
      <vt:variant>
        <vt:i4>5</vt:i4>
      </vt:variant>
      <vt:variant>
        <vt:lpwstr>https://docs.cpuc.ca.gov/PublishedDocs/WORD_PDF/FINAL_DECISION/167664.PDF</vt:lpwstr>
      </vt:variant>
      <vt:variant>
        <vt:lpwstr/>
      </vt:variant>
      <vt:variant>
        <vt:i4>1310786</vt:i4>
      </vt:variant>
      <vt:variant>
        <vt:i4>312</vt:i4>
      </vt:variant>
      <vt:variant>
        <vt:i4>0</vt:i4>
      </vt:variant>
      <vt:variant>
        <vt:i4>5</vt:i4>
      </vt:variant>
      <vt:variant>
        <vt:lpwstr>https://docs.cpuc.ca.gov/PublishedDocs/Published/G000/M521/K196/521196139.PDF</vt:lpwstr>
      </vt:variant>
      <vt:variant>
        <vt:lpwstr/>
      </vt:variant>
      <vt:variant>
        <vt:i4>1114178</vt:i4>
      </vt:variant>
      <vt:variant>
        <vt:i4>309</vt:i4>
      </vt:variant>
      <vt:variant>
        <vt:i4>0</vt:i4>
      </vt:variant>
      <vt:variant>
        <vt:i4>5</vt:i4>
      </vt:variant>
      <vt:variant>
        <vt:lpwstr>https://docs.cpuc.ca.gov/PublishedDocs/Published/G000/M507/K499/507499284.PDF</vt:lpwstr>
      </vt:variant>
      <vt:variant>
        <vt:lpwstr/>
      </vt:variant>
      <vt:variant>
        <vt:i4>1310786</vt:i4>
      </vt:variant>
      <vt:variant>
        <vt:i4>306</vt:i4>
      </vt:variant>
      <vt:variant>
        <vt:i4>0</vt:i4>
      </vt:variant>
      <vt:variant>
        <vt:i4>5</vt:i4>
      </vt:variant>
      <vt:variant>
        <vt:lpwstr>https://docs.cpuc.ca.gov/PublishedDocs/Published/G000/M521/K196/521196139.PDF</vt:lpwstr>
      </vt:variant>
      <vt:variant>
        <vt:lpwstr/>
      </vt:variant>
      <vt:variant>
        <vt:i4>1704000</vt:i4>
      </vt:variant>
      <vt:variant>
        <vt:i4>303</vt:i4>
      </vt:variant>
      <vt:variant>
        <vt:i4>0</vt:i4>
      </vt:variant>
      <vt:variant>
        <vt:i4>5</vt:i4>
      </vt:variant>
      <vt:variant>
        <vt:lpwstr>https://docs.cpuc.ca.gov/PublishedDocs/Published/G000/M425/K515/425515575.PDF</vt:lpwstr>
      </vt:variant>
      <vt:variant>
        <vt:lpwstr/>
      </vt:variant>
      <vt:variant>
        <vt:i4>1638489</vt:i4>
      </vt:variant>
      <vt:variant>
        <vt:i4>300</vt:i4>
      </vt:variant>
      <vt:variant>
        <vt:i4>0</vt:i4>
      </vt:variant>
      <vt:variant>
        <vt:i4>5</vt:i4>
      </vt:variant>
      <vt:variant>
        <vt:lpwstr>https://docs.cpuc.ca.gov/PublishedDocs/WORD_PDF/FINAL_DECISION/167664.PDF</vt:lpwstr>
      </vt:variant>
      <vt:variant>
        <vt:lpwstr/>
      </vt:variant>
      <vt:variant>
        <vt:i4>1310786</vt:i4>
      </vt:variant>
      <vt:variant>
        <vt:i4>297</vt:i4>
      </vt:variant>
      <vt:variant>
        <vt:i4>0</vt:i4>
      </vt:variant>
      <vt:variant>
        <vt:i4>5</vt:i4>
      </vt:variant>
      <vt:variant>
        <vt:lpwstr>https://docs.cpuc.ca.gov/PublishedDocs/Published/G000/M521/K196/521196139.PDF</vt:lpwstr>
      </vt:variant>
      <vt:variant>
        <vt:lpwstr/>
      </vt:variant>
      <vt:variant>
        <vt:i4>1310786</vt:i4>
      </vt:variant>
      <vt:variant>
        <vt:i4>294</vt:i4>
      </vt:variant>
      <vt:variant>
        <vt:i4>0</vt:i4>
      </vt:variant>
      <vt:variant>
        <vt:i4>5</vt:i4>
      </vt:variant>
      <vt:variant>
        <vt:lpwstr>https://docs.cpuc.ca.gov/PublishedDocs/Published/G000/M461/K921/461921821.PDF</vt:lpwstr>
      </vt:variant>
      <vt:variant>
        <vt:lpwstr/>
      </vt:variant>
      <vt:variant>
        <vt:i4>1310786</vt:i4>
      </vt:variant>
      <vt:variant>
        <vt:i4>291</vt:i4>
      </vt:variant>
      <vt:variant>
        <vt:i4>0</vt:i4>
      </vt:variant>
      <vt:variant>
        <vt:i4>5</vt:i4>
      </vt:variant>
      <vt:variant>
        <vt:lpwstr>https://docs.cpuc.ca.gov/PublishedDocs/Published/G000/M461/K921/461921821.PDF</vt:lpwstr>
      </vt:variant>
      <vt:variant>
        <vt:lpwstr/>
      </vt:variant>
      <vt:variant>
        <vt:i4>1114188</vt:i4>
      </vt:variant>
      <vt:variant>
        <vt:i4>288</vt:i4>
      </vt:variant>
      <vt:variant>
        <vt:i4>0</vt:i4>
      </vt:variant>
      <vt:variant>
        <vt:i4>5</vt:i4>
      </vt:variant>
      <vt:variant>
        <vt:lpwstr>https://docs.cpuc.ca.gov/PublishedDocs/Published/G000/M372/K329/372329202.PDF</vt:lpwstr>
      </vt:variant>
      <vt:variant>
        <vt:lpwstr/>
      </vt:variant>
      <vt:variant>
        <vt:i4>1310786</vt:i4>
      </vt:variant>
      <vt:variant>
        <vt:i4>285</vt:i4>
      </vt:variant>
      <vt:variant>
        <vt:i4>0</vt:i4>
      </vt:variant>
      <vt:variant>
        <vt:i4>5</vt:i4>
      </vt:variant>
      <vt:variant>
        <vt:lpwstr>https://docs.cpuc.ca.gov/PublishedDocs/Published/G000/M521/K196/521196139.PDF</vt:lpwstr>
      </vt:variant>
      <vt:variant>
        <vt:lpwstr/>
      </vt:variant>
      <vt:variant>
        <vt:i4>1310786</vt:i4>
      </vt:variant>
      <vt:variant>
        <vt:i4>282</vt:i4>
      </vt:variant>
      <vt:variant>
        <vt:i4>0</vt:i4>
      </vt:variant>
      <vt:variant>
        <vt:i4>5</vt:i4>
      </vt:variant>
      <vt:variant>
        <vt:lpwstr>https://docs.cpuc.ca.gov/PublishedDocs/Published/G000/M461/K921/461921821.PDF</vt:lpwstr>
      </vt:variant>
      <vt:variant>
        <vt:lpwstr/>
      </vt:variant>
      <vt:variant>
        <vt:i4>1114188</vt:i4>
      </vt:variant>
      <vt:variant>
        <vt:i4>279</vt:i4>
      </vt:variant>
      <vt:variant>
        <vt:i4>0</vt:i4>
      </vt:variant>
      <vt:variant>
        <vt:i4>5</vt:i4>
      </vt:variant>
      <vt:variant>
        <vt:lpwstr>https://docs.cpuc.ca.gov/PublishedDocs/Published/G000/M372/K329/372329202.PDF</vt:lpwstr>
      </vt:variant>
      <vt:variant>
        <vt:lpwstr/>
      </vt:variant>
      <vt:variant>
        <vt:i4>1310786</vt:i4>
      </vt:variant>
      <vt:variant>
        <vt:i4>276</vt:i4>
      </vt:variant>
      <vt:variant>
        <vt:i4>0</vt:i4>
      </vt:variant>
      <vt:variant>
        <vt:i4>5</vt:i4>
      </vt:variant>
      <vt:variant>
        <vt:lpwstr>https://docs.cpuc.ca.gov/PublishedDocs/Published/G000/M461/K921/461921821.PDF</vt:lpwstr>
      </vt:variant>
      <vt:variant>
        <vt:lpwstr/>
      </vt:variant>
      <vt:variant>
        <vt:i4>1310786</vt:i4>
      </vt:variant>
      <vt:variant>
        <vt:i4>273</vt:i4>
      </vt:variant>
      <vt:variant>
        <vt:i4>0</vt:i4>
      </vt:variant>
      <vt:variant>
        <vt:i4>5</vt:i4>
      </vt:variant>
      <vt:variant>
        <vt:lpwstr>https://docs.cpuc.ca.gov/PublishedDocs/Published/G000/M521/K196/521196139.PDF</vt:lpwstr>
      </vt:variant>
      <vt:variant>
        <vt:lpwstr/>
      </vt:variant>
      <vt:variant>
        <vt:i4>1114188</vt:i4>
      </vt:variant>
      <vt:variant>
        <vt:i4>270</vt:i4>
      </vt:variant>
      <vt:variant>
        <vt:i4>0</vt:i4>
      </vt:variant>
      <vt:variant>
        <vt:i4>5</vt:i4>
      </vt:variant>
      <vt:variant>
        <vt:lpwstr>https://docs.cpuc.ca.gov/PublishedDocs/Published/G000/M372/K329/372329202.PDF</vt:lpwstr>
      </vt:variant>
      <vt:variant>
        <vt:lpwstr/>
      </vt:variant>
      <vt:variant>
        <vt:i4>1310786</vt:i4>
      </vt:variant>
      <vt:variant>
        <vt:i4>267</vt:i4>
      </vt:variant>
      <vt:variant>
        <vt:i4>0</vt:i4>
      </vt:variant>
      <vt:variant>
        <vt:i4>5</vt:i4>
      </vt:variant>
      <vt:variant>
        <vt:lpwstr>https://docs.cpuc.ca.gov/PublishedDocs/Published/G000/M461/K921/461921821.PDF</vt:lpwstr>
      </vt:variant>
      <vt:variant>
        <vt:lpwstr/>
      </vt:variant>
      <vt:variant>
        <vt:i4>1114188</vt:i4>
      </vt:variant>
      <vt:variant>
        <vt:i4>264</vt:i4>
      </vt:variant>
      <vt:variant>
        <vt:i4>0</vt:i4>
      </vt:variant>
      <vt:variant>
        <vt:i4>5</vt:i4>
      </vt:variant>
      <vt:variant>
        <vt:lpwstr>https://docs.cpuc.ca.gov/PublishedDocs/Published/G000/M372/K329/372329202.PDF</vt:lpwstr>
      </vt:variant>
      <vt:variant>
        <vt:lpwstr/>
      </vt:variant>
      <vt:variant>
        <vt:i4>1114188</vt:i4>
      </vt:variant>
      <vt:variant>
        <vt:i4>261</vt:i4>
      </vt:variant>
      <vt:variant>
        <vt:i4>0</vt:i4>
      </vt:variant>
      <vt:variant>
        <vt:i4>5</vt:i4>
      </vt:variant>
      <vt:variant>
        <vt:lpwstr>https://docs.cpuc.ca.gov/PublishedDocs/Published/G000/M372/K329/372329202.PDF</vt:lpwstr>
      </vt:variant>
      <vt:variant>
        <vt:lpwstr/>
      </vt:variant>
      <vt:variant>
        <vt:i4>2031680</vt:i4>
      </vt:variant>
      <vt:variant>
        <vt:i4>258</vt:i4>
      </vt:variant>
      <vt:variant>
        <vt:i4>0</vt:i4>
      </vt:variant>
      <vt:variant>
        <vt:i4>5</vt:i4>
      </vt:variant>
      <vt:variant>
        <vt:lpwstr>https://docs.cpuc.ca.gov/PublishedDocs/Published/G000/M614/K716/614716938.PDF</vt:lpwstr>
      </vt:variant>
      <vt:variant>
        <vt:lpwstr/>
      </vt:variant>
      <vt:variant>
        <vt:i4>1310786</vt:i4>
      </vt:variant>
      <vt:variant>
        <vt:i4>255</vt:i4>
      </vt:variant>
      <vt:variant>
        <vt:i4>0</vt:i4>
      </vt:variant>
      <vt:variant>
        <vt:i4>5</vt:i4>
      </vt:variant>
      <vt:variant>
        <vt:lpwstr>https://docs.cpuc.ca.gov/PublishedDocs/Published/G000/M521/K196/521196139.PDF</vt:lpwstr>
      </vt:variant>
      <vt:variant>
        <vt:lpwstr/>
      </vt:variant>
      <vt:variant>
        <vt:i4>1310786</vt:i4>
      </vt:variant>
      <vt:variant>
        <vt:i4>252</vt:i4>
      </vt:variant>
      <vt:variant>
        <vt:i4>0</vt:i4>
      </vt:variant>
      <vt:variant>
        <vt:i4>5</vt:i4>
      </vt:variant>
      <vt:variant>
        <vt:lpwstr>https://docs.cpuc.ca.gov/PublishedDocs/Published/G000/M521/K196/521196139.PDF</vt:lpwstr>
      </vt:variant>
      <vt:variant>
        <vt:lpwstr/>
      </vt:variant>
      <vt:variant>
        <vt:i4>1966149</vt:i4>
      </vt:variant>
      <vt:variant>
        <vt:i4>249</vt:i4>
      </vt:variant>
      <vt:variant>
        <vt:i4>0</vt:i4>
      </vt:variant>
      <vt:variant>
        <vt:i4>5</vt:i4>
      </vt:variant>
      <vt:variant>
        <vt:lpwstr>https://docs.cpuc.ca.gov/PublishedDocs/Published/G000/M316/K704/316704666.PDF</vt:lpwstr>
      </vt:variant>
      <vt:variant>
        <vt:lpwstr/>
      </vt:variant>
      <vt:variant>
        <vt:i4>1441857</vt:i4>
      </vt:variant>
      <vt:variant>
        <vt:i4>246</vt:i4>
      </vt:variant>
      <vt:variant>
        <vt:i4>0</vt:i4>
      </vt:variant>
      <vt:variant>
        <vt:i4>5</vt:i4>
      </vt:variant>
      <vt:variant>
        <vt:lpwstr>https://docs.cpuc.ca.gov/PublishedDocs/Published/G000/M596/K290/596290082.PDF</vt:lpwstr>
      </vt:variant>
      <vt:variant>
        <vt:lpwstr/>
      </vt:variant>
      <vt:variant>
        <vt:i4>1966149</vt:i4>
      </vt:variant>
      <vt:variant>
        <vt:i4>243</vt:i4>
      </vt:variant>
      <vt:variant>
        <vt:i4>0</vt:i4>
      </vt:variant>
      <vt:variant>
        <vt:i4>5</vt:i4>
      </vt:variant>
      <vt:variant>
        <vt:lpwstr>https://docs.cpuc.ca.gov/PublishedDocs/Published/G000/M316/K704/316704666.PDF</vt:lpwstr>
      </vt:variant>
      <vt:variant>
        <vt:lpwstr/>
      </vt:variant>
      <vt:variant>
        <vt:i4>1114186</vt:i4>
      </vt:variant>
      <vt:variant>
        <vt:i4>240</vt:i4>
      </vt:variant>
      <vt:variant>
        <vt:i4>0</vt:i4>
      </vt:variant>
      <vt:variant>
        <vt:i4>5</vt:i4>
      </vt:variant>
      <vt:variant>
        <vt:lpwstr>https://docs.cpuc.ca.gov/PublishedDocs/Published/G000/M550/K485/550485071.pdf</vt:lpwstr>
      </vt:variant>
      <vt:variant>
        <vt:lpwstr/>
      </vt:variant>
      <vt:variant>
        <vt:i4>1966149</vt:i4>
      </vt:variant>
      <vt:variant>
        <vt:i4>237</vt:i4>
      </vt:variant>
      <vt:variant>
        <vt:i4>0</vt:i4>
      </vt:variant>
      <vt:variant>
        <vt:i4>5</vt:i4>
      </vt:variant>
      <vt:variant>
        <vt:lpwstr>https://docs.cpuc.ca.gov/PublishedDocs/Published/G000/M316/K704/316704666.PDF</vt:lpwstr>
      </vt:variant>
      <vt:variant>
        <vt:lpwstr/>
      </vt:variant>
      <vt:variant>
        <vt:i4>1114186</vt:i4>
      </vt:variant>
      <vt:variant>
        <vt:i4>234</vt:i4>
      </vt:variant>
      <vt:variant>
        <vt:i4>0</vt:i4>
      </vt:variant>
      <vt:variant>
        <vt:i4>5</vt:i4>
      </vt:variant>
      <vt:variant>
        <vt:lpwstr>https://docs.cpuc.ca.gov/PublishedDocs/Published/G000/M550/K485/550485071.pdf</vt:lpwstr>
      </vt:variant>
      <vt:variant>
        <vt:lpwstr/>
      </vt:variant>
      <vt:variant>
        <vt:i4>1966149</vt:i4>
      </vt:variant>
      <vt:variant>
        <vt:i4>231</vt:i4>
      </vt:variant>
      <vt:variant>
        <vt:i4>0</vt:i4>
      </vt:variant>
      <vt:variant>
        <vt:i4>5</vt:i4>
      </vt:variant>
      <vt:variant>
        <vt:lpwstr>https://docs.cpuc.ca.gov/PublishedDocs/Published/G000/M316/K704/316704666.PDF</vt:lpwstr>
      </vt:variant>
      <vt:variant>
        <vt:lpwstr/>
      </vt:variant>
      <vt:variant>
        <vt:i4>1310786</vt:i4>
      </vt:variant>
      <vt:variant>
        <vt:i4>228</vt:i4>
      </vt:variant>
      <vt:variant>
        <vt:i4>0</vt:i4>
      </vt:variant>
      <vt:variant>
        <vt:i4>5</vt:i4>
      </vt:variant>
      <vt:variant>
        <vt:lpwstr>https://docs.cpuc.ca.gov/PublishedDocs/Published/G000/M521/K196/521196139.PDF</vt:lpwstr>
      </vt:variant>
      <vt:variant>
        <vt:lpwstr/>
      </vt:variant>
      <vt:variant>
        <vt:i4>1310786</vt:i4>
      </vt:variant>
      <vt:variant>
        <vt:i4>225</vt:i4>
      </vt:variant>
      <vt:variant>
        <vt:i4>0</vt:i4>
      </vt:variant>
      <vt:variant>
        <vt:i4>5</vt:i4>
      </vt:variant>
      <vt:variant>
        <vt:lpwstr>https://docs.cpuc.ca.gov/PublishedDocs/Published/G000/M461/K921/461921821.PDF</vt:lpwstr>
      </vt:variant>
      <vt:variant>
        <vt:lpwstr/>
      </vt:variant>
      <vt:variant>
        <vt:i4>1114188</vt:i4>
      </vt:variant>
      <vt:variant>
        <vt:i4>222</vt:i4>
      </vt:variant>
      <vt:variant>
        <vt:i4>0</vt:i4>
      </vt:variant>
      <vt:variant>
        <vt:i4>5</vt:i4>
      </vt:variant>
      <vt:variant>
        <vt:lpwstr>https://docs.cpuc.ca.gov/PublishedDocs/Published/G000/M372/K329/372329202.PDF</vt:lpwstr>
      </vt:variant>
      <vt:variant>
        <vt:lpwstr/>
      </vt:variant>
      <vt:variant>
        <vt:i4>6488126</vt:i4>
      </vt:variant>
      <vt:variant>
        <vt:i4>219</vt:i4>
      </vt:variant>
      <vt:variant>
        <vt:i4>0</vt:i4>
      </vt:variant>
      <vt:variant>
        <vt:i4>5</vt:i4>
      </vt:variant>
      <vt:variant>
        <vt:lpwstr>https://acrobat.adobe.com/id/urn:aaid:sc:VA6C2:99c90760-e561-4a95-8fbe-82192adb864b</vt:lpwstr>
      </vt:variant>
      <vt:variant>
        <vt:lpwstr/>
      </vt:variant>
      <vt:variant>
        <vt:i4>1310786</vt:i4>
      </vt:variant>
      <vt:variant>
        <vt:i4>216</vt:i4>
      </vt:variant>
      <vt:variant>
        <vt:i4>0</vt:i4>
      </vt:variant>
      <vt:variant>
        <vt:i4>5</vt:i4>
      </vt:variant>
      <vt:variant>
        <vt:lpwstr>https://docs.cpuc.ca.gov/PublishedDocs/Published/G000/M461/K921/461921821.PDF</vt:lpwstr>
      </vt:variant>
      <vt:variant>
        <vt:lpwstr/>
      </vt:variant>
      <vt:variant>
        <vt:i4>1572941</vt:i4>
      </vt:variant>
      <vt:variant>
        <vt:i4>213</vt:i4>
      </vt:variant>
      <vt:variant>
        <vt:i4>0</vt:i4>
      </vt:variant>
      <vt:variant>
        <vt:i4>5</vt:i4>
      </vt:variant>
      <vt:variant>
        <vt:lpwstr>https://docs.cpuc.ca.gov/PublishedDocs/Published/G000/M350/K789/350789679.PDF</vt:lpwstr>
      </vt:variant>
      <vt:variant>
        <vt:lpwstr/>
      </vt:variant>
      <vt:variant>
        <vt:i4>1966149</vt:i4>
      </vt:variant>
      <vt:variant>
        <vt:i4>210</vt:i4>
      </vt:variant>
      <vt:variant>
        <vt:i4>0</vt:i4>
      </vt:variant>
      <vt:variant>
        <vt:i4>5</vt:i4>
      </vt:variant>
      <vt:variant>
        <vt:lpwstr>https://docs.cpuc.ca.gov/PublishedDocs/Published/G000/M316/K704/316704666.PDF</vt:lpwstr>
      </vt:variant>
      <vt:variant>
        <vt:lpwstr/>
      </vt:variant>
      <vt:variant>
        <vt:i4>1310786</vt:i4>
      </vt:variant>
      <vt:variant>
        <vt:i4>207</vt:i4>
      </vt:variant>
      <vt:variant>
        <vt:i4>0</vt:i4>
      </vt:variant>
      <vt:variant>
        <vt:i4>5</vt:i4>
      </vt:variant>
      <vt:variant>
        <vt:lpwstr>https://docs.cpuc.ca.gov/PublishedDocs/Published/G000/M521/K196/521196139.PDF</vt:lpwstr>
      </vt:variant>
      <vt:variant>
        <vt:lpwstr/>
      </vt:variant>
      <vt:variant>
        <vt:i4>1310786</vt:i4>
      </vt:variant>
      <vt:variant>
        <vt:i4>204</vt:i4>
      </vt:variant>
      <vt:variant>
        <vt:i4>0</vt:i4>
      </vt:variant>
      <vt:variant>
        <vt:i4>5</vt:i4>
      </vt:variant>
      <vt:variant>
        <vt:lpwstr>https://docs.cpuc.ca.gov/PublishedDocs/Published/G000/M521/K196/521196139.PDF</vt:lpwstr>
      </vt:variant>
      <vt:variant>
        <vt:lpwstr/>
      </vt:variant>
      <vt:variant>
        <vt:i4>1310786</vt:i4>
      </vt:variant>
      <vt:variant>
        <vt:i4>201</vt:i4>
      </vt:variant>
      <vt:variant>
        <vt:i4>0</vt:i4>
      </vt:variant>
      <vt:variant>
        <vt:i4>5</vt:i4>
      </vt:variant>
      <vt:variant>
        <vt:lpwstr>https://docs.cpuc.ca.gov/PublishedDocs/Published/G000/M461/K921/461921821.PDF</vt:lpwstr>
      </vt:variant>
      <vt:variant>
        <vt:lpwstr/>
      </vt:variant>
      <vt:variant>
        <vt:i4>1114188</vt:i4>
      </vt:variant>
      <vt:variant>
        <vt:i4>198</vt:i4>
      </vt:variant>
      <vt:variant>
        <vt:i4>0</vt:i4>
      </vt:variant>
      <vt:variant>
        <vt:i4>5</vt:i4>
      </vt:variant>
      <vt:variant>
        <vt:lpwstr>https://docs.cpuc.ca.gov/PublishedDocs/Published/G000/M372/K329/372329202.PDF</vt:lpwstr>
      </vt:variant>
      <vt:variant>
        <vt:lpwstr/>
      </vt:variant>
      <vt:variant>
        <vt:i4>1900608</vt:i4>
      </vt:variant>
      <vt:variant>
        <vt:i4>195</vt:i4>
      </vt:variant>
      <vt:variant>
        <vt:i4>0</vt:i4>
      </vt:variant>
      <vt:variant>
        <vt:i4>5</vt:i4>
      </vt:variant>
      <vt:variant>
        <vt:lpwstr>https://docs.cpuc.ca.gov/PublishedDocs/Published/G000/M310/K136/310136145.PDF</vt:lpwstr>
      </vt:variant>
      <vt:variant>
        <vt:lpwstr/>
      </vt:variant>
      <vt:variant>
        <vt:i4>1245259</vt:i4>
      </vt:variant>
      <vt:variant>
        <vt:i4>192</vt:i4>
      </vt:variant>
      <vt:variant>
        <vt:i4>0</vt:i4>
      </vt:variant>
      <vt:variant>
        <vt:i4>5</vt:i4>
      </vt:variant>
      <vt:variant>
        <vt:lpwstr>https://docs.cpuc.ca.gov/PublishedDocs/Published/G000/M527/K228/527228647.PDF</vt:lpwstr>
      </vt:variant>
      <vt:variant>
        <vt:lpwstr/>
      </vt:variant>
      <vt:variant>
        <vt:i4>1310786</vt:i4>
      </vt:variant>
      <vt:variant>
        <vt:i4>189</vt:i4>
      </vt:variant>
      <vt:variant>
        <vt:i4>0</vt:i4>
      </vt:variant>
      <vt:variant>
        <vt:i4>5</vt:i4>
      </vt:variant>
      <vt:variant>
        <vt:lpwstr>https://docs.cpuc.ca.gov/PublishedDocs/Published/G000/M521/K196/521196139.PDF</vt:lpwstr>
      </vt:variant>
      <vt:variant>
        <vt:lpwstr/>
      </vt:variant>
      <vt:variant>
        <vt:i4>1310786</vt:i4>
      </vt:variant>
      <vt:variant>
        <vt:i4>186</vt:i4>
      </vt:variant>
      <vt:variant>
        <vt:i4>0</vt:i4>
      </vt:variant>
      <vt:variant>
        <vt:i4>5</vt:i4>
      </vt:variant>
      <vt:variant>
        <vt:lpwstr>https://docs.cpuc.ca.gov/PublishedDocs/Published/G000/M521/K196/521196139.PDF</vt:lpwstr>
      </vt:variant>
      <vt:variant>
        <vt:lpwstr/>
      </vt:variant>
      <vt:variant>
        <vt:i4>1310786</vt:i4>
      </vt:variant>
      <vt:variant>
        <vt:i4>183</vt:i4>
      </vt:variant>
      <vt:variant>
        <vt:i4>0</vt:i4>
      </vt:variant>
      <vt:variant>
        <vt:i4>5</vt:i4>
      </vt:variant>
      <vt:variant>
        <vt:lpwstr>https://docs.cpuc.ca.gov/PublishedDocs/Published/G000/M461/K921/461921821.PDF</vt:lpwstr>
      </vt:variant>
      <vt:variant>
        <vt:lpwstr/>
      </vt:variant>
      <vt:variant>
        <vt:i4>1114178</vt:i4>
      </vt:variant>
      <vt:variant>
        <vt:i4>180</vt:i4>
      </vt:variant>
      <vt:variant>
        <vt:i4>0</vt:i4>
      </vt:variant>
      <vt:variant>
        <vt:i4>5</vt:i4>
      </vt:variant>
      <vt:variant>
        <vt:lpwstr>https://docs.cpuc.ca.gov/PublishedDocs/Published/G000/M507/K499/507499284.PDF</vt:lpwstr>
      </vt:variant>
      <vt:variant>
        <vt:lpwstr/>
      </vt:variant>
      <vt:variant>
        <vt:i4>1441857</vt:i4>
      </vt:variant>
      <vt:variant>
        <vt:i4>177</vt:i4>
      </vt:variant>
      <vt:variant>
        <vt:i4>0</vt:i4>
      </vt:variant>
      <vt:variant>
        <vt:i4>5</vt:i4>
      </vt:variant>
      <vt:variant>
        <vt:lpwstr>https://docs.cpuc.ca.gov/PublishedDocs/Published/G000/M596/K290/596290082.PDF</vt:lpwstr>
      </vt:variant>
      <vt:variant>
        <vt:lpwstr/>
      </vt:variant>
      <vt:variant>
        <vt:i4>1704005</vt:i4>
      </vt:variant>
      <vt:variant>
        <vt:i4>174</vt:i4>
      </vt:variant>
      <vt:variant>
        <vt:i4>0</vt:i4>
      </vt:variant>
      <vt:variant>
        <vt:i4>5</vt:i4>
      </vt:variant>
      <vt:variant>
        <vt:lpwstr>https://docs.cpuc.ca.gov/PublishedDocs/Published/G000/M500/K216/500216057.PDF</vt:lpwstr>
      </vt:variant>
      <vt:variant>
        <vt:lpwstr/>
      </vt:variant>
      <vt:variant>
        <vt:i4>1310786</vt:i4>
      </vt:variant>
      <vt:variant>
        <vt:i4>171</vt:i4>
      </vt:variant>
      <vt:variant>
        <vt:i4>0</vt:i4>
      </vt:variant>
      <vt:variant>
        <vt:i4>5</vt:i4>
      </vt:variant>
      <vt:variant>
        <vt:lpwstr>https://docs.cpuc.ca.gov/PublishedDocs/Published/G000/M521/K196/521196139.PDF</vt:lpwstr>
      </vt:variant>
      <vt:variant>
        <vt:lpwstr/>
      </vt:variant>
      <vt:variant>
        <vt:i4>1310786</vt:i4>
      </vt:variant>
      <vt:variant>
        <vt:i4>168</vt:i4>
      </vt:variant>
      <vt:variant>
        <vt:i4>0</vt:i4>
      </vt:variant>
      <vt:variant>
        <vt:i4>5</vt:i4>
      </vt:variant>
      <vt:variant>
        <vt:lpwstr>https://docs.cpuc.ca.gov/PublishedDocs/Published/G000/M521/K196/521196139.PDF</vt:lpwstr>
      </vt:variant>
      <vt:variant>
        <vt:lpwstr/>
      </vt:variant>
      <vt:variant>
        <vt:i4>1704000</vt:i4>
      </vt:variant>
      <vt:variant>
        <vt:i4>165</vt:i4>
      </vt:variant>
      <vt:variant>
        <vt:i4>0</vt:i4>
      </vt:variant>
      <vt:variant>
        <vt:i4>5</vt:i4>
      </vt:variant>
      <vt:variant>
        <vt:lpwstr>https://docs.cpuc.ca.gov/PublishedDocs/Published/G000/M425/K515/425515575.PDF</vt:lpwstr>
      </vt:variant>
      <vt:variant>
        <vt:lpwstr/>
      </vt:variant>
      <vt:variant>
        <vt:i4>1638489</vt:i4>
      </vt:variant>
      <vt:variant>
        <vt:i4>162</vt:i4>
      </vt:variant>
      <vt:variant>
        <vt:i4>0</vt:i4>
      </vt:variant>
      <vt:variant>
        <vt:i4>5</vt:i4>
      </vt:variant>
      <vt:variant>
        <vt:lpwstr>https://docs.cpuc.ca.gov/PublishedDocs/WORD_PDF/FINAL_DECISION/167664.PDF</vt:lpwstr>
      </vt:variant>
      <vt:variant>
        <vt:lpwstr/>
      </vt:variant>
      <vt:variant>
        <vt:i4>3211386</vt:i4>
      </vt:variant>
      <vt:variant>
        <vt:i4>159</vt:i4>
      </vt:variant>
      <vt:variant>
        <vt:i4>0</vt:i4>
      </vt:variant>
      <vt:variant>
        <vt:i4>5</vt:i4>
      </vt:variant>
      <vt:variant>
        <vt:lpwstr>https://www.cpuc.ca.gov/-/media/cpuc-website/divisions/energy-division/documents/integrated-resource-plan-and-long-term-procurement-plan/2024-2026-irp-cycle-events-and-materials/2025_inputs_and_assumptions_slides-20260210.pdf</vt:lpwstr>
      </vt:variant>
      <vt:variant>
        <vt:lpwstr/>
      </vt:variant>
      <vt:variant>
        <vt:i4>1572931</vt:i4>
      </vt:variant>
      <vt:variant>
        <vt:i4>156</vt:i4>
      </vt:variant>
      <vt:variant>
        <vt:i4>0</vt:i4>
      </vt:variant>
      <vt:variant>
        <vt:i4>5</vt:i4>
      </vt:variant>
      <vt:variant>
        <vt:lpwstr>https://docs.cpuc.ca.gov/PublishedDocs/Published/G000/M620/K704/620704107.PDF</vt:lpwstr>
      </vt:variant>
      <vt:variant>
        <vt:lpwstr/>
      </vt:variant>
      <vt:variant>
        <vt:i4>1441857</vt:i4>
      </vt:variant>
      <vt:variant>
        <vt:i4>153</vt:i4>
      </vt:variant>
      <vt:variant>
        <vt:i4>0</vt:i4>
      </vt:variant>
      <vt:variant>
        <vt:i4>5</vt:i4>
      </vt:variant>
      <vt:variant>
        <vt:lpwstr>https://docs.cpuc.ca.gov/PublishedDocs/Published/G000/M596/K290/596290082.PDF</vt:lpwstr>
      </vt:variant>
      <vt:variant>
        <vt:lpwstr/>
      </vt:variant>
      <vt:variant>
        <vt:i4>1310786</vt:i4>
      </vt:variant>
      <vt:variant>
        <vt:i4>150</vt:i4>
      </vt:variant>
      <vt:variant>
        <vt:i4>0</vt:i4>
      </vt:variant>
      <vt:variant>
        <vt:i4>5</vt:i4>
      </vt:variant>
      <vt:variant>
        <vt:lpwstr>https://docs.cpuc.ca.gov/PublishedDocs/Published/G000/M521/K196/521196139.PDF</vt:lpwstr>
      </vt:variant>
      <vt:variant>
        <vt:lpwstr/>
      </vt:variant>
      <vt:variant>
        <vt:i4>1310786</vt:i4>
      </vt:variant>
      <vt:variant>
        <vt:i4>147</vt:i4>
      </vt:variant>
      <vt:variant>
        <vt:i4>0</vt:i4>
      </vt:variant>
      <vt:variant>
        <vt:i4>5</vt:i4>
      </vt:variant>
      <vt:variant>
        <vt:lpwstr>https://docs.cpuc.ca.gov/PublishedDocs/Published/G000/M521/K196/521196139.PDF</vt:lpwstr>
      </vt:variant>
      <vt:variant>
        <vt:lpwstr/>
      </vt:variant>
      <vt:variant>
        <vt:i4>5832727</vt:i4>
      </vt:variant>
      <vt:variant>
        <vt:i4>144</vt:i4>
      </vt:variant>
      <vt:variant>
        <vt:i4>0</vt:i4>
      </vt:variant>
      <vt:variant>
        <vt:i4>5</vt:i4>
      </vt:variant>
      <vt:variant>
        <vt:lpwstr>https://www.energy.ca.gov/sites/default/files/2025-10/CEC-500-2024-024-F.pdf</vt:lpwstr>
      </vt:variant>
      <vt:variant>
        <vt:lpwstr/>
      </vt:variant>
      <vt:variant>
        <vt:i4>1703989</vt:i4>
      </vt:variant>
      <vt:variant>
        <vt:i4>141</vt:i4>
      </vt:variant>
      <vt:variant>
        <vt:i4>0</vt:i4>
      </vt:variant>
      <vt:variant>
        <vt:i4>5</vt:i4>
      </vt:variant>
      <vt:variant>
        <vt:lpwstr>https://www.pge.com/tariffs/assets/pdf/adviceletter/GAS_5222-G.pdf</vt:lpwstr>
      </vt:variant>
      <vt:variant>
        <vt:lpwstr/>
      </vt:variant>
      <vt:variant>
        <vt:i4>1310786</vt:i4>
      </vt:variant>
      <vt:variant>
        <vt:i4>138</vt:i4>
      </vt:variant>
      <vt:variant>
        <vt:i4>0</vt:i4>
      </vt:variant>
      <vt:variant>
        <vt:i4>5</vt:i4>
      </vt:variant>
      <vt:variant>
        <vt:lpwstr>https://docs.cpuc.ca.gov/PublishedDocs/Published/G000/M521/K196/521196139.PDF</vt:lpwstr>
      </vt:variant>
      <vt:variant>
        <vt:lpwstr/>
      </vt:variant>
      <vt:variant>
        <vt:i4>1310786</vt:i4>
      </vt:variant>
      <vt:variant>
        <vt:i4>135</vt:i4>
      </vt:variant>
      <vt:variant>
        <vt:i4>0</vt:i4>
      </vt:variant>
      <vt:variant>
        <vt:i4>5</vt:i4>
      </vt:variant>
      <vt:variant>
        <vt:lpwstr>https://docs.cpuc.ca.gov/PublishedDocs/Published/G000/M521/K196/521196139.PDF</vt:lpwstr>
      </vt:variant>
      <vt:variant>
        <vt:lpwstr/>
      </vt:variant>
      <vt:variant>
        <vt:i4>1310786</vt:i4>
      </vt:variant>
      <vt:variant>
        <vt:i4>132</vt:i4>
      </vt:variant>
      <vt:variant>
        <vt:i4>0</vt:i4>
      </vt:variant>
      <vt:variant>
        <vt:i4>5</vt:i4>
      </vt:variant>
      <vt:variant>
        <vt:lpwstr>https://docs.cpuc.ca.gov/PublishedDocs/Published/G000/M521/K196/521196139.PDF</vt:lpwstr>
      </vt:variant>
      <vt:variant>
        <vt:lpwstr/>
      </vt:variant>
      <vt:variant>
        <vt:i4>1704005</vt:i4>
      </vt:variant>
      <vt:variant>
        <vt:i4>129</vt:i4>
      </vt:variant>
      <vt:variant>
        <vt:i4>0</vt:i4>
      </vt:variant>
      <vt:variant>
        <vt:i4>5</vt:i4>
      </vt:variant>
      <vt:variant>
        <vt:lpwstr>https://docs.cpuc.ca.gov/PublishedDocs/Published/G000/M500/K216/500216057.PDF</vt:lpwstr>
      </vt:variant>
      <vt:variant>
        <vt:lpwstr/>
      </vt:variant>
      <vt:variant>
        <vt:i4>1310786</vt:i4>
      </vt:variant>
      <vt:variant>
        <vt:i4>126</vt:i4>
      </vt:variant>
      <vt:variant>
        <vt:i4>0</vt:i4>
      </vt:variant>
      <vt:variant>
        <vt:i4>5</vt:i4>
      </vt:variant>
      <vt:variant>
        <vt:lpwstr>https://docs.cpuc.ca.gov/PublishedDocs/Published/G000/M521/K196/521196139.PDF</vt:lpwstr>
      </vt:variant>
      <vt:variant>
        <vt:lpwstr/>
      </vt:variant>
      <vt:variant>
        <vt:i4>1310786</vt:i4>
      </vt:variant>
      <vt:variant>
        <vt:i4>123</vt:i4>
      </vt:variant>
      <vt:variant>
        <vt:i4>0</vt:i4>
      </vt:variant>
      <vt:variant>
        <vt:i4>5</vt:i4>
      </vt:variant>
      <vt:variant>
        <vt:lpwstr>https://docs.cpuc.ca.gov/PublishedDocs/Published/G000/M521/K196/521196139.PDF</vt:lpwstr>
      </vt:variant>
      <vt:variant>
        <vt:lpwstr/>
      </vt:variant>
      <vt:variant>
        <vt:i4>1704000</vt:i4>
      </vt:variant>
      <vt:variant>
        <vt:i4>120</vt:i4>
      </vt:variant>
      <vt:variant>
        <vt:i4>0</vt:i4>
      </vt:variant>
      <vt:variant>
        <vt:i4>5</vt:i4>
      </vt:variant>
      <vt:variant>
        <vt:lpwstr>https://docs.cpuc.ca.gov/PublishedDocs/Published/G000/M425/K515/425515575.PDF</vt:lpwstr>
      </vt:variant>
      <vt:variant>
        <vt:lpwstr/>
      </vt:variant>
      <vt:variant>
        <vt:i4>1638489</vt:i4>
      </vt:variant>
      <vt:variant>
        <vt:i4>117</vt:i4>
      </vt:variant>
      <vt:variant>
        <vt:i4>0</vt:i4>
      </vt:variant>
      <vt:variant>
        <vt:i4>5</vt:i4>
      </vt:variant>
      <vt:variant>
        <vt:lpwstr>https://docs.cpuc.ca.gov/PublishedDocs/WORD_PDF/FINAL_DECISION/167664.PDF</vt:lpwstr>
      </vt:variant>
      <vt:variant>
        <vt:lpwstr/>
      </vt:variant>
      <vt:variant>
        <vt:i4>1310786</vt:i4>
      </vt:variant>
      <vt:variant>
        <vt:i4>114</vt:i4>
      </vt:variant>
      <vt:variant>
        <vt:i4>0</vt:i4>
      </vt:variant>
      <vt:variant>
        <vt:i4>5</vt:i4>
      </vt:variant>
      <vt:variant>
        <vt:lpwstr>https://docs.cpuc.ca.gov/PublishedDocs/Published/G000/M521/K196/521196139.PDF</vt:lpwstr>
      </vt:variant>
      <vt:variant>
        <vt:lpwstr/>
      </vt:variant>
      <vt:variant>
        <vt:i4>1310786</vt:i4>
      </vt:variant>
      <vt:variant>
        <vt:i4>111</vt:i4>
      </vt:variant>
      <vt:variant>
        <vt:i4>0</vt:i4>
      </vt:variant>
      <vt:variant>
        <vt:i4>5</vt:i4>
      </vt:variant>
      <vt:variant>
        <vt:lpwstr>https://docs.cpuc.ca.gov/PublishedDocs/Published/G000/M521/K196/521196139.PDF</vt:lpwstr>
      </vt:variant>
      <vt:variant>
        <vt:lpwstr/>
      </vt:variant>
      <vt:variant>
        <vt:i4>5832727</vt:i4>
      </vt:variant>
      <vt:variant>
        <vt:i4>108</vt:i4>
      </vt:variant>
      <vt:variant>
        <vt:i4>0</vt:i4>
      </vt:variant>
      <vt:variant>
        <vt:i4>5</vt:i4>
      </vt:variant>
      <vt:variant>
        <vt:lpwstr>https://www.energy.ca.gov/sites/default/files/2025-10/CEC-500-2024-024-F.pdf</vt:lpwstr>
      </vt:variant>
      <vt:variant>
        <vt:lpwstr/>
      </vt:variant>
      <vt:variant>
        <vt:i4>1703989</vt:i4>
      </vt:variant>
      <vt:variant>
        <vt:i4>105</vt:i4>
      </vt:variant>
      <vt:variant>
        <vt:i4>0</vt:i4>
      </vt:variant>
      <vt:variant>
        <vt:i4>5</vt:i4>
      </vt:variant>
      <vt:variant>
        <vt:lpwstr>https://www.pge.com/tariffs/assets/pdf/adviceletter/GAS_5222-G.pdf</vt:lpwstr>
      </vt:variant>
      <vt:variant>
        <vt:lpwstr/>
      </vt:variant>
      <vt:variant>
        <vt:i4>1310786</vt:i4>
      </vt:variant>
      <vt:variant>
        <vt:i4>102</vt:i4>
      </vt:variant>
      <vt:variant>
        <vt:i4>0</vt:i4>
      </vt:variant>
      <vt:variant>
        <vt:i4>5</vt:i4>
      </vt:variant>
      <vt:variant>
        <vt:lpwstr>https://docs.cpuc.ca.gov/PublishedDocs/Published/G000/M521/K196/521196139.PDF</vt:lpwstr>
      </vt:variant>
      <vt:variant>
        <vt:lpwstr/>
      </vt:variant>
      <vt:variant>
        <vt:i4>1310786</vt:i4>
      </vt:variant>
      <vt:variant>
        <vt:i4>99</vt:i4>
      </vt:variant>
      <vt:variant>
        <vt:i4>0</vt:i4>
      </vt:variant>
      <vt:variant>
        <vt:i4>5</vt:i4>
      </vt:variant>
      <vt:variant>
        <vt:lpwstr>https://docs.cpuc.ca.gov/PublishedDocs/Published/G000/M521/K196/521196139.PDF</vt:lpwstr>
      </vt:variant>
      <vt:variant>
        <vt:lpwstr/>
      </vt:variant>
      <vt:variant>
        <vt:i4>1310786</vt:i4>
      </vt:variant>
      <vt:variant>
        <vt:i4>96</vt:i4>
      </vt:variant>
      <vt:variant>
        <vt:i4>0</vt:i4>
      </vt:variant>
      <vt:variant>
        <vt:i4>5</vt:i4>
      </vt:variant>
      <vt:variant>
        <vt:lpwstr>https://docs.cpuc.ca.gov/PublishedDocs/Published/G000/M521/K196/521196139.PDF</vt:lpwstr>
      </vt:variant>
      <vt:variant>
        <vt:lpwstr/>
      </vt:variant>
      <vt:variant>
        <vt:i4>1704000</vt:i4>
      </vt:variant>
      <vt:variant>
        <vt:i4>93</vt:i4>
      </vt:variant>
      <vt:variant>
        <vt:i4>0</vt:i4>
      </vt:variant>
      <vt:variant>
        <vt:i4>5</vt:i4>
      </vt:variant>
      <vt:variant>
        <vt:lpwstr>https://docs.cpuc.ca.gov/PublishedDocs/Published/G000/M425/K515/425515575.PDF</vt:lpwstr>
      </vt:variant>
      <vt:variant>
        <vt:lpwstr/>
      </vt:variant>
      <vt:variant>
        <vt:i4>1638489</vt:i4>
      </vt:variant>
      <vt:variant>
        <vt:i4>90</vt:i4>
      </vt:variant>
      <vt:variant>
        <vt:i4>0</vt:i4>
      </vt:variant>
      <vt:variant>
        <vt:i4>5</vt:i4>
      </vt:variant>
      <vt:variant>
        <vt:lpwstr>https://docs.cpuc.ca.gov/PublishedDocs/WORD_PDF/FINAL_DECISION/167664.PDF</vt:lpwstr>
      </vt:variant>
      <vt:variant>
        <vt:lpwstr/>
      </vt:variant>
      <vt:variant>
        <vt:i4>1310786</vt:i4>
      </vt:variant>
      <vt:variant>
        <vt:i4>87</vt:i4>
      </vt:variant>
      <vt:variant>
        <vt:i4>0</vt:i4>
      </vt:variant>
      <vt:variant>
        <vt:i4>5</vt:i4>
      </vt:variant>
      <vt:variant>
        <vt:lpwstr>https://docs.cpuc.ca.gov/PublishedDocs/Published/G000/M521/K196/521196139.PDF</vt:lpwstr>
      </vt:variant>
      <vt:variant>
        <vt:lpwstr/>
      </vt:variant>
      <vt:variant>
        <vt:i4>3211386</vt:i4>
      </vt:variant>
      <vt:variant>
        <vt:i4>84</vt:i4>
      </vt:variant>
      <vt:variant>
        <vt:i4>0</vt:i4>
      </vt:variant>
      <vt:variant>
        <vt:i4>5</vt:i4>
      </vt:variant>
      <vt:variant>
        <vt:lpwstr>https://www.cpuc.ca.gov/-/media/cpuc-website/divisions/energy-division/documents/integrated-resource-plan-and-long-term-procurement-plan/2024-2026-irp-cycle-events-and-materials/2025_inputs_and_assumptions_slides-20260210.pdf</vt:lpwstr>
      </vt:variant>
      <vt:variant>
        <vt:lpwstr/>
      </vt:variant>
      <vt:variant>
        <vt:i4>1572931</vt:i4>
      </vt:variant>
      <vt:variant>
        <vt:i4>81</vt:i4>
      </vt:variant>
      <vt:variant>
        <vt:i4>0</vt:i4>
      </vt:variant>
      <vt:variant>
        <vt:i4>5</vt:i4>
      </vt:variant>
      <vt:variant>
        <vt:lpwstr>https://docs.cpuc.ca.gov/PublishedDocs/Published/G000/M620/K704/620704107.PDF</vt:lpwstr>
      </vt:variant>
      <vt:variant>
        <vt:lpwstr/>
      </vt:variant>
      <vt:variant>
        <vt:i4>1441857</vt:i4>
      </vt:variant>
      <vt:variant>
        <vt:i4>78</vt:i4>
      </vt:variant>
      <vt:variant>
        <vt:i4>0</vt:i4>
      </vt:variant>
      <vt:variant>
        <vt:i4>5</vt:i4>
      </vt:variant>
      <vt:variant>
        <vt:lpwstr>https://docs.cpuc.ca.gov/PublishedDocs/Published/G000/M596/K290/596290082.PDF</vt:lpwstr>
      </vt:variant>
      <vt:variant>
        <vt:lpwstr/>
      </vt:variant>
      <vt:variant>
        <vt:i4>1310786</vt:i4>
      </vt:variant>
      <vt:variant>
        <vt:i4>75</vt:i4>
      </vt:variant>
      <vt:variant>
        <vt:i4>0</vt:i4>
      </vt:variant>
      <vt:variant>
        <vt:i4>5</vt:i4>
      </vt:variant>
      <vt:variant>
        <vt:lpwstr>https://docs.cpuc.ca.gov/PublishedDocs/Published/G000/M521/K196/521196139.PDF</vt:lpwstr>
      </vt:variant>
      <vt:variant>
        <vt:lpwstr/>
      </vt:variant>
      <vt:variant>
        <vt:i4>5832727</vt:i4>
      </vt:variant>
      <vt:variant>
        <vt:i4>72</vt:i4>
      </vt:variant>
      <vt:variant>
        <vt:i4>0</vt:i4>
      </vt:variant>
      <vt:variant>
        <vt:i4>5</vt:i4>
      </vt:variant>
      <vt:variant>
        <vt:lpwstr>https://www.energy.ca.gov/sites/default/files/2025-10/CEC-500-2024-024-F.pdf</vt:lpwstr>
      </vt:variant>
      <vt:variant>
        <vt:lpwstr/>
      </vt:variant>
      <vt:variant>
        <vt:i4>1310786</vt:i4>
      </vt:variant>
      <vt:variant>
        <vt:i4>69</vt:i4>
      </vt:variant>
      <vt:variant>
        <vt:i4>0</vt:i4>
      </vt:variant>
      <vt:variant>
        <vt:i4>5</vt:i4>
      </vt:variant>
      <vt:variant>
        <vt:lpwstr>https://docs.cpuc.ca.gov/PublishedDocs/Published/G000/M521/K196/521196139.PDF</vt:lpwstr>
      </vt:variant>
      <vt:variant>
        <vt:lpwstr/>
      </vt:variant>
      <vt:variant>
        <vt:i4>1310786</vt:i4>
      </vt:variant>
      <vt:variant>
        <vt:i4>66</vt:i4>
      </vt:variant>
      <vt:variant>
        <vt:i4>0</vt:i4>
      </vt:variant>
      <vt:variant>
        <vt:i4>5</vt:i4>
      </vt:variant>
      <vt:variant>
        <vt:lpwstr>https://docs.cpuc.ca.gov/PublishedDocs/Published/G000/M521/K196/521196139.PDF</vt:lpwstr>
      </vt:variant>
      <vt:variant>
        <vt:lpwstr/>
      </vt:variant>
      <vt:variant>
        <vt:i4>1704000</vt:i4>
      </vt:variant>
      <vt:variant>
        <vt:i4>63</vt:i4>
      </vt:variant>
      <vt:variant>
        <vt:i4>0</vt:i4>
      </vt:variant>
      <vt:variant>
        <vt:i4>5</vt:i4>
      </vt:variant>
      <vt:variant>
        <vt:lpwstr>https://docs.cpuc.ca.gov/PublishedDocs/Published/G000/M425/K515/425515575.PDF</vt:lpwstr>
      </vt:variant>
      <vt:variant>
        <vt:lpwstr/>
      </vt:variant>
      <vt:variant>
        <vt:i4>1638489</vt:i4>
      </vt:variant>
      <vt:variant>
        <vt:i4>60</vt:i4>
      </vt:variant>
      <vt:variant>
        <vt:i4>0</vt:i4>
      </vt:variant>
      <vt:variant>
        <vt:i4>5</vt:i4>
      </vt:variant>
      <vt:variant>
        <vt:lpwstr>https://docs.cpuc.ca.gov/PublishedDocs/WORD_PDF/FINAL_DECISION/167664.PDF</vt:lpwstr>
      </vt:variant>
      <vt:variant>
        <vt:lpwstr/>
      </vt:variant>
      <vt:variant>
        <vt:i4>1310786</vt:i4>
      </vt:variant>
      <vt:variant>
        <vt:i4>57</vt:i4>
      </vt:variant>
      <vt:variant>
        <vt:i4>0</vt:i4>
      </vt:variant>
      <vt:variant>
        <vt:i4>5</vt:i4>
      </vt:variant>
      <vt:variant>
        <vt:lpwstr>https://docs.cpuc.ca.gov/PublishedDocs/Published/G000/M521/K196/521196139.PDF</vt:lpwstr>
      </vt:variant>
      <vt:variant>
        <vt:lpwstr/>
      </vt:variant>
      <vt:variant>
        <vt:i4>3211386</vt:i4>
      </vt:variant>
      <vt:variant>
        <vt:i4>54</vt:i4>
      </vt:variant>
      <vt:variant>
        <vt:i4>0</vt:i4>
      </vt:variant>
      <vt:variant>
        <vt:i4>5</vt:i4>
      </vt:variant>
      <vt:variant>
        <vt:lpwstr>https://www.cpuc.ca.gov/-/media/cpuc-website/divisions/energy-division/documents/integrated-resource-plan-and-long-term-procurement-plan/2024-2026-irp-cycle-events-and-materials/2025_inputs_and_assumptions_slides-20260210.pdf</vt:lpwstr>
      </vt:variant>
      <vt:variant>
        <vt:lpwstr/>
      </vt:variant>
      <vt:variant>
        <vt:i4>1572931</vt:i4>
      </vt:variant>
      <vt:variant>
        <vt:i4>51</vt:i4>
      </vt:variant>
      <vt:variant>
        <vt:i4>0</vt:i4>
      </vt:variant>
      <vt:variant>
        <vt:i4>5</vt:i4>
      </vt:variant>
      <vt:variant>
        <vt:lpwstr>https://docs.cpuc.ca.gov/PublishedDocs/Published/G000/M620/K704/620704107.PDF</vt:lpwstr>
      </vt:variant>
      <vt:variant>
        <vt:lpwstr/>
      </vt:variant>
      <vt:variant>
        <vt:i4>1441857</vt:i4>
      </vt:variant>
      <vt:variant>
        <vt:i4>48</vt:i4>
      </vt:variant>
      <vt:variant>
        <vt:i4>0</vt:i4>
      </vt:variant>
      <vt:variant>
        <vt:i4>5</vt:i4>
      </vt:variant>
      <vt:variant>
        <vt:lpwstr>https://docs.cpuc.ca.gov/PublishedDocs/Published/G000/M596/K290/596290082.PDF</vt:lpwstr>
      </vt:variant>
      <vt:variant>
        <vt:lpwstr/>
      </vt:variant>
      <vt:variant>
        <vt:i4>1310786</vt:i4>
      </vt:variant>
      <vt:variant>
        <vt:i4>45</vt:i4>
      </vt:variant>
      <vt:variant>
        <vt:i4>0</vt:i4>
      </vt:variant>
      <vt:variant>
        <vt:i4>5</vt:i4>
      </vt:variant>
      <vt:variant>
        <vt:lpwstr>https://docs.cpuc.ca.gov/PublishedDocs/Published/G000/M521/K196/521196139.PDF</vt:lpwstr>
      </vt:variant>
      <vt:variant>
        <vt:lpwstr/>
      </vt:variant>
      <vt:variant>
        <vt:i4>5832727</vt:i4>
      </vt:variant>
      <vt:variant>
        <vt:i4>42</vt:i4>
      </vt:variant>
      <vt:variant>
        <vt:i4>0</vt:i4>
      </vt:variant>
      <vt:variant>
        <vt:i4>5</vt:i4>
      </vt:variant>
      <vt:variant>
        <vt:lpwstr>https://www.energy.ca.gov/sites/default/files/2025-10/CEC-500-2024-024-F.pdf</vt:lpwstr>
      </vt:variant>
      <vt:variant>
        <vt:lpwstr/>
      </vt:variant>
      <vt:variant>
        <vt:i4>1310786</vt:i4>
      </vt:variant>
      <vt:variant>
        <vt:i4>39</vt:i4>
      </vt:variant>
      <vt:variant>
        <vt:i4>0</vt:i4>
      </vt:variant>
      <vt:variant>
        <vt:i4>5</vt:i4>
      </vt:variant>
      <vt:variant>
        <vt:lpwstr>https://docs.cpuc.ca.gov/PublishedDocs/Published/G000/M521/K196/521196139.PDF</vt:lpwstr>
      </vt:variant>
      <vt:variant>
        <vt:lpwstr/>
      </vt:variant>
      <vt:variant>
        <vt:i4>1310786</vt:i4>
      </vt:variant>
      <vt:variant>
        <vt:i4>36</vt:i4>
      </vt:variant>
      <vt:variant>
        <vt:i4>0</vt:i4>
      </vt:variant>
      <vt:variant>
        <vt:i4>5</vt:i4>
      </vt:variant>
      <vt:variant>
        <vt:lpwstr>https://docs.cpuc.ca.gov/PublishedDocs/Published/G000/M521/K196/521196139.PDF</vt:lpwstr>
      </vt:variant>
      <vt:variant>
        <vt:lpwstr/>
      </vt:variant>
      <vt:variant>
        <vt:i4>1966149</vt:i4>
      </vt:variant>
      <vt:variant>
        <vt:i4>33</vt:i4>
      </vt:variant>
      <vt:variant>
        <vt:i4>0</vt:i4>
      </vt:variant>
      <vt:variant>
        <vt:i4>5</vt:i4>
      </vt:variant>
      <vt:variant>
        <vt:lpwstr>https://docs.cpuc.ca.gov/PublishedDocs/Published/G000/M316/K704/316704666.PDF</vt:lpwstr>
      </vt:variant>
      <vt:variant>
        <vt:lpwstr/>
      </vt:variant>
      <vt:variant>
        <vt:i4>1114186</vt:i4>
      </vt:variant>
      <vt:variant>
        <vt:i4>30</vt:i4>
      </vt:variant>
      <vt:variant>
        <vt:i4>0</vt:i4>
      </vt:variant>
      <vt:variant>
        <vt:i4>5</vt:i4>
      </vt:variant>
      <vt:variant>
        <vt:lpwstr>https://docs.cpuc.ca.gov/PublishedDocs/Published/G000/M550/K485/550485071.pdf</vt:lpwstr>
      </vt:variant>
      <vt:variant>
        <vt:lpwstr/>
      </vt:variant>
      <vt:variant>
        <vt:i4>1114186</vt:i4>
      </vt:variant>
      <vt:variant>
        <vt:i4>27</vt:i4>
      </vt:variant>
      <vt:variant>
        <vt:i4>0</vt:i4>
      </vt:variant>
      <vt:variant>
        <vt:i4>5</vt:i4>
      </vt:variant>
      <vt:variant>
        <vt:lpwstr>https://docs.cpuc.ca.gov/PublishedDocs/Published/G000/M550/K485/550485071.pdf</vt:lpwstr>
      </vt:variant>
      <vt:variant>
        <vt:lpwstr/>
      </vt:variant>
      <vt:variant>
        <vt:i4>1114186</vt:i4>
      </vt:variant>
      <vt:variant>
        <vt:i4>24</vt:i4>
      </vt:variant>
      <vt:variant>
        <vt:i4>0</vt:i4>
      </vt:variant>
      <vt:variant>
        <vt:i4>5</vt:i4>
      </vt:variant>
      <vt:variant>
        <vt:lpwstr>https://docs.cpuc.ca.gov/PublishedDocs/Published/G000/M550/K485/550485071.pdf</vt:lpwstr>
      </vt:variant>
      <vt:variant>
        <vt:lpwstr/>
      </vt:variant>
      <vt:variant>
        <vt:i4>1114186</vt:i4>
      </vt:variant>
      <vt:variant>
        <vt:i4>21</vt:i4>
      </vt:variant>
      <vt:variant>
        <vt:i4>0</vt:i4>
      </vt:variant>
      <vt:variant>
        <vt:i4>5</vt:i4>
      </vt:variant>
      <vt:variant>
        <vt:lpwstr>https://docs.cpuc.ca.gov/PublishedDocs/Published/G000/M550/K485/550485071.pdf</vt:lpwstr>
      </vt:variant>
      <vt:variant>
        <vt:lpwstr/>
      </vt:variant>
      <vt:variant>
        <vt:i4>1966149</vt:i4>
      </vt:variant>
      <vt:variant>
        <vt:i4>18</vt:i4>
      </vt:variant>
      <vt:variant>
        <vt:i4>0</vt:i4>
      </vt:variant>
      <vt:variant>
        <vt:i4>5</vt:i4>
      </vt:variant>
      <vt:variant>
        <vt:lpwstr>https://docs.cpuc.ca.gov/PublishedDocs/Published/G000/M316/K704/316704666.PDF</vt:lpwstr>
      </vt:variant>
      <vt:variant>
        <vt:lpwstr/>
      </vt:variant>
      <vt:variant>
        <vt:i4>1966149</vt:i4>
      </vt:variant>
      <vt:variant>
        <vt:i4>15</vt:i4>
      </vt:variant>
      <vt:variant>
        <vt:i4>0</vt:i4>
      </vt:variant>
      <vt:variant>
        <vt:i4>5</vt:i4>
      </vt:variant>
      <vt:variant>
        <vt:lpwstr>https://docs.cpuc.ca.gov/PublishedDocs/Published/G000/M316/K704/316704666.PDF</vt:lpwstr>
      </vt:variant>
      <vt:variant>
        <vt:lpwstr/>
      </vt:variant>
      <vt:variant>
        <vt:i4>1966149</vt:i4>
      </vt:variant>
      <vt:variant>
        <vt:i4>12</vt:i4>
      </vt:variant>
      <vt:variant>
        <vt:i4>0</vt:i4>
      </vt:variant>
      <vt:variant>
        <vt:i4>5</vt:i4>
      </vt:variant>
      <vt:variant>
        <vt:lpwstr>https://docs.cpuc.ca.gov/PublishedDocs/Published/G000/M316/K704/316704666.PDF</vt:lpwstr>
      </vt:variant>
      <vt:variant>
        <vt:lpwstr/>
      </vt:variant>
      <vt:variant>
        <vt:i4>1441877</vt:i4>
      </vt:variant>
      <vt:variant>
        <vt:i4>9</vt:i4>
      </vt:variant>
      <vt:variant>
        <vt:i4>0</vt:i4>
      </vt:variant>
      <vt:variant>
        <vt:i4>5</vt:i4>
      </vt:variant>
      <vt:variant>
        <vt:lpwstr>https://www.gov.ca.gov/wp-content/uploads/2024/10/energy-EO-10-30-24.pdf</vt:lpwstr>
      </vt:variant>
      <vt:variant>
        <vt:lpwstr/>
      </vt:variant>
      <vt:variant>
        <vt:i4>1966149</vt:i4>
      </vt:variant>
      <vt:variant>
        <vt:i4>6</vt:i4>
      </vt:variant>
      <vt:variant>
        <vt:i4>0</vt:i4>
      </vt:variant>
      <vt:variant>
        <vt:i4>5</vt:i4>
      </vt:variant>
      <vt:variant>
        <vt:lpwstr>https://docs.cpuc.ca.gov/PublishedDocs/Published/G000/M316/K704/316704666.PDF</vt:lpwstr>
      </vt:variant>
      <vt:variant>
        <vt:lpwstr/>
      </vt:variant>
      <vt:variant>
        <vt:i4>1114186</vt:i4>
      </vt:variant>
      <vt:variant>
        <vt:i4>3</vt:i4>
      </vt:variant>
      <vt:variant>
        <vt:i4>0</vt:i4>
      </vt:variant>
      <vt:variant>
        <vt:i4>5</vt:i4>
      </vt:variant>
      <vt:variant>
        <vt:lpwstr>https://docs.cpuc.ca.gov/PublishedDocs/Published/G000/M550/K485/550485071.pdf</vt:lpwstr>
      </vt:variant>
      <vt:variant>
        <vt:lpwstr/>
      </vt:variant>
      <vt:variant>
        <vt:i4>1966149</vt:i4>
      </vt:variant>
      <vt:variant>
        <vt:i4>0</vt:i4>
      </vt:variant>
      <vt:variant>
        <vt:i4>0</vt:i4>
      </vt:variant>
      <vt:variant>
        <vt:i4>5</vt:i4>
      </vt:variant>
      <vt:variant>
        <vt:lpwstr>https://docs.cpuc.ca.gov/PublishedDocs/Published/G000/M316/K704/316704666.PDF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2026-10-30T12:29:36Z</dcterms:created>
  <dcterms:modified xsi:type="dcterms:W3CDTF">2026-10-30T12:29:36Z</dcterms:modified>
</cp:coreProperties>
</file>